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CCA" w:rsidRPr="00EB0CCA" w:rsidRDefault="003B7351" w:rsidP="00EB0CCA">
      <w:pPr>
        <w:pStyle w:val="Corpodetexto2"/>
        <w:spacing w:line="360" w:lineRule="auto"/>
      </w:pPr>
      <w:r w:rsidRPr="008C2DF5">
        <w:rPr>
          <w:highlight w:val="yellow"/>
        </w:rPr>
        <w:t>UTILIZAÇÃO D</w:t>
      </w:r>
      <w:r w:rsidR="008C2DF5" w:rsidRPr="008C2DF5">
        <w:rPr>
          <w:highlight w:val="yellow"/>
        </w:rPr>
        <w:t>O</w:t>
      </w:r>
      <w:r w:rsidRPr="008C2DF5">
        <w:rPr>
          <w:highlight w:val="yellow"/>
        </w:rPr>
        <w:t xml:space="preserve"> NDV</w:t>
      </w:r>
      <w:r w:rsidR="00B21700" w:rsidRPr="008C2DF5">
        <w:rPr>
          <w:highlight w:val="yellow"/>
        </w:rPr>
        <w:t xml:space="preserve">I </w:t>
      </w:r>
      <w:proofErr w:type="gramStart"/>
      <w:r w:rsidR="00B21700" w:rsidRPr="008C2DF5">
        <w:rPr>
          <w:highlight w:val="yellow"/>
        </w:rPr>
        <w:t>MULTIESPECTRAL  PARA</w:t>
      </w:r>
      <w:proofErr w:type="gramEnd"/>
      <w:r w:rsidR="00B21700" w:rsidRPr="008C2DF5">
        <w:rPr>
          <w:highlight w:val="yellow"/>
        </w:rPr>
        <w:t xml:space="preserve"> </w:t>
      </w:r>
      <w:r w:rsidR="00BF6320" w:rsidRPr="008C2DF5">
        <w:rPr>
          <w:highlight w:val="yellow"/>
        </w:rPr>
        <w:t>A</w:t>
      </w:r>
      <w:r w:rsidR="008C2DF5" w:rsidRPr="008C2DF5">
        <w:rPr>
          <w:highlight w:val="yellow"/>
        </w:rPr>
        <w:t xml:space="preserve"> DEFINIÇÂO</w:t>
      </w:r>
      <w:r w:rsidR="00BF6320" w:rsidRPr="008C2DF5">
        <w:rPr>
          <w:highlight w:val="yellow"/>
        </w:rPr>
        <w:t xml:space="preserve"> DE PARCELAS HOMOGÉNEAS </w:t>
      </w:r>
      <w:r w:rsidR="008C2DF5" w:rsidRPr="008C2DF5">
        <w:rPr>
          <w:highlight w:val="yellow"/>
        </w:rPr>
        <w:t>NA INSTALAÇÂO DA VINHA</w:t>
      </w:r>
    </w:p>
    <w:p w:rsidR="00EB0CCA" w:rsidRPr="00EB0CCA" w:rsidRDefault="00EB0CCA" w:rsidP="00EB0CCA">
      <w:pPr>
        <w:pStyle w:val="Corpodetexto2"/>
      </w:pPr>
    </w:p>
    <w:p w:rsidR="00EB0CCA" w:rsidRPr="00EB0CCA" w:rsidRDefault="00BC7DC8" w:rsidP="00EB0CCA">
      <w:pPr>
        <w:pStyle w:val="Corpodetexto2"/>
        <w:jc w:val="left"/>
      </w:pPr>
      <w:r>
        <w:t>Luís</w:t>
      </w:r>
      <w:r w:rsidR="00EB0CCA" w:rsidRPr="00EB0CCA">
        <w:t xml:space="preserve"> </w:t>
      </w:r>
      <w:r>
        <w:t>GASPAR</w:t>
      </w:r>
      <w:r w:rsidR="00EB0CCA" w:rsidRPr="00EB0CCA">
        <w:rPr>
          <w:rStyle w:val="Refdenotaderodap"/>
        </w:rPr>
        <w:footnoteReference w:id="1"/>
      </w:r>
      <w:r w:rsidR="00EB0CCA" w:rsidRPr="00EB0CCA">
        <w:t>; Helena FERREIRA</w:t>
      </w:r>
      <w:r w:rsidR="00EB0CCA" w:rsidRPr="00EB0CCA">
        <w:rPr>
          <w:rStyle w:val="Refdenotaderodap"/>
        </w:rPr>
        <w:footnoteReference w:id="2"/>
      </w:r>
      <w:r w:rsidR="00B21700">
        <w:t>;</w:t>
      </w:r>
      <w:r w:rsidR="00EB0CCA" w:rsidRPr="00EB0CCA">
        <w:t>Óscar GATO</w:t>
      </w:r>
      <w:r w:rsidR="00EB0CCA" w:rsidRPr="00EB0CCA">
        <w:rPr>
          <w:vertAlign w:val="superscript"/>
        </w:rPr>
        <w:t>3</w:t>
      </w:r>
      <w:r w:rsidR="00EB0CCA" w:rsidRPr="00EB0CCA">
        <w:t>; João BARROSO</w:t>
      </w:r>
      <w:r w:rsidR="00EB0CCA" w:rsidRPr="00EB0CCA">
        <w:rPr>
          <w:vertAlign w:val="superscript"/>
        </w:rPr>
        <w:t>4</w:t>
      </w:r>
    </w:p>
    <w:p w:rsidR="00EB0CCA" w:rsidRPr="00EB0CCA" w:rsidRDefault="00EB0CCA" w:rsidP="00EB0CCA">
      <w:pPr>
        <w:pStyle w:val="Corpodetexto2"/>
      </w:pPr>
    </w:p>
    <w:p w:rsidR="00EB0CCA" w:rsidRPr="00EB0CCA" w:rsidRDefault="00EB0CCA" w:rsidP="00EB0CCA">
      <w:pPr>
        <w:pStyle w:val="Corpodetexto2"/>
      </w:pPr>
    </w:p>
    <w:p w:rsidR="00EB0CCA" w:rsidRPr="00EB0CCA" w:rsidRDefault="00EB0CCA" w:rsidP="00EB0CCA">
      <w:pPr>
        <w:pStyle w:val="Corpodetexto2"/>
      </w:pPr>
    </w:p>
    <w:p w:rsidR="00EB0CCA" w:rsidRPr="00EB0CCA" w:rsidRDefault="00EB0CCA" w:rsidP="00EB0CCA">
      <w:pPr>
        <w:pStyle w:val="Cabealho1"/>
      </w:pPr>
      <w:r w:rsidRPr="00EB0CCA">
        <w:t>RESUMO</w:t>
      </w:r>
    </w:p>
    <w:p w:rsidR="00EB0CCA" w:rsidRPr="00EB0CCA" w:rsidRDefault="00EB0CCA" w:rsidP="00EB0CCA">
      <w:pPr>
        <w:ind w:firstLine="708"/>
        <w:jc w:val="both"/>
      </w:pPr>
    </w:p>
    <w:p w:rsidR="00BF6320" w:rsidRPr="00BF6320" w:rsidRDefault="00BF6320" w:rsidP="00BF6320">
      <w:pPr>
        <w:jc w:val="both"/>
        <w:rPr>
          <w:sz w:val="20"/>
          <w:szCs w:val="20"/>
        </w:rPr>
      </w:pPr>
      <w:r w:rsidRPr="00BF6320">
        <w:rPr>
          <w:sz w:val="20"/>
          <w:szCs w:val="20"/>
        </w:rPr>
        <w:t xml:space="preserve">O delineamento de parcelas homogéneas quando </w:t>
      </w:r>
      <w:r>
        <w:rPr>
          <w:sz w:val="20"/>
          <w:szCs w:val="20"/>
        </w:rPr>
        <w:t>da instalação de uma vinha é um</w:t>
      </w:r>
      <w:r w:rsidRPr="00BF6320">
        <w:rPr>
          <w:sz w:val="20"/>
          <w:szCs w:val="20"/>
        </w:rPr>
        <w:t xml:space="preserve"> passo decisivo para a possibilidade futura de aplicar as técnicas de viticultura de precisão </w:t>
      </w:r>
      <w:r w:rsidR="008C2DF5" w:rsidRPr="008C2DF5">
        <w:rPr>
          <w:sz w:val="20"/>
          <w:szCs w:val="20"/>
          <w:highlight w:val="yellow"/>
        </w:rPr>
        <w:t xml:space="preserve">na monitorização das parcelas </w:t>
      </w:r>
      <w:r w:rsidRPr="008C2DF5">
        <w:rPr>
          <w:sz w:val="20"/>
          <w:szCs w:val="20"/>
          <w:highlight w:val="yellow"/>
        </w:rPr>
        <w:t xml:space="preserve">e </w:t>
      </w:r>
      <w:r w:rsidR="008C2DF5" w:rsidRPr="008C2DF5">
        <w:rPr>
          <w:sz w:val="20"/>
          <w:szCs w:val="20"/>
          <w:highlight w:val="yellow"/>
        </w:rPr>
        <w:t>uma boa representatividade nos processos de</w:t>
      </w:r>
      <w:r w:rsidRPr="008C2DF5">
        <w:rPr>
          <w:sz w:val="20"/>
          <w:szCs w:val="20"/>
          <w:highlight w:val="yellow"/>
        </w:rPr>
        <w:t xml:space="preserve"> amostragens</w:t>
      </w:r>
      <w:r w:rsidR="008C2DF5" w:rsidRPr="008C2DF5">
        <w:rPr>
          <w:sz w:val="20"/>
          <w:szCs w:val="20"/>
          <w:highlight w:val="yellow"/>
        </w:rPr>
        <w:t>.</w:t>
      </w:r>
      <w:r w:rsidRPr="00BF6320">
        <w:rPr>
          <w:sz w:val="20"/>
          <w:szCs w:val="20"/>
        </w:rPr>
        <w:t xml:space="preserve"> Sem esse trabalho, que implica um diagnóstico exaustivo do potencial vitícola de cada solo, considerando os diversos parâmetros analíticos e perfil utilizável dos mesmos, toda </w:t>
      </w:r>
      <w:r>
        <w:rPr>
          <w:sz w:val="20"/>
          <w:szCs w:val="20"/>
        </w:rPr>
        <w:t>a futura bo</w:t>
      </w:r>
      <w:r w:rsidRPr="00BF6320">
        <w:rPr>
          <w:sz w:val="20"/>
          <w:szCs w:val="20"/>
        </w:rPr>
        <w:t>a gestão das parcelas da vinha fica comprometida em virtude da elevada heterogeneidade de cada uma das parcelas que se pretende trabalhar da mesma maneira.</w:t>
      </w:r>
    </w:p>
    <w:p w:rsidR="00BF6320" w:rsidRPr="00BF6320" w:rsidRDefault="00BF6320" w:rsidP="00BF6320">
      <w:pPr>
        <w:jc w:val="both"/>
        <w:rPr>
          <w:sz w:val="20"/>
          <w:szCs w:val="20"/>
        </w:rPr>
      </w:pPr>
    </w:p>
    <w:p w:rsidR="0011792A" w:rsidRDefault="00BF6320" w:rsidP="00BF6320">
      <w:pPr>
        <w:jc w:val="both"/>
        <w:rPr>
          <w:sz w:val="20"/>
          <w:szCs w:val="20"/>
        </w:rPr>
      </w:pPr>
      <w:r w:rsidRPr="00BF6320">
        <w:rPr>
          <w:sz w:val="20"/>
          <w:szCs w:val="20"/>
        </w:rPr>
        <w:t>O</w:t>
      </w:r>
      <w:r w:rsidR="003B7351">
        <w:rPr>
          <w:sz w:val="20"/>
          <w:szCs w:val="20"/>
        </w:rPr>
        <w:t xml:space="preserve"> recurso a imagens de NDV</w:t>
      </w:r>
      <w:r w:rsidRPr="00BF6320">
        <w:rPr>
          <w:sz w:val="20"/>
          <w:szCs w:val="20"/>
        </w:rPr>
        <w:t>I recolhidas em períodos certos do ciclo fenológico da videira nas parcelas atuais de vinha pode constituir uma ferramenta interessante para reso</w:t>
      </w:r>
      <w:r>
        <w:rPr>
          <w:sz w:val="20"/>
          <w:szCs w:val="20"/>
        </w:rPr>
        <w:t>lver este problema no futuro, poi</w:t>
      </w:r>
      <w:r w:rsidRPr="00BF6320">
        <w:rPr>
          <w:sz w:val="20"/>
          <w:szCs w:val="20"/>
        </w:rPr>
        <w:t xml:space="preserve">s íntegra no comportamento vegetativo da vinha uma serie de variáveis, muitas vezes difíceis de reunir e trabalhar de forma exaustiva. A Adega de Borba vem trabalhando com este objetivo de forma a melhorar a homogeneidade futura de cada uma das </w:t>
      </w:r>
      <w:r w:rsidRPr="008C2DF5">
        <w:rPr>
          <w:sz w:val="20"/>
          <w:szCs w:val="20"/>
          <w:highlight w:val="yellow"/>
        </w:rPr>
        <w:t xml:space="preserve">parcelas de vinha </w:t>
      </w:r>
      <w:r w:rsidR="008C2DF5" w:rsidRPr="008C2DF5">
        <w:rPr>
          <w:sz w:val="20"/>
          <w:szCs w:val="20"/>
          <w:highlight w:val="yellow"/>
        </w:rPr>
        <w:t>dos seus associados</w:t>
      </w:r>
      <w:r w:rsidR="008C2DF5">
        <w:rPr>
          <w:sz w:val="20"/>
          <w:szCs w:val="20"/>
        </w:rPr>
        <w:t xml:space="preserve">, </w:t>
      </w:r>
      <w:r w:rsidRPr="00BF6320">
        <w:rPr>
          <w:sz w:val="20"/>
          <w:szCs w:val="20"/>
        </w:rPr>
        <w:t xml:space="preserve">e assim possibilitar que cada vez mais a monitorização efetuada ao longo do ano a cada parcela </w:t>
      </w:r>
      <w:r w:rsidR="008C2DF5">
        <w:rPr>
          <w:sz w:val="20"/>
          <w:szCs w:val="20"/>
        </w:rPr>
        <w:t>seja</w:t>
      </w:r>
      <w:r w:rsidRPr="00BF6320">
        <w:rPr>
          <w:sz w:val="20"/>
          <w:szCs w:val="20"/>
        </w:rPr>
        <w:t xml:space="preserve"> suficientemente representativa da mesma para poder ser corretamente gerida.</w:t>
      </w:r>
    </w:p>
    <w:p w:rsidR="00BF6320" w:rsidRPr="0011792A" w:rsidRDefault="00BF6320" w:rsidP="00BF6320">
      <w:pPr>
        <w:jc w:val="both"/>
        <w:rPr>
          <w:b/>
          <w:sz w:val="20"/>
          <w:szCs w:val="20"/>
        </w:rPr>
      </w:pPr>
    </w:p>
    <w:p w:rsidR="00BC7DC8" w:rsidRDefault="00EB0CCA" w:rsidP="00CE0FCC">
      <w:pPr>
        <w:jc w:val="both"/>
      </w:pPr>
      <w:r w:rsidRPr="0011792A">
        <w:rPr>
          <w:b/>
          <w:sz w:val="20"/>
          <w:szCs w:val="20"/>
        </w:rPr>
        <w:t>Palavras-chave:</w:t>
      </w:r>
      <w:r w:rsidRPr="0011792A">
        <w:rPr>
          <w:sz w:val="20"/>
          <w:szCs w:val="20"/>
        </w:rPr>
        <w:t xml:space="preserve"> </w:t>
      </w:r>
      <w:r w:rsidR="003B7351">
        <w:rPr>
          <w:sz w:val="20"/>
          <w:szCs w:val="20"/>
        </w:rPr>
        <w:t>NDV</w:t>
      </w:r>
      <w:r w:rsidR="00CE0FCC">
        <w:rPr>
          <w:sz w:val="20"/>
          <w:szCs w:val="20"/>
        </w:rPr>
        <w:t>I, índice vegetativo</w:t>
      </w:r>
      <w:r w:rsidRPr="0011792A">
        <w:rPr>
          <w:sz w:val="20"/>
          <w:szCs w:val="20"/>
        </w:rPr>
        <w:t xml:space="preserve">, </w:t>
      </w:r>
      <w:r w:rsidR="00BF6320">
        <w:rPr>
          <w:sz w:val="20"/>
          <w:szCs w:val="20"/>
        </w:rPr>
        <w:t>parcelas</w:t>
      </w:r>
      <w:r w:rsidR="00CE0FCC">
        <w:rPr>
          <w:sz w:val="20"/>
          <w:szCs w:val="20"/>
        </w:rPr>
        <w:t xml:space="preserve"> homogéneas</w:t>
      </w:r>
    </w:p>
    <w:p w:rsidR="00DD5D04" w:rsidRDefault="00DD5D04" w:rsidP="00F702E5">
      <w:pPr>
        <w:spacing w:line="360" w:lineRule="auto"/>
        <w:jc w:val="both"/>
      </w:pPr>
    </w:p>
    <w:p w:rsidR="00F52ACC" w:rsidRPr="00F52ACC" w:rsidRDefault="00F52ACC" w:rsidP="00F52ACC">
      <w:pPr>
        <w:numPr>
          <w:ilvl w:val="0"/>
          <w:numId w:val="1"/>
        </w:numPr>
        <w:spacing w:line="360" w:lineRule="auto"/>
        <w:jc w:val="both"/>
        <w:rPr>
          <w:b/>
        </w:rPr>
      </w:pPr>
      <w:r w:rsidRPr="00F52ACC">
        <w:rPr>
          <w:b/>
        </w:rPr>
        <w:t>INTRODUÇÃO</w:t>
      </w:r>
    </w:p>
    <w:p w:rsidR="00B078B9" w:rsidRDefault="00F52ACC" w:rsidP="008978C5">
      <w:pPr>
        <w:ind w:firstLine="426"/>
        <w:jc w:val="both"/>
      </w:pPr>
      <w:r w:rsidRPr="00F52ACC">
        <w:t xml:space="preserve">A Adega de Borba </w:t>
      </w:r>
      <w:r>
        <w:t xml:space="preserve">aconselha os seus sócios </w:t>
      </w:r>
      <w:r w:rsidR="008C2DF5">
        <w:t xml:space="preserve">viticultores </w:t>
      </w:r>
      <w:r>
        <w:t xml:space="preserve">desde </w:t>
      </w:r>
      <w:r w:rsidRPr="008C2DF5">
        <w:rPr>
          <w:highlight w:val="yellow"/>
        </w:rPr>
        <w:t xml:space="preserve">a </w:t>
      </w:r>
      <w:r w:rsidR="008C2DF5" w:rsidRPr="008C2DF5">
        <w:rPr>
          <w:highlight w:val="yellow"/>
        </w:rPr>
        <w:t>escolha</w:t>
      </w:r>
      <w:r w:rsidR="008C2DF5">
        <w:t xml:space="preserve"> e </w:t>
      </w:r>
      <w:r>
        <w:t xml:space="preserve">preparação do terreno à plantação, </w:t>
      </w:r>
      <w:r w:rsidR="008C2DF5">
        <w:t xml:space="preserve">e </w:t>
      </w:r>
      <w:r>
        <w:t xml:space="preserve">desde a poda à colheita, passando pela rega e fertilização, com o objetivo de providenciar as melhores ferramentas e conhecimentos para que as uvas atinjam parâmetros de qualidade altos e produtividades sustentáveis. </w:t>
      </w:r>
      <w:r w:rsidRPr="00F52ACC">
        <w:t xml:space="preserve">Estas </w:t>
      </w:r>
      <w:r w:rsidR="00497A18" w:rsidRPr="00497A18">
        <w:rPr>
          <w:highlight w:val="yellow"/>
        </w:rPr>
        <w:t>vinhas</w:t>
      </w:r>
      <w:r w:rsidRPr="00F52ACC">
        <w:t xml:space="preserve"> são acompanhadas e identificadas através de um Sistema de Informação Geográfico, sendo </w:t>
      </w:r>
      <w:proofErr w:type="spellStart"/>
      <w:r w:rsidR="00497A18">
        <w:t>objectivo</w:t>
      </w:r>
      <w:proofErr w:type="spellEnd"/>
      <w:r w:rsidR="00497A18">
        <w:t xml:space="preserve"> que cada uma das parcelas definidas como tal no </w:t>
      </w:r>
      <w:r w:rsidR="00497A18" w:rsidRPr="00497A18">
        <w:rPr>
          <w:highlight w:val="yellow"/>
        </w:rPr>
        <w:t>SIG constitua uma</w:t>
      </w:r>
      <w:r w:rsidRPr="00497A18">
        <w:rPr>
          <w:highlight w:val="yellow"/>
        </w:rPr>
        <w:t xml:space="preserve"> parcelas homogénea,</w:t>
      </w:r>
      <w:r w:rsidR="00497A18" w:rsidRPr="00497A18">
        <w:rPr>
          <w:highlight w:val="yellow"/>
        </w:rPr>
        <w:t xml:space="preserve"> passando futuramente em termos de monitorização, gestão de vindima e rastreabilidade na Adega a ser tratada da mesma forma.</w:t>
      </w:r>
      <w:r w:rsidRPr="00F52ACC">
        <w:t xml:space="preserve"> Com </w:t>
      </w:r>
      <w:r w:rsidR="00497A18">
        <w:t xml:space="preserve">os elementos de informação </w:t>
      </w:r>
      <w:proofErr w:type="spellStart"/>
      <w:r w:rsidR="00497A18">
        <w:t>actuais</w:t>
      </w:r>
      <w:proofErr w:type="spellEnd"/>
      <w:r w:rsidR="00497A18">
        <w:t xml:space="preserve"> de solos, topografia, e outros é sempre muito difícil perceber se o trabalho de definição das futuras parcelas esta bem executado. </w:t>
      </w:r>
      <w:r w:rsidR="00497A18" w:rsidRPr="002E5519">
        <w:rPr>
          <w:highlight w:val="yellow"/>
        </w:rPr>
        <w:t xml:space="preserve">Assim é importante para o </w:t>
      </w:r>
      <w:r w:rsidRPr="002E5519">
        <w:rPr>
          <w:highlight w:val="yellow"/>
        </w:rPr>
        <w:t xml:space="preserve">aprofundamento do conceito </w:t>
      </w:r>
      <w:r w:rsidR="00410816" w:rsidRPr="002E5519">
        <w:rPr>
          <w:highlight w:val="yellow"/>
        </w:rPr>
        <w:t xml:space="preserve">parcela </w:t>
      </w:r>
      <w:r w:rsidR="00691E11" w:rsidRPr="002E5519">
        <w:rPr>
          <w:highlight w:val="yellow"/>
        </w:rPr>
        <w:t xml:space="preserve">homogénea, </w:t>
      </w:r>
      <w:r w:rsidR="00497A18" w:rsidRPr="002E5519">
        <w:rPr>
          <w:highlight w:val="yellow"/>
        </w:rPr>
        <w:t>o recurso a novas técnicas que permitam de forma integrada</w:t>
      </w:r>
      <w:r w:rsidR="002E5519" w:rsidRPr="002E5519">
        <w:rPr>
          <w:highlight w:val="yellow"/>
        </w:rPr>
        <w:t xml:space="preserve"> dar informação fiável sobre a diferente capacidade de cada parcela para o comportamento da vinha a instalar</w:t>
      </w:r>
      <w:r w:rsidR="002E5519">
        <w:t>.</w:t>
      </w:r>
      <w:r w:rsidRPr="00F52ACC">
        <w:t xml:space="preserve"> </w:t>
      </w:r>
      <w:r w:rsidR="00410816" w:rsidRPr="002E5519">
        <w:rPr>
          <w:highlight w:val="yellow"/>
        </w:rPr>
        <w:t>O índice de vegetação</w:t>
      </w:r>
      <w:r w:rsidRPr="002E5519">
        <w:rPr>
          <w:highlight w:val="yellow"/>
        </w:rPr>
        <w:t xml:space="preserve"> </w:t>
      </w:r>
      <w:r w:rsidR="002E5519" w:rsidRPr="002E5519">
        <w:rPr>
          <w:highlight w:val="yellow"/>
        </w:rPr>
        <w:t xml:space="preserve">pode ser interpretado como integrador de vários </w:t>
      </w:r>
      <w:proofErr w:type="spellStart"/>
      <w:r w:rsidR="002E5519" w:rsidRPr="002E5519">
        <w:rPr>
          <w:highlight w:val="yellow"/>
        </w:rPr>
        <w:t>factores</w:t>
      </w:r>
      <w:proofErr w:type="spellEnd"/>
      <w:r w:rsidR="002E5519" w:rsidRPr="002E5519">
        <w:rPr>
          <w:highlight w:val="yellow"/>
        </w:rPr>
        <w:t xml:space="preserve">, incluindo o tipo de solo para definir </w:t>
      </w:r>
      <w:r w:rsidR="00410816" w:rsidRPr="002E5519">
        <w:rPr>
          <w:highlight w:val="yellow"/>
        </w:rPr>
        <w:t>parcela</w:t>
      </w:r>
      <w:r w:rsidR="002E5519" w:rsidRPr="002E5519">
        <w:rPr>
          <w:highlight w:val="yellow"/>
        </w:rPr>
        <w:t>s com igual potencial vitícola?</w:t>
      </w:r>
      <w:r w:rsidRPr="00F52ACC">
        <w:t xml:space="preserve"> </w:t>
      </w:r>
      <w:r w:rsidR="002E5519">
        <w:t>Neste estudo p</w:t>
      </w:r>
      <w:r w:rsidR="006B00DA" w:rsidRPr="006B00DA">
        <w:t>rocede</w:t>
      </w:r>
      <w:r w:rsidR="002E5519">
        <w:t>mos</w:t>
      </w:r>
      <w:r w:rsidR="006B00DA" w:rsidRPr="006B00DA">
        <w:t xml:space="preserve"> à obtenção de imagens aéreas, através de </w:t>
      </w:r>
      <w:proofErr w:type="spellStart"/>
      <w:r w:rsidR="006B00DA" w:rsidRPr="006B00DA">
        <w:t>detecção</w:t>
      </w:r>
      <w:proofErr w:type="spellEnd"/>
      <w:r w:rsidR="006B00DA" w:rsidRPr="006B00DA">
        <w:t xml:space="preserve"> remota. A </w:t>
      </w:r>
      <w:proofErr w:type="spellStart"/>
      <w:r w:rsidR="006B00DA" w:rsidRPr="006B00DA">
        <w:t>detecção</w:t>
      </w:r>
      <w:proofErr w:type="spellEnd"/>
      <w:r w:rsidR="006B00DA" w:rsidRPr="006B00DA">
        <w:t xml:space="preserve"> remota, baseia-se na capacidade que os sensores têm de quantificar separadamente os diferentes comprimentos de onda </w:t>
      </w:r>
      <w:proofErr w:type="spellStart"/>
      <w:r w:rsidR="006B00DA" w:rsidRPr="006B00DA">
        <w:t>reflectidos</w:t>
      </w:r>
      <w:proofErr w:type="spellEnd"/>
      <w:r w:rsidR="006B00DA" w:rsidRPr="006B00DA">
        <w:t xml:space="preserve"> por um </w:t>
      </w:r>
      <w:proofErr w:type="spellStart"/>
      <w:r w:rsidR="006B00DA" w:rsidRPr="006B00DA">
        <w:t>objecto</w:t>
      </w:r>
      <w:proofErr w:type="spellEnd"/>
      <w:r w:rsidR="006B00DA" w:rsidRPr="006B00DA">
        <w:t xml:space="preserve">, sendo possível construir índices a partir das imagens recolhidas, possibilitando assim quantificar e qualificar a variabilidade existente numa determinada parcela (Ortega &amp; </w:t>
      </w:r>
      <w:proofErr w:type="spellStart"/>
      <w:r w:rsidR="006B00DA" w:rsidRPr="006B00DA">
        <w:t>Esser</w:t>
      </w:r>
      <w:proofErr w:type="spellEnd"/>
      <w:r w:rsidR="006B00DA" w:rsidRPr="006B00DA">
        <w:t xml:space="preserve">, 2002). </w:t>
      </w:r>
      <w:r w:rsidR="006B00DA">
        <w:t>F</w:t>
      </w:r>
      <w:r w:rsidR="006B00DA" w:rsidRPr="006B00DA">
        <w:t>oi utilizado o NDVI (</w:t>
      </w:r>
      <w:proofErr w:type="spellStart"/>
      <w:r w:rsidR="006B00DA" w:rsidRPr="006B00DA">
        <w:t>Normalised</w:t>
      </w:r>
      <w:proofErr w:type="spellEnd"/>
      <w:r w:rsidR="006B00DA" w:rsidRPr="006B00DA">
        <w:t xml:space="preserve"> </w:t>
      </w:r>
      <w:proofErr w:type="spellStart"/>
      <w:r w:rsidR="006B00DA" w:rsidRPr="006B00DA">
        <w:t>Difference</w:t>
      </w:r>
      <w:proofErr w:type="spellEnd"/>
      <w:r w:rsidR="006B00DA" w:rsidRPr="006B00DA">
        <w:t xml:space="preserve"> </w:t>
      </w:r>
      <w:proofErr w:type="spellStart"/>
      <w:r w:rsidR="006B00DA" w:rsidRPr="006B00DA">
        <w:t>Vegetation</w:t>
      </w:r>
      <w:proofErr w:type="spellEnd"/>
      <w:r w:rsidR="006B00DA" w:rsidRPr="006B00DA">
        <w:t xml:space="preserve"> </w:t>
      </w:r>
      <w:proofErr w:type="spellStart"/>
      <w:r w:rsidR="006B00DA" w:rsidRPr="006B00DA">
        <w:t>Index</w:t>
      </w:r>
      <w:proofErr w:type="spellEnd"/>
      <w:r w:rsidR="006B00DA" w:rsidRPr="006B00DA">
        <w:t xml:space="preserve">), sendo obtido por uma combinação das </w:t>
      </w:r>
      <w:proofErr w:type="spellStart"/>
      <w:r w:rsidR="006B00DA" w:rsidRPr="006B00DA">
        <w:t>reflectâncias</w:t>
      </w:r>
      <w:proofErr w:type="spellEnd"/>
      <w:r w:rsidR="006B00DA" w:rsidRPr="006B00DA">
        <w:t xml:space="preserve"> no infravermelho próximo e </w:t>
      </w:r>
      <w:r w:rsidR="006B00DA" w:rsidRPr="006B00DA">
        <w:lastRenderedPageBreak/>
        <w:t>vermelho (NIR-R/NIR+R), os valore de NDVI encontram-se entra 0-1, sendo um representante de videiras com maior expressão vegetativa (</w:t>
      </w:r>
      <w:proofErr w:type="spellStart"/>
      <w:r w:rsidR="006B00DA" w:rsidRPr="006B00DA">
        <w:t>Lamb</w:t>
      </w:r>
      <w:proofErr w:type="spellEnd"/>
      <w:r w:rsidR="006B00DA" w:rsidRPr="006B00DA">
        <w:t>, 2000).</w:t>
      </w:r>
      <w:r w:rsidR="00B078B9" w:rsidRPr="00B078B9">
        <w:t xml:space="preserve"> Os índices de vegetação são construídos com base na informação obtida através de imagens multiespectrais (imagens resultantes da </w:t>
      </w:r>
      <w:proofErr w:type="spellStart"/>
      <w:r w:rsidR="00B078B9" w:rsidRPr="00B078B9">
        <w:t>reflectância</w:t>
      </w:r>
      <w:proofErr w:type="spellEnd"/>
      <w:r w:rsidR="00B078B9" w:rsidRPr="00B078B9">
        <w:t xml:space="preserve"> espectral nos diferentes comprimentos de onda, especificamente nas bandas do Azul, Verde, Vermelho e infravermelho próximo), reduzem assim os dados fornecidos pelo espectro (cada pixel), num valor numérico, têm vindo a ser muito desenvolvidos para realçar as alterações na condição da vegetação (</w:t>
      </w:r>
      <w:proofErr w:type="spellStart"/>
      <w:r w:rsidR="00B078B9" w:rsidRPr="00B078B9">
        <w:t>Wiegend</w:t>
      </w:r>
      <w:proofErr w:type="spellEnd"/>
      <w:r w:rsidR="00B078B9" w:rsidRPr="00B078B9">
        <w:t xml:space="preserve"> </w:t>
      </w:r>
      <w:proofErr w:type="spellStart"/>
      <w:r w:rsidR="00B078B9" w:rsidRPr="00B078B9">
        <w:t>et</w:t>
      </w:r>
      <w:proofErr w:type="spellEnd"/>
      <w:r w:rsidR="00B078B9" w:rsidRPr="00B078B9">
        <w:t xml:space="preserve"> al., 1991) Os índices espectrais de vegetação, obtidos através de imagens de diferentes comprimentos de onda, são um meio para quantificar as diferenças existentes entre a biomassa das videiras (</w:t>
      </w:r>
      <w:proofErr w:type="spellStart"/>
      <w:r w:rsidR="00B078B9" w:rsidRPr="00B078B9">
        <w:t>Bramley</w:t>
      </w:r>
      <w:proofErr w:type="spellEnd"/>
      <w:r w:rsidR="00B078B9" w:rsidRPr="00B078B9">
        <w:t xml:space="preserve"> </w:t>
      </w:r>
      <w:proofErr w:type="spellStart"/>
      <w:r w:rsidR="00B078B9" w:rsidRPr="00B078B9">
        <w:t>et</w:t>
      </w:r>
      <w:proofErr w:type="spellEnd"/>
      <w:r w:rsidR="00B078B9" w:rsidRPr="00B078B9">
        <w:t xml:space="preserve"> al., 2006). </w:t>
      </w:r>
      <w:r w:rsidR="00B078B9">
        <w:t xml:space="preserve">Os seus valores variam entre -1 e 1, sendo que nas zonas sem vegetação, o valor de NDVI é próximo de zero (Hall </w:t>
      </w:r>
      <w:proofErr w:type="spellStart"/>
      <w:r w:rsidR="00B078B9">
        <w:t>et</w:t>
      </w:r>
      <w:proofErr w:type="spellEnd"/>
      <w:r w:rsidR="00B078B9">
        <w:t xml:space="preserve"> al., 2002). As zonas de maior densidade vegetal (maior vigor), apresentam maior </w:t>
      </w:r>
      <w:proofErr w:type="spellStart"/>
      <w:r w:rsidR="00B078B9">
        <w:t>reflectância</w:t>
      </w:r>
      <w:proofErr w:type="spellEnd"/>
      <w:r w:rsidR="00B078B9">
        <w:t xml:space="preserve"> na zona do infravermelho próximo, e uma menor </w:t>
      </w:r>
      <w:proofErr w:type="spellStart"/>
      <w:r w:rsidR="00B078B9">
        <w:t>reflectância</w:t>
      </w:r>
      <w:proofErr w:type="spellEnd"/>
      <w:r w:rsidR="00B078B9">
        <w:t xml:space="preserve"> na zona do vermelho, apresentando um valor de NDVI mais elevado (Ortega &amp; </w:t>
      </w:r>
      <w:proofErr w:type="spellStart"/>
      <w:r w:rsidR="00B078B9">
        <w:t>Esser</w:t>
      </w:r>
      <w:proofErr w:type="spellEnd"/>
      <w:r w:rsidR="00B078B9">
        <w:t>, 2002).</w:t>
      </w:r>
    </w:p>
    <w:p w:rsidR="00F52ACC" w:rsidRDefault="00B078B9" w:rsidP="008978C5">
      <w:pPr>
        <w:ind w:firstLine="426"/>
        <w:jc w:val="both"/>
      </w:pPr>
      <w:r>
        <w:t>Com base no NDVI, é possível estabelecer diferentes classes numa mesma parcela, procedendo-se a uma zonagem diferenciada, podendo ser sujeitas a uma gestão orientada (</w:t>
      </w:r>
      <w:proofErr w:type="spellStart"/>
      <w:r>
        <w:t>Proffitt</w:t>
      </w:r>
      <w:proofErr w:type="spellEnd"/>
      <w:r>
        <w:t xml:space="preserve"> </w:t>
      </w:r>
      <w:proofErr w:type="spellStart"/>
      <w:r>
        <w:t>et</w:t>
      </w:r>
      <w:proofErr w:type="spellEnd"/>
      <w:r>
        <w:t xml:space="preserve"> al., 2006).</w:t>
      </w:r>
    </w:p>
    <w:p w:rsidR="00C67C6A" w:rsidRDefault="00C67C6A" w:rsidP="008978C5">
      <w:pPr>
        <w:ind w:firstLine="426"/>
        <w:jc w:val="both"/>
      </w:pPr>
      <w:r>
        <w:t xml:space="preserve">A Adega de Borba procura todos os anos relacionar a realidade vitivinícola das vinhas com as ferramentas que podem ajudar a desenvolver e criar digitalmente algo que seja realmente útil e que corresponda a uma verdade agronómica no apoio à gestão </w:t>
      </w:r>
      <w:r w:rsidR="00C71928">
        <w:t>das vinhas dos nossos sócios.</w:t>
      </w:r>
    </w:p>
    <w:p w:rsidR="002E5519" w:rsidRDefault="00C67C6A" w:rsidP="008978C5">
      <w:pPr>
        <w:ind w:firstLine="426"/>
        <w:jc w:val="both"/>
      </w:pPr>
      <w:r w:rsidRPr="002E5519">
        <w:rPr>
          <w:highlight w:val="yellow"/>
        </w:rPr>
        <w:t xml:space="preserve">Uma vez que nos parece que este conceito de parcela homogénea </w:t>
      </w:r>
      <w:r w:rsidR="002E5519" w:rsidRPr="002E5519">
        <w:rPr>
          <w:highlight w:val="yellow"/>
        </w:rPr>
        <w:t xml:space="preserve">se pode </w:t>
      </w:r>
      <w:r w:rsidRPr="002E5519">
        <w:rPr>
          <w:highlight w:val="yellow"/>
        </w:rPr>
        <w:t>relaciona</w:t>
      </w:r>
      <w:r w:rsidR="002E5519" w:rsidRPr="002E5519">
        <w:rPr>
          <w:highlight w:val="yellow"/>
        </w:rPr>
        <w:t>r</w:t>
      </w:r>
      <w:r w:rsidRPr="002E5519">
        <w:rPr>
          <w:highlight w:val="yellow"/>
        </w:rPr>
        <w:t xml:space="preserve"> com o NDVI, durante a fase que antecipa o pintor e </w:t>
      </w:r>
      <w:r w:rsidR="002E5519" w:rsidRPr="002E5519">
        <w:rPr>
          <w:highlight w:val="yellow"/>
        </w:rPr>
        <w:t>imediatamente após este</w:t>
      </w:r>
      <w:r w:rsidRPr="002E5519">
        <w:rPr>
          <w:highlight w:val="yellow"/>
        </w:rPr>
        <w:t xml:space="preserve">, </w:t>
      </w:r>
      <w:r w:rsidR="002E5519" w:rsidRPr="002E5519">
        <w:rPr>
          <w:highlight w:val="yellow"/>
        </w:rPr>
        <w:t>tentamos explorar esta</w:t>
      </w:r>
      <w:r w:rsidRPr="002E5519">
        <w:rPr>
          <w:highlight w:val="yellow"/>
        </w:rPr>
        <w:t xml:space="preserve"> ferramenta </w:t>
      </w:r>
      <w:r w:rsidR="002E5519" w:rsidRPr="002E5519">
        <w:rPr>
          <w:highlight w:val="yellow"/>
        </w:rPr>
        <w:t>no</w:t>
      </w:r>
      <w:r w:rsidRPr="002E5519">
        <w:rPr>
          <w:highlight w:val="yellow"/>
        </w:rPr>
        <w:t xml:space="preserve"> apoio </w:t>
      </w:r>
      <w:r w:rsidR="002E5519" w:rsidRPr="002E5519">
        <w:rPr>
          <w:highlight w:val="yellow"/>
        </w:rPr>
        <w:t>ao</w:t>
      </w:r>
      <w:r w:rsidRPr="002E5519">
        <w:rPr>
          <w:highlight w:val="yellow"/>
        </w:rPr>
        <w:t xml:space="preserve"> delineamento das parcelas de vinha, </w:t>
      </w:r>
      <w:r w:rsidR="002E5519" w:rsidRPr="002E5519">
        <w:rPr>
          <w:highlight w:val="yellow"/>
        </w:rPr>
        <w:t>com informação recolhida em 2018.</w:t>
      </w:r>
    </w:p>
    <w:p w:rsidR="002E5519" w:rsidRDefault="002E5519" w:rsidP="008978C5">
      <w:pPr>
        <w:ind w:firstLine="426"/>
        <w:jc w:val="both"/>
      </w:pPr>
    </w:p>
    <w:p w:rsidR="008978C5" w:rsidRDefault="008978C5" w:rsidP="008978C5">
      <w:pPr>
        <w:ind w:firstLine="426"/>
        <w:jc w:val="both"/>
      </w:pPr>
    </w:p>
    <w:p w:rsidR="00B078B9" w:rsidRDefault="00B078B9" w:rsidP="00B078B9">
      <w:pPr>
        <w:keepNext/>
        <w:keepLines/>
        <w:numPr>
          <w:ilvl w:val="0"/>
          <w:numId w:val="1"/>
        </w:numPr>
        <w:spacing w:line="360" w:lineRule="auto"/>
        <w:jc w:val="both"/>
        <w:outlineLvl w:val="0"/>
        <w:rPr>
          <w:rFonts w:eastAsiaTheme="majorEastAsia" w:cstheme="majorBidi"/>
          <w:b/>
          <w:bCs/>
          <w:caps/>
          <w:szCs w:val="28"/>
        </w:rPr>
      </w:pPr>
      <w:r w:rsidRPr="00B078B9">
        <w:rPr>
          <w:rFonts w:eastAsiaTheme="majorEastAsia" w:cstheme="majorBidi"/>
          <w:b/>
          <w:bCs/>
          <w:caps/>
          <w:szCs w:val="28"/>
        </w:rPr>
        <w:t>MATERIAL E MÉTODOS</w:t>
      </w:r>
    </w:p>
    <w:p w:rsidR="003A64B0" w:rsidRDefault="003A64B0" w:rsidP="003A64B0">
      <w:pPr>
        <w:keepNext/>
        <w:keepLines/>
        <w:numPr>
          <w:ilvl w:val="1"/>
          <w:numId w:val="1"/>
        </w:numPr>
        <w:spacing w:line="360" w:lineRule="auto"/>
        <w:jc w:val="both"/>
        <w:outlineLvl w:val="0"/>
        <w:rPr>
          <w:rFonts w:eastAsiaTheme="majorEastAsia" w:cstheme="majorBidi"/>
          <w:b/>
          <w:bCs/>
          <w:caps/>
          <w:szCs w:val="28"/>
        </w:rPr>
      </w:pPr>
      <w:r>
        <w:rPr>
          <w:rFonts w:eastAsiaTheme="majorEastAsia" w:cstheme="majorBidi"/>
          <w:b/>
          <w:bCs/>
          <w:caps/>
          <w:szCs w:val="28"/>
        </w:rPr>
        <w:t>área de Estudo</w:t>
      </w:r>
    </w:p>
    <w:p w:rsidR="00B078B9" w:rsidRDefault="003A64B0" w:rsidP="008978C5">
      <w:pPr>
        <w:ind w:firstLine="851"/>
        <w:jc w:val="both"/>
      </w:pPr>
      <w:r>
        <w:t>Este estudo foi conduzido em 3 vinhas localizadas na sub-região de Borba</w:t>
      </w:r>
      <w:r w:rsidR="001D325A">
        <w:t xml:space="preserve"> aptas </w:t>
      </w:r>
      <w:r w:rsidR="002E5519">
        <w:t xml:space="preserve">a </w:t>
      </w:r>
      <w:r w:rsidR="001D325A">
        <w:t>DO Borba</w:t>
      </w:r>
      <w:r w:rsidR="00924FA0">
        <w:t>.</w:t>
      </w:r>
      <w:r>
        <w:t xml:space="preserve"> </w:t>
      </w:r>
      <w:proofErr w:type="gramStart"/>
      <w:r>
        <w:t>Os viticultores tem</w:t>
      </w:r>
      <w:proofErr w:type="gramEnd"/>
      <w:r>
        <w:t xml:space="preserve"> as vinhas em sistema de enrelvamento das </w:t>
      </w:r>
      <w:proofErr w:type="spellStart"/>
      <w:r>
        <w:t>entre-linhas</w:t>
      </w:r>
      <w:proofErr w:type="spellEnd"/>
      <w:r>
        <w:t>,</w:t>
      </w:r>
      <w:r w:rsidR="00970D11">
        <w:t xml:space="preserve"> são regadas em sistema de rega deficitária gota a gota, conduzidas em cordão bilateral com </w:t>
      </w:r>
      <w:r w:rsidR="00410AA9">
        <w:t>6</w:t>
      </w:r>
      <w:r w:rsidR="00970D11">
        <w:t xml:space="preserve"> talões a 2 gomos </w:t>
      </w:r>
      <w:r w:rsidR="00924FA0">
        <w:t>e estão localizadas em três zonas distintas</w:t>
      </w:r>
      <w:r w:rsidR="00410AA9">
        <w:t>;</w:t>
      </w:r>
      <w:r w:rsidR="00924FA0">
        <w:t xml:space="preserve"> a Herdade da Torre localizada no concelho de Estremoz, freguesia de </w:t>
      </w:r>
      <w:r w:rsidR="001D325A">
        <w:t>Santa Vitoria</w:t>
      </w:r>
      <w:r w:rsidR="00924FA0">
        <w:t xml:space="preserve"> do Ameixial, a Herdade da Defesa localizada no concelho de Borba, freguesia de São Tiago Rio de Moinhos, e Monte da Estrada localizada no concelho de Borba, freguesia da Orada. Tent</w:t>
      </w:r>
      <w:r w:rsidR="00410AA9">
        <w:t>ámos</w:t>
      </w:r>
      <w:r w:rsidR="00924FA0">
        <w:t xml:space="preserve"> escolher vinhas com o mesmo tipo de solo, solos xistosos</w:t>
      </w:r>
      <w:r w:rsidR="001D325A">
        <w:t xml:space="preserve">. Os voos </w:t>
      </w:r>
      <w:r w:rsidR="00410AA9" w:rsidRPr="00410AA9">
        <w:rPr>
          <w:highlight w:val="yellow"/>
        </w:rPr>
        <w:t>para obtenção das imagens</w:t>
      </w:r>
      <w:r w:rsidR="00410AA9">
        <w:t xml:space="preserve"> o</w:t>
      </w:r>
      <w:r w:rsidR="001D325A">
        <w:t xml:space="preserve">correram na primeira e segunda semana de </w:t>
      </w:r>
      <w:proofErr w:type="gramStart"/>
      <w:r w:rsidR="001D325A">
        <w:t>Agosto</w:t>
      </w:r>
      <w:proofErr w:type="gramEnd"/>
      <w:r w:rsidR="001D325A">
        <w:t>.</w:t>
      </w:r>
    </w:p>
    <w:p w:rsidR="00B53A38" w:rsidRDefault="00B53A38" w:rsidP="003A64B0">
      <w:pPr>
        <w:keepNext/>
        <w:keepLines/>
        <w:spacing w:line="360" w:lineRule="auto"/>
        <w:ind w:left="360"/>
        <w:jc w:val="both"/>
        <w:outlineLvl w:val="0"/>
      </w:pPr>
    </w:p>
    <w:p w:rsidR="00B53A38" w:rsidRDefault="00B53A38" w:rsidP="00B53A38">
      <w:pPr>
        <w:keepNext/>
        <w:keepLines/>
        <w:spacing w:line="360" w:lineRule="auto"/>
        <w:ind w:left="360"/>
        <w:jc w:val="center"/>
        <w:outlineLvl w:val="0"/>
      </w:pPr>
      <w:r>
        <w:rPr>
          <w:noProof/>
        </w:rPr>
        <w:drawing>
          <wp:inline distT="0" distB="0" distL="0" distR="0" wp14:anchorId="1F06DD4D" wp14:editId="64B6D91E">
            <wp:extent cx="4180204" cy="2816773"/>
            <wp:effectExtent l="19050" t="19050" r="11430" b="222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0204" cy="2816773"/>
                    </a:xfrm>
                    <a:prstGeom prst="rect">
                      <a:avLst/>
                    </a:prstGeom>
                    <a:ln w="25400">
                      <a:solidFill>
                        <a:schemeClr val="tx1"/>
                      </a:solidFill>
                    </a:ln>
                  </pic:spPr>
                </pic:pic>
              </a:graphicData>
            </a:graphic>
          </wp:inline>
        </w:drawing>
      </w:r>
    </w:p>
    <w:p w:rsidR="0072632E" w:rsidRDefault="00B53A38" w:rsidP="007E7602">
      <w:pPr>
        <w:pStyle w:val="Legenda"/>
        <w:jc w:val="center"/>
      </w:pPr>
      <w:r>
        <w:t xml:space="preserve">Figura </w:t>
      </w:r>
      <w:fldSimple w:instr=" SEQ Figura \* ARABIC ">
        <w:r w:rsidR="006D2244">
          <w:rPr>
            <w:noProof/>
          </w:rPr>
          <w:t>1</w:t>
        </w:r>
      </w:fldSimple>
      <w:r>
        <w:t xml:space="preserve"> - Localização das vinhas analisadas</w:t>
      </w:r>
    </w:p>
    <w:p w:rsidR="008978C5" w:rsidRDefault="008978C5" w:rsidP="008978C5"/>
    <w:p w:rsidR="008978C5" w:rsidRDefault="008978C5" w:rsidP="008978C5">
      <w:pPr>
        <w:pStyle w:val="PargrafodaLista"/>
        <w:keepNext/>
        <w:keepLines/>
        <w:numPr>
          <w:ilvl w:val="1"/>
          <w:numId w:val="1"/>
        </w:numPr>
        <w:spacing w:line="360" w:lineRule="auto"/>
        <w:jc w:val="both"/>
        <w:outlineLvl w:val="0"/>
        <w:rPr>
          <w:rFonts w:eastAsiaTheme="majorEastAsia" w:cstheme="majorBidi"/>
          <w:b/>
          <w:bCs/>
          <w:caps/>
          <w:szCs w:val="28"/>
        </w:rPr>
      </w:pPr>
      <w:r>
        <w:rPr>
          <w:rFonts w:eastAsiaTheme="majorEastAsia" w:cstheme="majorBidi"/>
          <w:b/>
          <w:bCs/>
          <w:caps/>
          <w:szCs w:val="28"/>
        </w:rPr>
        <w:t>Análise dos Dados</w:t>
      </w:r>
    </w:p>
    <w:p w:rsidR="008978C5" w:rsidRDefault="008978C5" w:rsidP="008978C5">
      <w:pPr>
        <w:ind w:firstLine="709"/>
        <w:jc w:val="both"/>
      </w:pPr>
      <w:r w:rsidRPr="008978C5">
        <w:t xml:space="preserve">Este estudo foi efetuado durante a campanha de 2018, na fase que antecipa o pintor e durante o pintor. As imagens foram fornecidas por um parceiro comercial a </w:t>
      </w:r>
      <w:proofErr w:type="spellStart"/>
      <w:r w:rsidRPr="008978C5">
        <w:t>Geosense</w:t>
      </w:r>
      <w:proofErr w:type="spellEnd"/>
      <w:r w:rsidRPr="008978C5">
        <w:t xml:space="preserve">, com um “PHANTOM4 Pro”, </w:t>
      </w:r>
      <w:proofErr w:type="spellStart"/>
      <w:r w:rsidRPr="008978C5">
        <w:t>drone</w:t>
      </w:r>
      <w:proofErr w:type="spellEnd"/>
      <w:r w:rsidRPr="008978C5">
        <w:t xml:space="preserve"> utilizado para realizar imagens RGB e um “</w:t>
      </w:r>
      <w:proofErr w:type="spellStart"/>
      <w:r w:rsidRPr="008978C5">
        <w:t>ebee</w:t>
      </w:r>
      <w:proofErr w:type="spellEnd"/>
      <w:r w:rsidRPr="008978C5">
        <w:t xml:space="preserve">” </w:t>
      </w:r>
      <w:proofErr w:type="spellStart"/>
      <w:r w:rsidRPr="008978C5">
        <w:t>drone</w:t>
      </w:r>
      <w:proofErr w:type="spellEnd"/>
      <w:r w:rsidRPr="008978C5">
        <w:t xml:space="preserve"> utilizado para recolher NIR e RGB, com uma camara GP9 X e uma camara </w:t>
      </w:r>
      <w:proofErr w:type="gramStart"/>
      <w:r w:rsidRPr="008978C5">
        <w:t>Sequoia .</w:t>
      </w:r>
      <w:proofErr w:type="gramEnd"/>
      <w:r w:rsidRPr="008978C5">
        <w:t xml:space="preserve"> As bandas espectrais foram processadas pela </w:t>
      </w:r>
      <w:proofErr w:type="spellStart"/>
      <w:r w:rsidRPr="008978C5">
        <w:t>Geosense</w:t>
      </w:r>
      <w:proofErr w:type="spellEnd"/>
      <w:r w:rsidRPr="008978C5">
        <w:t xml:space="preserve">, tendo sido trabalhadas e corrigidas por forma a preservar a integridade dos espectros. As imagens forma calibradas por forma a estarem todas na mesma escala para poderem ser comparadas. A </w:t>
      </w:r>
      <w:r w:rsidR="001C03BE" w:rsidRPr="008978C5">
        <w:t>fórmula</w:t>
      </w:r>
      <w:r w:rsidRPr="008978C5">
        <w:t xml:space="preserve"> do NDVI foi aplicada aos espectros corrigidos como um indicador de vigor da vinha. As imagens das </w:t>
      </w:r>
      <w:proofErr w:type="spellStart"/>
      <w:r w:rsidRPr="008978C5">
        <w:t>entre-linhas</w:t>
      </w:r>
      <w:proofErr w:type="spellEnd"/>
      <w:r w:rsidRPr="008978C5">
        <w:t xml:space="preserve"> foram eliminadas.</w:t>
      </w:r>
    </w:p>
    <w:p w:rsidR="008978C5" w:rsidRDefault="008978C5" w:rsidP="008978C5">
      <w:pPr>
        <w:ind w:firstLine="709"/>
        <w:jc w:val="both"/>
      </w:pPr>
    </w:p>
    <w:p w:rsidR="008978C5" w:rsidRPr="00CC23AC" w:rsidRDefault="008978C5" w:rsidP="00CC23AC">
      <w:pPr>
        <w:keepNext/>
        <w:keepLines/>
        <w:numPr>
          <w:ilvl w:val="0"/>
          <w:numId w:val="1"/>
        </w:numPr>
        <w:spacing w:line="360" w:lineRule="auto"/>
        <w:jc w:val="both"/>
        <w:outlineLvl w:val="0"/>
        <w:rPr>
          <w:rFonts w:eastAsiaTheme="majorEastAsia" w:cstheme="majorBidi"/>
          <w:b/>
          <w:bCs/>
          <w:caps/>
          <w:szCs w:val="28"/>
        </w:rPr>
      </w:pPr>
      <w:r w:rsidRPr="00B078B9">
        <w:rPr>
          <w:rFonts w:eastAsiaTheme="majorEastAsia" w:cstheme="majorBidi"/>
          <w:b/>
          <w:bCs/>
          <w:caps/>
          <w:szCs w:val="28"/>
        </w:rPr>
        <w:t>RESULTADOS E DISCUSSÃO</w:t>
      </w:r>
    </w:p>
    <w:p w:rsidR="008978C5" w:rsidRDefault="008978C5" w:rsidP="008978C5">
      <w:pPr>
        <w:ind w:firstLine="284"/>
      </w:pPr>
    </w:p>
    <w:p w:rsidR="008978C5" w:rsidRPr="001C03BE" w:rsidRDefault="008978C5" w:rsidP="001C03BE">
      <w:pPr>
        <w:ind w:firstLine="284"/>
        <w:jc w:val="both"/>
      </w:pPr>
      <w:r>
        <w:t>Com o objetivo de analisar se as imagens de NDVI podem ou não ser usadas como uma ferramenta de decisão na configuração e desenho das parcelas de vinha</w:t>
      </w:r>
      <w:r w:rsidR="00CC23AC">
        <w:t xml:space="preserve"> ou dos talhões de vinha</w:t>
      </w:r>
      <w:r>
        <w:t xml:space="preserve">, de acordo com o índice de vegetação e analise do vigor das vinhas, estabelecendo zonas diferenciadas que por observação das imagens nos indiquem que são </w:t>
      </w:r>
      <w:r w:rsidR="008824E4">
        <w:t>homogéneas</w:t>
      </w:r>
      <w:r>
        <w:t xml:space="preserve"> ou heterogéneas, levando-nos a interpretar que quando se arrancar a vinha para restruturar, o desenho da parcela terá que ser diferente devido ao facto de mostrarem claramente ao longo dos anos diferenças significativas no índice vegetativo, separando em zonas de maior e de menor vigor. </w:t>
      </w:r>
      <w:r w:rsidR="003A17BA">
        <w:t xml:space="preserve">As diferenças no vigor </w:t>
      </w:r>
      <w:r w:rsidR="00410AA9">
        <w:t xml:space="preserve">observadas </w:t>
      </w:r>
      <w:r w:rsidR="003A17BA">
        <w:t xml:space="preserve">poderão ter diversas causas, </w:t>
      </w:r>
      <w:r w:rsidR="003A17BA" w:rsidRPr="00410AA9">
        <w:rPr>
          <w:highlight w:val="yellow"/>
        </w:rPr>
        <w:t xml:space="preserve">como </w:t>
      </w:r>
      <w:r w:rsidR="00410AA9" w:rsidRPr="00410AA9">
        <w:rPr>
          <w:highlight w:val="yellow"/>
        </w:rPr>
        <w:t>profundidade do solo, fertilidade, disponibilidade</w:t>
      </w:r>
      <w:r w:rsidR="003A17BA" w:rsidRPr="00410AA9">
        <w:rPr>
          <w:highlight w:val="yellow"/>
        </w:rPr>
        <w:t xml:space="preserve"> hídric</w:t>
      </w:r>
      <w:r w:rsidR="00410AA9" w:rsidRPr="00410AA9">
        <w:rPr>
          <w:highlight w:val="yellow"/>
        </w:rPr>
        <w:t>a</w:t>
      </w:r>
      <w:r w:rsidR="003A17BA" w:rsidRPr="00410AA9">
        <w:rPr>
          <w:highlight w:val="yellow"/>
        </w:rPr>
        <w:t xml:space="preserve">, </w:t>
      </w:r>
      <w:r w:rsidR="00410AA9" w:rsidRPr="00410AA9">
        <w:rPr>
          <w:highlight w:val="yellow"/>
        </w:rPr>
        <w:t>castas e porta-enxertos,</w:t>
      </w:r>
      <w:r w:rsidR="00410AA9">
        <w:t xml:space="preserve"> </w:t>
      </w:r>
      <w:proofErr w:type="spellStart"/>
      <w:r w:rsidR="00410AA9">
        <w:t>etc</w:t>
      </w:r>
      <w:proofErr w:type="spellEnd"/>
      <w:r w:rsidR="00410AA9">
        <w:t>,</w:t>
      </w:r>
      <w:r w:rsidR="003A17BA">
        <w:t xml:space="preserve"> mas aqui tentamos apenas basearmo-nos numa informação objetiva referente ao vigor das plantas como indicador de diferenças estruturais na parcela, que implicam gestões diferenciadas. </w:t>
      </w:r>
      <w:r>
        <w:t xml:space="preserve">Podemos mesmo chegar à conclusão que </w:t>
      </w:r>
      <w:r w:rsidR="00CC23AC">
        <w:t>talhões</w:t>
      </w:r>
      <w:r>
        <w:t xml:space="preserve"> de vinha </w:t>
      </w:r>
      <w:proofErr w:type="spellStart"/>
      <w:r w:rsidR="00410AA9">
        <w:t>actualmente</w:t>
      </w:r>
      <w:proofErr w:type="spellEnd"/>
      <w:r>
        <w:t xml:space="preserve"> separadas pode</w:t>
      </w:r>
      <w:r w:rsidR="00410AA9">
        <w:t>riam</w:t>
      </w:r>
      <w:r>
        <w:t xml:space="preserve"> ser só </w:t>
      </w:r>
      <w:r w:rsidR="00CC23AC">
        <w:t>um talhão</w:t>
      </w:r>
      <w:r w:rsidR="00410AA9">
        <w:t xml:space="preserve"> no futuro</w:t>
      </w:r>
      <w:r w:rsidR="00CC23AC">
        <w:t xml:space="preserve">, e </w:t>
      </w:r>
      <w:r w:rsidR="00410AA9">
        <w:t xml:space="preserve">pelo contrario </w:t>
      </w:r>
      <w:r w:rsidR="00CC23AC">
        <w:t>um</w:t>
      </w:r>
      <w:r>
        <w:t xml:space="preserve"> </w:t>
      </w:r>
      <w:r w:rsidR="00CC23AC">
        <w:t xml:space="preserve">talhão </w:t>
      </w:r>
      <w:proofErr w:type="spellStart"/>
      <w:r w:rsidR="00410AA9">
        <w:t>actual</w:t>
      </w:r>
      <w:proofErr w:type="spellEnd"/>
      <w:r w:rsidR="00410AA9">
        <w:t xml:space="preserve"> </w:t>
      </w:r>
      <w:r w:rsidR="00CC23AC">
        <w:t>transformar-se em dois</w:t>
      </w:r>
      <w:r>
        <w:t xml:space="preserve"> </w:t>
      </w:r>
      <w:r w:rsidR="00CC23AC">
        <w:t>talhões</w:t>
      </w:r>
      <w:r>
        <w:t xml:space="preserve">. </w:t>
      </w:r>
      <w:r w:rsidR="00CC23AC">
        <w:t>I</w:t>
      </w:r>
      <w:r w:rsidR="00CC23AC" w:rsidRPr="00145B8F">
        <w:rPr>
          <w:highlight w:val="yellow"/>
        </w:rPr>
        <w:t>nterpret</w:t>
      </w:r>
      <w:r w:rsidR="00145B8F" w:rsidRPr="00145B8F">
        <w:rPr>
          <w:highlight w:val="yellow"/>
        </w:rPr>
        <w:t>ámos</w:t>
      </w:r>
      <w:r w:rsidR="00CC23AC">
        <w:t xml:space="preserve"> as imagens </w:t>
      </w:r>
      <w:r w:rsidR="00145B8F">
        <w:t>de forma</w:t>
      </w:r>
      <w:r w:rsidR="00CC23AC">
        <w:t xml:space="preserve"> que </w:t>
      </w:r>
      <w:r w:rsidR="00410AA9" w:rsidRPr="00410AA9">
        <w:rPr>
          <w:highlight w:val="yellow"/>
        </w:rPr>
        <w:t xml:space="preserve">o </w:t>
      </w:r>
      <w:r w:rsidR="00CC23AC" w:rsidRPr="00410AA9">
        <w:rPr>
          <w:highlight w:val="yellow"/>
        </w:rPr>
        <w:t xml:space="preserve">verde </w:t>
      </w:r>
      <w:r w:rsidR="00410AA9" w:rsidRPr="00410AA9">
        <w:rPr>
          <w:highlight w:val="yellow"/>
        </w:rPr>
        <w:t>significa</w:t>
      </w:r>
      <w:r w:rsidR="00CC23AC" w:rsidRPr="00410AA9">
        <w:rPr>
          <w:highlight w:val="yellow"/>
        </w:rPr>
        <w:t xml:space="preserve"> maior índice vegetativo e </w:t>
      </w:r>
      <w:r w:rsidR="00410AA9" w:rsidRPr="00410AA9">
        <w:rPr>
          <w:highlight w:val="yellow"/>
        </w:rPr>
        <w:t xml:space="preserve">o </w:t>
      </w:r>
      <w:proofErr w:type="gramStart"/>
      <w:r w:rsidR="00CC23AC" w:rsidRPr="00410AA9">
        <w:rPr>
          <w:highlight w:val="yellow"/>
        </w:rPr>
        <w:t>vermelho</w:t>
      </w:r>
      <w:r w:rsidR="00CC23AC">
        <w:t xml:space="preserve">  menor</w:t>
      </w:r>
      <w:proofErr w:type="gramEnd"/>
      <w:r w:rsidR="00CC23AC">
        <w:t xml:space="preserve"> índice vegetativo, sendo amarelo o valor médio. Com</w:t>
      </w:r>
      <w:r>
        <w:t xml:space="preserve"> base na imagem da </w:t>
      </w:r>
      <w:r>
        <w:lastRenderedPageBreak/>
        <w:t>vinha da Herdade da Torre</w:t>
      </w:r>
      <w:r w:rsidR="00145B8F">
        <w:t xml:space="preserve"> por exemplo</w:t>
      </w:r>
      <w:r>
        <w:t>, podemos verificar que existem de facto zo</w:t>
      </w:r>
      <w:r w:rsidR="00CC23AC">
        <w:t>nas distintas de vigor dentro do mesmo</w:t>
      </w:r>
      <w:r>
        <w:t xml:space="preserve"> </w:t>
      </w:r>
      <w:r w:rsidR="00CC23AC">
        <w:t>talhão</w:t>
      </w:r>
      <w:r>
        <w:t xml:space="preserve"> </w:t>
      </w:r>
      <w:proofErr w:type="spellStart"/>
      <w:r w:rsidR="00410AA9">
        <w:t>actual</w:t>
      </w:r>
      <w:proofErr w:type="spellEnd"/>
      <w:r w:rsidR="00410AA9">
        <w:t xml:space="preserve"> </w:t>
      </w:r>
      <w:r>
        <w:t xml:space="preserve">de vinha, </w:t>
      </w:r>
      <w:r w:rsidR="00410AA9">
        <w:t xml:space="preserve">sendo </w:t>
      </w:r>
      <w:r>
        <w:t xml:space="preserve">a questão se são ou não significativas </w:t>
      </w:r>
      <w:r w:rsidR="00145B8F">
        <w:t xml:space="preserve">para </w:t>
      </w:r>
      <w:r>
        <w:t>que se possa pensar noutra forma de configuração da parcela como é o caso da figura 2.</w:t>
      </w:r>
    </w:p>
    <w:p w:rsidR="00B078B9" w:rsidRDefault="00B078B9" w:rsidP="00B078B9">
      <w:pPr>
        <w:keepNext/>
        <w:keepLines/>
        <w:spacing w:line="360" w:lineRule="auto"/>
        <w:jc w:val="both"/>
        <w:outlineLvl w:val="0"/>
        <w:rPr>
          <w:rFonts w:eastAsiaTheme="majorEastAsia" w:cstheme="majorBidi"/>
          <w:b/>
          <w:bCs/>
          <w:caps/>
          <w:szCs w:val="28"/>
        </w:rPr>
      </w:pPr>
    </w:p>
    <w:p w:rsidR="007E7602" w:rsidRDefault="007E7602" w:rsidP="007E7602">
      <w:pPr>
        <w:keepNext/>
        <w:keepLines/>
        <w:spacing w:line="360" w:lineRule="auto"/>
        <w:ind w:left="360"/>
        <w:jc w:val="center"/>
        <w:outlineLvl w:val="0"/>
      </w:pPr>
      <w:r>
        <w:rPr>
          <w:noProof/>
        </w:rPr>
        <w:drawing>
          <wp:inline distT="0" distB="0" distL="0" distR="0" wp14:anchorId="128583C8" wp14:editId="3EC5705F">
            <wp:extent cx="4277710" cy="2774887"/>
            <wp:effectExtent l="19050" t="19050" r="27940" b="260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0762" cy="2809301"/>
                    </a:xfrm>
                    <a:prstGeom prst="rect">
                      <a:avLst/>
                    </a:prstGeom>
                    <a:ln w="25400">
                      <a:solidFill>
                        <a:schemeClr val="tx1"/>
                      </a:solidFill>
                    </a:ln>
                  </pic:spPr>
                </pic:pic>
              </a:graphicData>
            </a:graphic>
          </wp:inline>
        </w:drawing>
      </w:r>
    </w:p>
    <w:p w:rsidR="007E7602" w:rsidRDefault="007E7602" w:rsidP="00CC23AC">
      <w:pPr>
        <w:pStyle w:val="Legenda"/>
        <w:jc w:val="center"/>
      </w:pPr>
      <w:r>
        <w:t xml:space="preserve">Figura </w:t>
      </w:r>
      <w:fldSimple w:instr=" SEQ Figura \* ARABIC ">
        <w:r w:rsidR="006D2244">
          <w:rPr>
            <w:noProof/>
          </w:rPr>
          <w:t>2</w:t>
        </w:r>
      </w:fldSimple>
      <w:r>
        <w:t xml:space="preserve"> - Herdade da Torre Talhão Aragonez</w:t>
      </w:r>
    </w:p>
    <w:p w:rsidR="001C03BE" w:rsidRPr="001C03BE" w:rsidRDefault="001C03BE" w:rsidP="001C03BE"/>
    <w:p w:rsidR="007E7602" w:rsidRDefault="00CC23AC" w:rsidP="00876C64">
      <w:pPr>
        <w:ind w:firstLine="426"/>
        <w:jc w:val="both"/>
        <w:rPr>
          <w:rFonts w:eastAsiaTheme="majorEastAsia"/>
        </w:rPr>
      </w:pPr>
      <w:r>
        <w:rPr>
          <w:rFonts w:eastAsiaTheme="majorEastAsia"/>
        </w:rPr>
        <w:t>Aqui podemos verificar que a parcela de vinha no seu todo tem pouco vigor, exceto na zona mais baixa onde o vigor é claramente superior</w:t>
      </w:r>
      <w:r w:rsidR="00145B8F">
        <w:rPr>
          <w:rFonts w:eastAsiaTheme="majorEastAsia"/>
        </w:rPr>
        <w:t>.</w:t>
      </w:r>
      <w:r>
        <w:rPr>
          <w:rFonts w:eastAsiaTheme="majorEastAsia"/>
        </w:rPr>
        <w:t xml:space="preserve"> </w:t>
      </w:r>
      <w:r w:rsidR="00145B8F">
        <w:rPr>
          <w:rFonts w:eastAsiaTheme="majorEastAsia"/>
        </w:rPr>
        <w:t>N</w:t>
      </w:r>
      <w:r>
        <w:rPr>
          <w:rFonts w:eastAsiaTheme="majorEastAsia"/>
        </w:rPr>
        <w:t xml:space="preserve">a nossa interpretação não </w:t>
      </w:r>
      <w:r w:rsidR="00145B8F">
        <w:rPr>
          <w:rFonts w:eastAsiaTheme="majorEastAsia"/>
        </w:rPr>
        <w:t>se justificaria</w:t>
      </w:r>
      <w:r>
        <w:rPr>
          <w:rFonts w:eastAsiaTheme="majorEastAsia"/>
        </w:rPr>
        <w:t xml:space="preserve"> outro tipo de configuração da parcela uma vez que no seu todo o talhão de vinha é </w:t>
      </w:r>
      <w:r w:rsidR="00145B8F">
        <w:rPr>
          <w:rFonts w:eastAsiaTheme="majorEastAsia"/>
        </w:rPr>
        <w:t xml:space="preserve">bastante </w:t>
      </w:r>
      <w:r>
        <w:rPr>
          <w:rFonts w:eastAsiaTheme="majorEastAsia"/>
        </w:rPr>
        <w:t>homogéneo no vigor vegetativo, pelo que nesta parcela as delimitações se manteriam.</w:t>
      </w:r>
    </w:p>
    <w:p w:rsidR="00CC23AC" w:rsidRDefault="00CC23AC" w:rsidP="00876C64">
      <w:pPr>
        <w:ind w:firstLine="426"/>
        <w:jc w:val="both"/>
        <w:rPr>
          <w:rFonts w:eastAsiaTheme="majorEastAsia"/>
        </w:rPr>
      </w:pPr>
    </w:p>
    <w:p w:rsidR="00CC23AC" w:rsidRDefault="00CC23AC" w:rsidP="00876C64">
      <w:pPr>
        <w:ind w:firstLine="426"/>
        <w:jc w:val="both"/>
        <w:rPr>
          <w:rFonts w:eastAsiaTheme="majorEastAsia"/>
        </w:rPr>
      </w:pPr>
      <w:r>
        <w:rPr>
          <w:rFonts w:eastAsiaTheme="majorEastAsia"/>
        </w:rPr>
        <w:t>Já na figura 3, podemos verificar que neste talhão de Roupeiro</w:t>
      </w:r>
      <w:r w:rsidR="00876C64">
        <w:rPr>
          <w:rFonts w:eastAsiaTheme="majorEastAsia"/>
        </w:rPr>
        <w:t xml:space="preserve"> temos </w:t>
      </w:r>
      <w:r w:rsidR="00F71491">
        <w:rPr>
          <w:rFonts w:eastAsiaTheme="majorEastAsia"/>
        </w:rPr>
        <w:t>claramente</w:t>
      </w:r>
      <w:r w:rsidR="00876C64">
        <w:rPr>
          <w:rFonts w:eastAsiaTheme="majorEastAsia"/>
        </w:rPr>
        <w:t xml:space="preserve"> diferenças no índice </w:t>
      </w:r>
      <w:r w:rsidR="00876C64" w:rsidRPr="00145B8F">
        <w:rPr>
          <w:rFonts w:eastAsiaTheme="majorEastAsia"/>
          <w:highlight w:val="yellow"/>
        </w:rPr>
        <w:t>vegetativo</w:t>
      </w:r>
      <w:r w:rsidR="00145B8F" w:rsidRPr="00145B8F">
        <w:rPr>
          <w:rFonts w:eastAsiaTheme="majorEastAsia"/>
          <w:highlight w:val="yellow"/>
        </w:rPr>
        <w:t>, e</w:t>
      </w:r>
      <w:r w:rsidR="00876C64" w:rsidRPr="00145B8F">
        <w:rPr>
          <w:rFonts w:eastAsiaTheme="majorEastAsia"/>
          <w:highlight w:val="yellow"/>
        </w:rPr>
        <w:t xml:space="preserve"> podemos</w:t>
      </w:r>
      <w:r w:rsidR="00876C64">
        <w:rPr>
          <w:rFonts w:eastAsiaTheme="majorEastAsia"/>
        </w:rPr>
        <w:t xml:space="preserve"> identificar duas zonas mais vigorosas e uma menos vigorosa que é a zona central do talhão.</w:t>
      </w:r>
      <w:r w:rsidR="00E66B1A">
        <w:rPr>
          <w:rFonts w:eastAsiaTheme="majorEastAsia"/>
        </w:rPr>
        <w:t xml:space="preserve"> Neste caso podemos pensar numa delimitação que corresponda a 3 parcelas homogéneas</w:t>
      </w:r>
      <w:r w:rsidR="00F71491">
        <w:rPr>
          <w:rFonts w:eastAsiaTheme="majorEastAsia"/>
        </w:rPr>
        <w:t xml:space="preserve"> como demostrado na figura 4.</w:t>
      </w:r>
    </w:p>
    <w:p w:rsidR="001C03BE" w:rsidRDefault="001C03BE" w:rsidP="00876C64">
      <w:pPr>
        <w:ind w:firstLine="426"/>
        <w:jc w:val="both"/>
        <w:rPr>
          <w:rFonts w:eastAsiaTheme="majorEastAsia"/>
        </w:rPr>
      </w:pPr>
    </w:p>
    <w:p w:rsidR="00876C64" w:rsidRDefault="00876C64" w:rsidP="00876C64">
      <w:pPr>
        <w:ind w:firstLine="426"/>
        <w:jc w:val="both"/>
        <w:rPr>
          <w:rFonts w:eastAsiaTheme="majorEastAsia"/>
        </w:rPr>
      </w:pPr>
    </w:p>
    <w:p w:rsidR="00E66B1A" w:rsidRDefault="00876C64" w:rsidP="00E66B1A">
      <w:pPr>
        <w:keepNext/>
        <w:ind w:firstLine="426"/>
        <w:jc w:val="both"/>
      </w:pPr>
      <w:r>
        <w:rPr>
          <w:noProof/>
        </w:rPr>
        <w:lastRenderedPageBreak/>
        <w:drawing>
          <wp:inline distT="0" distB="0" distL="0" distR="0" wp14:anchorId="3E3D05FE" wp14:editId="432048B2">
            <wp:extent cx="5002924" cy="2349729"/>
            <wp:effectExtent l="19050" t="19050" r="26670" b="1270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5687" cy="2355724"/>
                    </a:xfrm>
                    <a:prstGeom prst="rect">
                      <a:avLst/>
                    </a:prstGeom>
                    <a:ln>
                      <a:solidFill>
                        <a:schemeClr val="tx1"/>
                      </a:solidFill>
                    </a:ln>
                  </pic:spPr>
                </pic:pic>
              </a:graphicData>
            </a:graphic>
          </wp:inline>
        </w:drawing>
      </w:r>
    </w:p>
    <w:p w:rsidR="00876C64" w:rsidRDefault="00E66B1A" w:rsidP="00E66B1A">
      <w:pPr>
        <w:pStyle w:val="Legenda"/>
        <w:jc w:val="both"/>
        <w:rPr>
          <w:rFonts w:eastAsiaTheme="majorEastAsia"/>
          <w:b w:val="0"/>
          <w:bCs w:val="0"/>
        </w:rPr>
      </w:pPr>
      <w:r>
        <w:t xml:space="preserve">Figura </w:t>
      </w:r>
      <w:fldSimple w:instr=" SEQ Figura \* ARABIC ">
        <w:r w:rsidR="006D2244">
          <w:rPr>
            <w:noProof/>
          </w:rPr>
          <w:t>3</w:t>
        </w:r>
      </w:fldSimple>
      <w:r>
        <w:t xml:space="preserve"> - Herdade da Torre Talhão </w:t>
      </w:r>
      <w:proofErr w:type="spellStart"/>
      <w:r>
        <w:t>Rouperio</w:t>
      </w:r>
      <w:proofErr w:type="spellEnd"/>
    </w:p>
    <w:p w:rsidR="00B078B9" w:rsidRDefault="00B078B9" w:rsidP="00B078B9">
      <w:pPr>
        <w:keepNext/>
        <w:keepLines/>
        <w:spacing w:line="360" w:lineRule="auto"/>
        <w:jc w:val="both"/>
        <w:outlineLvl w:val="0"/>
        <w:rPr>
          <w:rFonts w:eastAsiaTheme="majorEastAsia" w:cstheme="majorBidi"/>
          <w:b/>
          <w:bCs/>
          <w:caps/>
          <w:szCs w:val="28"/>
        </w:rPr>
      </w:pPr>
    </w:p>
    <w:p w:rsidR="00E66B1A" w:rsidRDefault="00E66B1A" w:rsidP="00E66B1A">
      <w:pPr>
        <w:keepNext/>
        <w:keepLines/>
        <w:spacing w:line="360" w:lineRule="auto"/>
        <w:jc w:val="both"/>
        <w:outlineLvl w:val="0"/>
      </w:pPr>
      <w:r>
        <w:rPr>
          <w:noProof/>
        </w:rPr>
        <w:drawing>
          <wp:inline distT="0" distB="0" distL="0" distR="0" wp14:anchorId="65C2E242" wp14:editId="778C0233">
            <wp:extent cx="5002924" cy="236908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5766" cy="2375167"/>
                    </a:xfrm>
                    <a:prstGeom prst="rect">
                      <a:avLst/>
                    </a:prstGeom>
                  </pic:spPr>
                </pic:pic>
              </a:graphicData>
            </a:graphic>
          </wp:inline>
        </w:drawing>
      </w:r>
    </w:p>
    <w:p w:rsidR="00E66B1A" w:rsidRDefault="00E66B1A" w:rsidP="00E66B1A">
      <w:pPr>
        <w:pStyle w:val="Legenda"/>
        <w:jc w:val="both"/>
        <w:rPr>
          <w:rFonts w:eastAsiaTheme="majorEastAsia" w:cstheme="majorBidi"/>
          <w:b w:val="0"/>
          <w:bCs w:val="0"/>
          <w:caps/>
          <w:szCs w:val="28"/>
        </w:rPr>
      </w:pPr>
      <w:r>
        <w:t xml:space="preserve">Figura </w:t>
      </w:r>
      <w:fldSimple w:instr=" SEQ Figura \* ARABIC ">
        <w:r w:rsidR="006D2244">
          <w:rPr>
            <w:noProof/>
          </w:rPr>
          <w:t>4</w:t>
        </w:r>
      </w:fldSimple>
      <w:r>
        <w:t xml:space="preserve"> - Herdade da Torre Talhão Roupeiro com nova </w:t>
      </w:r>
      <w:r w:rsidR="00145B8F">
        <w:t>delimitação</w:t>
      </w:r>
    </w:p>
    <w:p w:rsidR="00E66B1A" w:rsidRDefault="00E66B1A" w:rsidP="00B078B9">
      <w:pPr>
        <w:keepNext/>
        <w:keepLines/>
        <w:spacing w:line="360" w:lineRule="auto"/>
        <w:jc w:val="both"/>
        <w:outlineLvl w:val="0"/>
        <w:rPr>
          <w:rFonts w:eastAsiaTheme="majorEastAsia" w:cstheme="majorBidi"/>
          <w:b/>
          <w:bCs/>
          <w:caps/>
          <w:szCs w:val="28"/>
        </w:rPr>
      </w:pPr>
    </w:p>
    <w:p w:rsidR="00A84779" w:rsidRDefault="00F71491" w:rsidP="00F71491">
      <w:pPr>
        <w:rPr>
          <w:rFonts w:eastAsiaTheme="majorEastAsia"/>
        </w:rPr>
      </w:pPr>
      <w:r>
        <w:rPr>
          <w:rFonts w:eastAsiaTheme="majorEastAsia"/>
        </w:rPr>
        <w:t xml:space="preserve">Uma vez </w:t>
      </w:r>
      <w:r w:rsidR="00145B8F">
        <w:rPr>
          <w:rFonts w:eastAsiaTheme="majorEastAsia"/>
        </w:rPr>
        <w:t>que, como</w:t>
      </w:r>
      <w:r w:rsidR="00A84779">
        <w:rPr>
          <w:rFonts w:eastAsiaTheme="majorEastAsia"/>
        </w:rPr>
        <w:t xml:space="preserve"> demonstra o NDVI, existem diferenças visíveis e claras no vigor das plantas, quando se restruturar</w:t>
      </w:r>
      <w:r w:rsidR="00145B8F">
        <w:rPr>
          <w:rFonts w:eastAsiaTheme="majorEastAsia"/>
        </w:rPr>
        <w:t xml:space="preserve"> </w:t>
      </w:r>
      <w:r w:rsidR="00A84779">
        <w:rPr>
          <w:rFonts w:eastAsiaTheme="majorEastAsia"/>
        </w:rPr>
        <w:t xml:space="preserve">poderemos dividir o talhão em 3 como demonstra a figura 4, claro que </w:t>
      </w:r>
      <w:r w:rsidR="00145B8F">
        <w:rPr>
          <w:rFonts w:eastAsiaTheme="majorEastAsia"/>
        </w:rPr>
        <w:t>deveremos</w:t>
      </w:r>
      <w:r w:rsidR="00A84779">
        <w:rPr>
          <w:rFonts w:eastAsiaTheme="majorEastAsia"/>
        </w:rPr>
        <w:t xml:space="preserve"> nos basear no histórico de NDVI ao longo d</w:t>
      </w:r>
      <w:r w:rsidR="00145B8F">
        <w:rPr>
          <w:rFonts w:eastAsiaTheme="majorEastAsia"/>
        </w:rPr>
        <w:t>e vários</w:t>
      </w:r>
      <w:r w:rsidR="00A84779">
        <w:rPr>
          <w:rFonts w:eastAsiaTheme="majorEastAsia"/>
        </w:rPr>
        <w:t xml:space="preserve"> anos </w:t>
      </w:r>
      <w:r w:rsidR="00145B8F">
        <w:rPr>
          <w:rFonts w:eastAsiaTheme="majorEastAsia"/>
        </w:rPr>
        <w:t xml:space="preserve">durante </w:t>
      </w:r>
      <w:r w:rsidR="00A84779">
        <w:rPr>
          <w:rFonts w:eastAsiaTheme="majorEastAsia"/>
        </w:rPr>
        <w:t>o pintor para poder fundamentar esta tomada de decisão.</w:t>
      </w:r>
    </w:p>
    <w:p w:rsidR="001C03BE" w:rsidRDefault="001C03BE" w:rsidP="00F71491">
      <w:pPr>
        <w:rPr>
          <w:rFonts w:eastAsiaTheme="majorEastAsia"/>
        </w:rPr>
      </w:pPr>
    </w:p>
    <w:p w:rsidR="00A84779" w:rsidRDefault="00A84779" w:rsidP="00F71491">
      <w:pPr>
        <w:rPr>
          <w:rFonts w:eastAsiaTheme="majorEastAsia"/>
        </w:rPr>
      </w:pPr>
    </w:p>
    <w:p w:rsidR="00A84779" w:rsidRDefault="00A84779" w:rsidP="00A84779">
      <w:pPr>
        <w:keepNext/>
        <w:jc w:val="center"/>
      </w:pPr>
      <w:r>
        <w:rPr>
          <w:noProof/>
        </w:rPr>
        <w:lastRenderedPageBreak/>
        <w:drawing>
          <wp:inline distT="0" distB="0" distL="0" distR="0" wp14:anchorId="12DA1DC7" wp14:editId="39E4BB3D">
            <wp:extent cx="3041463" cy="3195145"/>
            <wp:effectExtent l="19050" t="19050" r="26035" b="2476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3023" cy="3207289"/>
                    </a:xfrm>
                    <a:prstGeom prst="rect">
                      <a:avLst/>
                    </a:prstGeom>
                    <a:ln w="25400">
                      <a:solidFill>
                        <a:schemeClr val="tx1"/>
                      </a:solidFill>
                    </a:ln>
                  </pic:spPr>
                </pic:pic>
              </a:graphicData>
            </a:graphic>
          </wp:inline>
        </w:drawing>
      </w:r>
    </w:p>
    <w:p w:rsidR="00E66B1A" w:rsidRDefault="00A84779" w:rsidP="00A84779">
      <w:pPr>
        <w:pStyle w:val="Legenda"/>
        <w:jc w:val="center"/>
        <w:rPr>
          <w:rFonts w:eastAsiaTheme="majorEastAsia"/>
        </w:rPr>
      </w:pPr>
      <w:r>
        <w:t xml:space="preserve">Figura </w:t>
      </w:r>
      <w:fldSimple w:instr=" SEQ Figura \* ARABIC ">
        <w:r w:rsidR="006D2244">
          <w:rPr>
            <w:noProof/>
          </w:rPr>
          <w:t>5</w:t>
        </w:r>
      </w:fldSimple>
      <w:r>
        <w:t xml:space="preserve"> - Monte da Estrada </w:t>
      </w:r>
      <w:r w:rsidR="00E27ECB">
        <w:t xml:space="preserve">Talhão </w:t>
      </w:r>
      <w:r>
        <w:t>Arinto</w:t>
      </w:r>
    </w:p>
    <w:p w:rsidR="00F71491" w:rsidRDefault="00F71491" w:rsidP="00F71491">
      <w:pPr>
        <w:rPr>
          <w:rFonts w:eastAsiaTheme="majorEastAsia"/>
        </w:rPr>
      </w:pPr>
    </w:p>
    <w:p w:rsidR="008824E4" w:rsidRDefault="00145B8F" w:rsidP="00F71491">
      <w:pPr>
        <w:rPr>
          <w:rFonts w:eastAsiaTheme="majorEastAsia"/>
        </w:rPr>
      </w:pPr>
      <w:r w:rsidRPr="00145B8F">
        <w:rPr>
          <w:rFonts w:eastAsiaTheme="majorEastAsia"/>
          <w:highlight w:val="yellow"/>
        </w:rPr>
        <w:t xml:space="preserve">Na outra vinha em analise e </w:t>
      </w:r>
      <w:r w:rsidR="008824E4" w:rsidRPr="00145B8F">
        <w:rPr>
          <w:rFonts w:eastAsiaTheme="majorEastAsia"/>
          <w:highlight w:val="yellow"/>
        </w:rPr>
        <w:t>representad</w:t>
      </w:r>
      <w:r w:rsidRPr="00145B8F">
        <w:rPr>
          <w:rFonts w:eastAsiaTheme="majorEastAsia"/>
          <w:highlight w:val="yellow"/>
        </w:rPr>
        <w:t>a</w:t>
      </w:r>
      <w:r w:rsidR="008824E4" w:rsidRPr="00145B8F">
        <w:rPr>
          <w:rFonts w:eastAsiaTheme="majorEastAsia"/>
          <w:highlight w:val="yellow"/>
        </w:rPr>
        <w:t xml:space="preserve"> na figura 5,</w:t>
      </w:r>
      <w:r w:rsidR="008824E4">
        <w:rPr>
          <w:rFonts w:eastAsiaTheme="majorEastAsia"/>
        </w:rPr>
        <w:t xml:space="preserve"> verificamos mais uma vez, que o talhão não é homogéneo, do lado esquerdo do talhão o índice vegetativo é claramente superior </w:t>
      </w:r>
      <w:r w:rsidR="008824E4" w:rsidRPr="00145B8F">
        <w:rPr>
          <w:rFonts w:eastAsiaTheme="majorEastAsia"/>
          <w:highlight w:val="yellow"/>
        </w:rPr>
        <w:t xml:space="preserve">ao lado </w:t>
      </w:r>
      <w:r w:rsidRPr="00145B8F">
        <w:rPr>
          <w:rFonts w:eastAsiaTheme="majorEastAsia"/>
          <w:highlight w:val="yellow"/>
        </w:rPr>
        <w:t>direito</w:t>
      </w:r>
      <w:r w:rsidR="008824E4">
        <w:rPr>
          <w:rFonts w:eastAsiaTheme="majorEastAsia"/>
        </w:rPr>
        <w:t xml:space="preserve"> pelo que a delimitação do talhão numa futura restruturação poderia originar dois talhões com base no NDVI</w:t>
      </w:r>
      <w:r>
        <w:rPr>
          <w:rFonts w:eastAsiaTheme="majorEastAsia"/>
        </w:rPr>
        <w:t>.</w:t>
      </w:r>
    </w:p>
    <w:p w:rsidR="00E27ECB" w:rsidRDefault="00E27ECB" w:rsidP="00E27ECB">
      <w:pPr>
        <w:keepNext/>
        <w:jc w:val="center"/>
      </w:pPr>
      <w:r>
        <w:rPr>
          <w:noProof/>
        </w:rPr>
        <w:drawing>
          <wp:inline distT="0" distB="0" distL="0" distR="0" wp14:anchorId="54C09E99" wp14:editId="610B4855">
            <wp:extent cx="2984938" cy="3301537"/>
            <wp:effectExtent l="19050" t="19050" r="25400" b="133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426" cy="3318668"/>
                    </a:xfrm>
                    <a:prstGeom prst="rect">
                      <a:avLst/>
                    </a:prstGeom>
                    <a:ln w="25400">
                      <a:solidFill>
                        <a:schemeClr val="tx1"/>
                      </a:solidFill>
                    </a:ln>
                  </pic:spPr>
                </pic:pic>
              </a:graphicData>
            </a:graphic>
          </wp:inline>
        </w:drawing>
      </w:r>
    </w:p>
    <w:p w:rsidR="003A17BA" w:rsidRDefault="00E27ECB" w:rsidP="00E27ECB">
      <w:pPr>
        <w:pStyle w:val="Legenda"/>
        <w:jc w:val="center"/>
        <w:rPr>
          <w:rFonts w:eastAsiaTheme="majorEastAsia"/>
        </w:rPr>
      </w:pPr>
      <w:r>
        <w:t xml:space="preserve">Figura </w:t>
      </w:r>
      <w:fldSimple w:instr=" SEQ Figura \* ARABIC ">
        <w:r w:rsidR="006D2244">
          <w:rPr>
            <w:noProof/>
          </w:rPr>
          <w:t>6</w:t>
        </w:r>
      </w:fldSimple>
      <w:r>
        <w:t xml:space="preserve"> - Monte da Estrada Talhão Arinto com nova delimitação</w:t>
      </w:r>
    </w:p>
    <w:p w:rsidR="00E27ECB" w:rsidRDefault="00E27ECB" w:rsidP="00E27ECB">
      <w:pPr>
        <w:jc w:val="center"/>
        <w:rPr>
          <w:rFonts w:eastAsiaTheme="majorEastAsia"/>
        </w:rPr>
      </w:pPr>
    </w:p>
    <w:p w:rsidR="00E27ECB" w:rsidRDefault="00E27ECB" w:rsidP="00E27ECB">
      <w:pPr>
        <w:jc w:val="both"/>
        <w:rPr>
          <w:rFonts w:eastAsiaTheme="majorEastAsia"/>
        </w:rPr>
      </w:pPr>
      <w:r>
        <w:rPr>
          <w:rFonts w:eastAsiaTheme="majorEastAsia"/>
        </w:rPr>
        <w:t>Na figura 6 representamos aquela que deveria ser a nova delimitação de acordo com a interpretação do NDVI.</w:t>
      </w:r>
    </w:p>
    <w:p w:rsidR="001C03BE" w:rsidRDefault="001C03BE" w:rsidP="00E27ECB">
      <w:pPr>
        <w:jc w:val="both"/>
        <w:rPr>
          <w:rFonts w:eastAsiaTheme="majorEastAsia"/>
        </w:rPr>
      </w:pPr>
    </w:p>
    <w:p w:rsidR="006D2244" w:rsidRDefault="006D2244" w:rsidP="00E27ECB">
      <w:pPr>
        <w:jc w:val="both"/>
        <w:rPr>
          <w:rFonts w:eastAsiaTheme="majorEastAsia"/>
        </w:rPr>
      </w:pPr>
    </w:p>
    <w:p w:rsidR="00E27ECB" w:rsidRDefault="00E27ECB" w:rsidP="00E27ECB">
      <w:pPr>
        <w:keepNext/>
        <w:jc w:val="center"/>
      </w:pPr>
      <w:r>
        <w:rPr>
          <w:noProof/>
        </w:rPr>
        <w:drawing>
          <wp:inline distT="0" distB="0" distL="0" distR="0" wp14:anchorId="3C35C632" wp14:editId="288B95AF">
            <wp:extent cx="3016469" cy="3350354"/>
            <wp:effectExtent l="19050" t="19050" r="12700" b="215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0799" cy="3366270"/>
                    </a:xfrm>
                    <a:prstGeom prst="rect">
                      <a:avLst/>
                    </a:prstGeom>
                    <a:ln w="25400">
                      <a:solidFill>
                        <a:schemeClr val="tx1"/>
                      </a:solidFill>
                    </a:ln>
                  </pic:spPr>
                </pic:pic>
              </a:graphicData>
            </a:graphic>
          </wp:inline>
        </w:drawing>
      </w:r>
    </w:p>
    <w:p w:rsidR="00E27ECB" w:rsidRDefault="00E27ECB" w:rsidP="00E27ECB">
      <w:pPr>
        <w:pStyle w:val="Legenda"/>
        <w:jc w:val="center"/>
      </w:pPr>
      <w:r>
        <w:t xml:space="preserve">Figura </w:t>
      </w:r>
      <w:fldSimple w:instr=" SEQ Figura \* ARABIC ">
        <w:r w:rsidR="006D2244">
          <w:rPr>
            <w:noProof/>
          </w:rPr>
          <w:t>7</w:t>
        </w:r>
      </w:fldSimple>
      <w:r>
        <w:t xml:space="preserve"> - Herdade da Defesa 2 Talhões de Roupeiro</w:t>
      </w:r>
    </w:p>
    <w:p w:rsidR="006D2244" w:rsidRPr="006D2244" w:rsidRDefault="006D2244" w:rsidP="006D2244">
      <w:pPr>
        <w:rPr>
          <w:rFonts w:eastAsiaTheme="majorEastAsia"/>
        </w:rPr>
      </w:pPr>
    </w:p>
    <w:p w:rsidR="00E27ECB" w:rsidRDefault="006D2244" w:rsidP="006D2244">
      <w:pPr>
        <w:jc w:val="both"/>
        <w:rPr>
          <w:rFonts w:eastAsiaTheme="majorEastAsia"/>
        </w:rPr>
      </w:pPr>
      <w:r w:rsidRPr="006D2244">
        <w:rPr>
          <w:rFonts w:eastAsiaTheme="majorEastAsia"/>
        </w:rPr>
        <w:t>Na figura 7, temos então 2 talhões de Roupeiro que estão separados porque foram plantados em anos diferentes, 2009 e 2010 respetivamente</w:t>
      </w:r>
      <w:r w:rsidR="00145B8F">
        <w:rPr>
          <w:rFonts w:eastAsiaTheme="majorEastAsia"/>
        </w:rPr>
        <w:t>.</w:t>
      </w:r>
      <w:r w:rsidRPr="006D2244">
        <w:rPr>
          <w:rFonts w:eastAsiaTheme="majorEastAsia"/>
        </w:rPr>
        <w:t xml:space="preserve"> </w:t>
      </w:r>
      <w:r w:rsidR="00145B8F">
        <w:rPr>
          <w:rFonts w:eastAsiaTheme="majorEastAsia"/>
        </w:rPr>
        <w:t>C</w:t>
      </w:r>
      <w:r w:rsidRPr="006D2244">
        <w:rPr>
          <w:rFonts w:eastAsiaTheme="majorEastAsia"/>
        </w:rPr>
        <w:t>om a observação do NDVI verificamos que os dois talhões no seu todo são muito idênticos no vigor vegetativo. Neste caso não faz sentido estarem separados pois não representam separados nenhuma vantagem, quer técnica quer logística, pelo que neste caso podemos formar destes dois talhões uma parcela homogénea que será gerida da mesma forma</w:t>
      </w:r>
      <w:r w:rsidR="00A33F70">
        <w:rPr>
          <w:rFonts w:eastAsiaTheme="majorEastAsia"/>
        </w:rPr>
        <w:t xml:space="preserve"> no futuro</w:t>
      </w:r>
      <w:r w:rsidRPr="006D2244">
        <w:rPr>
          <w:rFonts w:eastAsiaTheme="majorEastAsia"/>
        </w:rPr>
        <w:t>.</w:t>
      </w:r>
    </w:p>
    <w:p w:rsidR="006D2244" w:rsidRDefault="006D2244" w:rsidP="006D2244">
      <w:pPr>
        <w:jc w:val="both"/>
        <w:rPr>
          <w:rFonts w:eastAsiaTheme="majorEastAsia"/>
        </w:rPr>
      </w:pPr>
    </w:p>
    <w:p w:rsidR="006D2244" w:rsidRDefault="006D2244" w:rsidP="006D2244">
      <w:pPr>
        <w:keepNext/>
        <w:jc w:val="center"/>
      </w:pPr>
      <w:r>
        <w:rPr>
          <w:noProof/>
        </w:rPr>
        <w:drawing>
          <wp:inline distT="0" distB="0" distL="0" distR="0" wp14:anchorId="73C43CC4" wp14:editId="49CF6AFF">
            <wp:extent cx="3016469" cy="3199286"/>
            <wp:effectExtent l="19050" t="19050" r="12700" b="203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504" cy="3212050"/>
                    </a:xfrm>
                    <a:prstGeom prst="rect">
                      <a:avLst/>
                    </a:prstGeom>
                    <a:ln w="25400">
                      <a:solidFill>
                        <a:schemeClr val="tx1"/>
                      </a:solidFill>
                    </a:ln>
                  </pic:spPr>
                </pic:pic>
              </a:graphicData>
            </a:graphic>
          </wp:inline>
        </w:drawing>
      </w:r>
    </w:p>
    <w:p w:rsidR="00E27ECB" w:rsidRDefault="006D2244" w:rsidP="006D2244">
      <w:pPr>
        <w:pStyle w:val="Legenda"/>
        <w:jc w:val="center"/>
        <w:rPr>
          <w:rFonts w:eastAsiaTheme="majorEastAsia"/>
        </w:rPr>
      </w:pPr>
      <w:r>
        <w:t xml:space="preserve">Figura </w:t>
      </w:r>
      <w:fldSimple w:instr=" SEQ Figura \* ARABIC ">
        <w:r>
          <w:rPr>
            <w:noProof/>
          </w:rPr>
          <w:t>8</w:t>
        </w:r>
      </w:fldSimple>
      <w:r>
        <w:t xml:space="preserve"> - Herdade da Defesa Talhão Arinto nova delimitação</w:t>
      </w:r>
    </w:p>
    <w:p w:rsidR="00E27ECB" w:rsidRDefault="00E27ECB" w:rsidP="006D2244">
      <w:pPr>
        <w:jc w:val="both"/>
        <w:rPr>
          <w:rFonts w:eastAsiaTheme="majorEastAsia"/>
        </w:rPr>
      </w:pPr>
    </w:p>
    <w:p w:rsidR="006D2244" w:rsidRDefault="006D2244" w:rsidP="006D2244">
      <w:pPr>
        <w:jc w:val="both"/>
        <w:rPr>
          <w:rFonts w:eastAsiaTheme="majorEastAsia"/>
        </w:rPr>
      </w:pPr>
      <w:r>
        <w:rPr>
          <w:rFonts w:eastAsiaTheme="majorEastAsia"/>
        </w:rPr>
        <w:t>Na figura 8, podemos juntar os dois talhões, formando uma parcela homogénea, com base num índice vegetativo semelhante.</w:t>
      </w:r>
    </w:p>
    <w:p w:rsidR="006D2244" w:rsidRDefault="006D2244" w:rsidP="006D2244">
      <w:pPr>
        <w:jc w:val="both"/>
        <w:rPr>
          <w:rFonts w:eastAsiaTheme="majorEastAsia"/>
        </w:rPr>
      </w:pPr>
    </w:p>
    <w:p w:rsidR="00A33F70" w:rsidRDefault="00A33F70" w:rsidP="006D2244">
      <w:pPr>
        <w:jc w:val="both"/>
        <w:rPr>
          <w:rFonts w:eastAsiaTheme="majorEastAsia"/>
        </w:rPr>
      </w:pPr>
      <w:r w:rsidRPr="00A33F70">
        <w:rPr>
          <w:rFonts w:eastAsiaTheme="majorEastAsia"/>
          <w:highlight w:val="yellow"/>
        </w:rPr>
        <w:t xml:space="preserve">A </w:t>
      </w:r>
      <w:proofErr w:type="spellStart"/>
      <w:r w:rsidRPr="00A33F70">
        <w:rPr>
          <w:rFonts w:eastAsiaTheme="majorEastAsia"/>
          <w:highlight w:val="yellow"/>
        </w:rPr>
        <w:t>optimização</w:t>
      </w:r>
      <w:proofErr w:type="spellEnd"/>
      <w:r w:rsidRPr="00A33F70">
        <w:rPr>
          <w:rFonts w:eastAsiaTheme="majorEastAsia"/>
          <w:highlight w:val="yellow"/>
        </w:rPr>
        <w:t xml:space="preserve"> no sentido de conseguir parcelas cada vez mais homogéneas pode ser conseguida não apenas quando da instalação de nova vinha, mas também com a alteração dos sectores de rega por exemplo, ou mesmo com algumas fertilizações diferenciadas à vinha com a ajuda de GPS. A gestão da rega deficitária em vitivinicultura é uma ferramenta poderosa para o controlo do potencial de maturação da vinha, e que muitas vezes não pode ser convenientemente utilizada porque os sectores de rega não estão de acordo com parcelas homogéneas.</w:t>
      </w:r>
    </w:p>
    <w:p w:rsidR="006D2244" w:rsidRDefault="006D2244" w:rsidP="006D2244">
      <w:pPr>
        <w:jc w:val="both"/>
        <w:rPr>
          <w:rFonts w:eastAsiaTheme="majorEastAsia"/>
        </w:rPr>
      </w:pPr>
    </w:p>
    <w:p w:rsidR="00B078B9" w:rsidRPr="00B078B9" w:rsidRDefault="00B078B9" w:rsidP="008978C5">
      <w:pPr>
        <w:keepNext/>
        <w:keepLines/>
        <w:numPr>
          <w:ilvl w:val="0"/>
          <w:numId w:val="1"/>
        </w:numPr>
        <w:spacing w:line="360" w:lineRule="auto"/>
        <w:jc w:val="both"/>
        <w:outlineLvl w:val="0"/>
        <w:rPr>
          <w:rFonts w:eastAsiaTheme="majorEastAsia" w:cstheme="majorBidi"/>
          <w:b/>
          <w:bCs/>
          <w:caps/>
          <w:szCs w:val="28"/>
        </w:rPr>
      </w:pPr>
      <w:r w:rsidRPr="00B078B9">
        <w:rPr>
          <w:rFonts w:eastAsiaTheme="majorEastAsia" w:cstheme="majorBidi"/>
          <w:b/>
          <w:bCs/>
          <w:caps/>
          <w:szCs w:val="28"/>
        </w:rPr>
        <w:t>CONCLUSÕES</w:t>
      </w:r>
    </w:p>
    <w:p w:rsidR="003A17BA" w:rsidRDefault="003A17BA" w:rsidP="00B078B9">
      <w:pPr>
        <w:spacing w:line="360" w:lineRule="auto"/>
        <w:jc w:val="both"/>
      </w:pPr>
    </w:p>
    <w:p w:rsidR="00B078B9" w:rsidRDefault="008824E4" w:rsidP="003A17BA">
      <w:pPr>
        <w:spacing w:line="360" w:lineRule="auto"/>
        <w:ind w:firstLine="426"/>
        <w:jc w:val="both"/>
      </w:pPr>
      <w:r>
        <w:t xml:space="preserve">O NDVI é uma ferramenta que poderá ajudar, nas decisões de rega, na segmentação da vindima, na fertilização do solo, entre outras, mas como tentamos comprovar aqui é também uma ferramenta bastante útil quando se pretende tomar decisões no delineamento das parcelas de vinha quando a sua </w:t>
      </w:r>
      <w:r w:rsidRPr="00E24A68">
        <w:rPr>
          <w:highlight w:val="yellow"/>
        </w:rPr>
        <w:t>instalação</w:t>
      </w:r>
      <w:r w:rsidR="00E24A68" w:rsidRPr="00E24A68">
        <w:rPr>
          <w:highlight w:val="yellow"/>
        </w:rPr>
        <w:t>. C</w:t>
      </w:r>
      <w:r w:rsidRPr="00E24A68">
        <w:rPr>
          <w:highlight w:val="yellow"/>
        </w:rPr>
        <w:t>om</w:t>
      </w:r>
      <w:r>
        <w:t xml:space="preserve"> base num histórico de NDVI anual retirados na fase que antecede o pintor ate ao final do pintor, o NDVI pode ser uma ferramenta bastante útil, na estratégia da instalação da vinha, procurando o conceito de parcela </w:t>
      </w:r>
      <w:proofErr w:type="spellStart"/>
      <w:r w:rsidR="00A33F70">
        <w:t>homogen</w:t>
      </w:r>
      <w:r w:rsidR="00E24A68">
        <w:t>e</w:t>
      </w:r>
      <w:r w:rsidR="00A33F70">
        <w:t>a</w:t>
      </w:r>
      <w:proofErr w:type="spellEnd"/>
      <w:r>
        <w:t>, com base no índice vegetativo.</w:t>
      </w:r>
      <w:r w:rsidR="003A17BA">
        <w:t xml:space="preserve"> É essencial basear a decisão com base em </w:t>
      </w:r>
      <w:r w:rsidR="00E24A68">
        <w:t xml:space="preserve">vários </w:t>
      </w:r>
      <w:r w:rsidR="003A17BA">
        <w:t>NDVI anuais, retirados na mesma fase</w:t>
      </w:r>
      <w:r w:rsidR="00E24A68">
        <w:t xml:space="preserve"> do ciclo da videira</w:t>
      </w:r>
      <w:r w:rsidR="003A17BA">
        <w:t xml:space="preserve">, porque o </w:t>
      </w:r>
      <w:r w:rsidR="00E24A68">
        <w:t>fator</w:t>
      </w:r>
      <w:r w:rsidR="003A17BA">
        <w:t xml:space="preserve"> ano será </w:t>
      </w:r>
      <w:r w:rsidR="003A17BA" w:rsidRPr="00E24A68">
        <w:rPr>
          <w:highlight w:val="yellow"/>
        </w:rPr>
        <w:t>sempre uma condicionante</w:t>
      </w:r>
      <w:r w:rsidR="00E24A68" w:rsidRPr="00E24A68">
        <w:rPr>
          <w:highlight w:val="yellow"/>
        </w:rPr>
        <w:t xml:space="preserve"> na analise. No entanto</w:t>
      </w:r>
      <w:r w:rsidR="003A17BA">
        <w:t xml:space="preserve"> se uma determinada zona dentro da parcela, ao lo</w:t>
      </w:r>
      <w:r w:rsidR="00E24A68">
        <w:t>n</w:t>
      </w:r>
      <w:r w:rsidR="003A17BA">
        <w:t xml:space="preserve">go dos anos e com os conhecimentos das parcelas de vinha, é constantemente diferenciada </w:t>
      </w:r>
      <w:r w:rsidR="00E24A68">
        <w:t>deveria de facto</w:t>
      </w:r>
      <w:r w:rsidR="003A17BA">
        <w:t xml:space="preserve"> originar dois talhões de vinha diferenciados, ou </w:t>
      </w:r>
      <w:r w:rsidR="00E24A68">
        <w:t xml:space="preserve">pelo contrario </w:t>
      </w:r>
      <w:bookmarkStart w:id="0" w:name="_GoBack"/>
      <w:bookmarkEnd w:id="0"/>
      <w:r w:rsidR="003A17BA">
        <w:t>duas parcelas com as mesmas características demonstram que podem ser geridas da mesma forma podem originar uma parcela homogénea maior.</w:t>
      </w:r>
    </w:p>
    <w:sectPr w:rsidR="00B078B9" w:rsidSect="00BA0514">
      <w:pgSz w:w="11906" w:h="16838"/>
      <w:pgMar w:top="1134"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454" w:rsidRDefault="00B65454">
      <w:r>
        <w:separator/>
      </w:r>
    </w:p>
  </w:endnote>
  <w:endnote w:type="continuationSeparator" w:id="0">
    <w:p w:rsidR="00B65454" w:rsidRDefault="00B6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454" w:rsidRDefault="00B65454">
      <w:r>
        <w:separator/>
      </w:r>
    </w:p>
  </w:footnote>
  <w:footnote w:type="continuationSeparator" w:id="0">
    <w:p w:rsidR="00B65454" w:rsidRDefault="00B65454">
      <w:r>
        <w:continuationSeparator/>
      </w:r>
    </w:p>
  </w:footnote>
  <w:footnote w:id="1">
    <w:p w:rsidR="00935661" w:rsidRPr="00EB0CCA" w:rsidRDefault="00935661" w:rsidP="00EB0CCA">
      <w:pPr>
        <w:jc w:val="both"/>
        <w:rPr>
          <w:noProof/>
          <w:sz w:val="20"/>
          <w:szCs w:val="20"/>
        </w:rPr>
      </w:pPr>
      <w:r w:rsidRPr="00EB0CCA">
        <w:rPr>
          <w:rStyle w:val="Refdenotaderodap"/>
          <w:sz w:val="20"/>
          <w:szCs w:val="20"/>
        </w:rPr>
        <w:footnoteRef/>
      </w:r>
      <w:r w:rsidRPr="00EB0CCA">
        <w:rPr>
          <w:sz w:val="20"/>
          <w:szCs w:val="20"/>
          <w:vertAlign w:val="superscript"/>
        </w:rPr>
        <w:t>, 2 e 3</w:t>
      </w:r>
      <w:r w:rsidRPr="00EB0CCA">
        <w:rPr>
          <w:sz w:val="20"/>
          <w:szCs w:val="20"/>
        </w:rPr>
        <w:t xml:space="preserve"> Adega Cooperativa de Borba, C.R.L.;</w:t>
      </w:r>
      <w:r w:rsidR="00AE1BF0">
        <w:rPr>
          <w:sz w:val="20"/>
          <w:szCs w:val="20"/>
        </w:rPr>
        <w:t xml:space="preserve"> </w:t>
      </w:r>
      <w:r w:rsidRPr="00EB0CCA">
        <w:rPr>
          <w:noProof/>
          <w:sz w:val="20"/>
          <w:szCs w:val="20"/>
        </w:rPr>
        <w:t xml:space="preserve">Largo Gago Coutinho e Sacadura Cabral 25 – Ap. 20; 7151-913 Borba, Portugal. </w:t>
      </w:r>
      <w:r w:rsidRPr="00EB0CCA">
        <w:rPr>
          <w:sz w:val="20"/>
          <w:szCs w:val="20"/>
        </w:rPr>
        <w:t xml:space="preserve">E - mail: </w:t>
      </w:r>
      <w:r w:rsidRPr="00EB0CCA">
        <w:rPr>
          <w:sz w:val="20"/>
          <w:szCs w:val="20"/>
          <w:vertAlign w:val="superscript"/>
        </w:rPr>
        <w:t xml:space="preserve">1 </w:t>
      </w:r>
      <w:hyperlink r:id="rId1" w:history="1">
        <w:r w:rsidR="00BC7DC8" w:rsidRPr="00E828EC">
          <w:rPr>
            <w:rStyle w:val="Hiperligao"/>
            <w:sz w:val="20"/>
            <w:szCs w:val="20"/>
          </w:rPr>
          <w:t>luis.gaspar@adegaborba.pt</w:t>
        </w:r>
      </w:hyperlink>
      <w:r w:rsidRPr="00EB0CCA">
        <w:rPr>
          <w:color w:val="0000FF"/>
          <w:sz w:val="20"/>
          <w:szCs w:val="20"/>
        </w:rPr>
        <w:t xml:space="preserve">; </w:t>
      </w:r>
      <w:r w:rsidRPr="00EB0CCA">
        <w:rPr>
          <w:sz w:val="20"/>
          <w:szCs w:val="20"/>
          <w:vertAlign w:val="superscript"/>
        </w:rPr>
        <w:t>2</w:t>
      </w:r>
      <w:r w:rsidRPr="00EB0CCA">
        <w:rPr>
          <w:sz w:val="20"/>
          <w:szCs w:val="20"/>
        </w:rPr>
        <w:t xml:space="preserve"> </w:t>
      </w:r>
      <w:hyperlink r:id="rId2" w:history="1">
        <w:r w:rsidR="00BC7DC8" w:rsidRPr="00E828EC">
          <w:rPr>
            <w:rStyle w:val="Hiperligao"/>
            <w:sz w:val="20"/>
            <w:szCs w:val="20"/>
          </w:rPr>
          <w:t>helena.ferreira@adegaborba.pt;</w:t>
        </w:r>
      </w:hyperlink>
      <w:r w:rsidRPr="00EB0CCA">
        <w:rPr>
          <w:color w:val="0000FF"/>
          <w:sz w:val="20"/>
          <w:szCs w:val="20"/>
        </w:rPr>
        <w:t xml:space="preserve">  </w:t>
      </w:r>
      <w:r w:rsidRPr="00EB0CCA">
        <w:rPr>
          <w:sz w:val="20"/>
          <w:szCs w:val="20"/>
          <w:vertAlign w:val="superscript"/>
        </w:rPr>
        <w:t xml:space="preserve">3 </w:t>
      </w:r>
      <w:r w:rsidR="00BC7DC8">
        <w:rPr>
          <w:color w:val="0000FF"/>
          <w:sz w:val="20"/>
          <w:szCs w:val="20"/>
          <w:u w:val="single"/>
        </w:rPr>
        <w:t>oscar.gato</w:t>
      </w:r>
      <w:r w:rsidRPr="00EB0CCA">
        <w:rPr>
          <w:color w:val="0000FF"/>
          <w:sz w:val="20"/>
          <w:szCs w:val="20"/>
          <w:u w:val="single"/>
        </w:rPr>
        <w:t>@adegaborba.pt</w:t>
      </w:r>
    </w:p>
  </w:footnote>
  <w:footnote w:id="2">
    <w:p w:rsidR="00935661" w:rsidRPr="00EB0CCA" w:rsidRDefault="00935661" w:rsidP="00EB0CCA">
      <w:pPr>
        <w:pStyle w:val="Textodenotaderodap"/>
        <w:jc w:val="both"/>
        <w:rPr>
          <w:szCs w:val="20"/>
        </w:rPr>
      </w:pPr>
      <w:r w:rsidRPr="00EB0CCA">
        <w:rPr>
          <w:szCs w:val="20"/>
          <w:vertAlign w:val="superscript"/>
        </w:rPr>
        <w:t>4</w:t>
      </w:r>
      <w:r w:rsidRPr="00EB0CCA">
        <w:rPr>
          <w:szCs w:val="20"/>
        </w:rPr>
        <w:t xml:space="preserve"> Departamento de Fitotecnia, Universidade de Évora. 7000 Évora, Portugal. E – mail: </w:t>
      </w:r>
      <w:hyperlink r:id="rId3" w:history="1">
        <w:r w:rsidRPr="00EB0CCA">
          <w:rPr>
            <w:rStyle w:val="Hiperligao"/>
            <w:szCs w:val="20"/>
          </w:rPr>
          <w:t>jmmb@uevora.pt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62BB"/>
    <w:multiLevelType w:val="multilevel"/>
    <w:tmpl w:val="3B302FD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83A68A1"/>
    <w:multiLevelType w:val="multilevel"/>
    <w:tmpl w:val="3B302FD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76B96129"/>
    <w:multiLevelType w:val="hybridMultilevel"/>
    <w:tmpl w:val="58701A1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pt-PT" w:vendorID="13" w:dllVersion="513" w:checkStyle="1"/>
  <w:activeWritingStyle w:appName="MSWord" w:lang="pt-PT" w:vendorID="75"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619"/>
    <w:rsid w:val="00001538"/>
    <w:rsid w:val="00006E27"/>
    <w:rsid w:val="0000778E"/>
    <w:rsid w:val="00040C41"/>
    <w:rsid w:val="00043A60"/>
    <w:rsid w:val="0007083D"/>
    <w:rsid w:val="00083315"/>
    <w:rsid w:val="00086985"/>
    <w:rsid w:val="000A17B8"/>
    <w:rsid w:val="000B67E0"/>
    <w:rsid w:val="000B67FF"/>
    <w:rsid w:val="000D289B"/>
    <w:rsid w:val="000D4851"/>
    <w:rsid w:val="000D5E09"/>
    <w:rsid w:val="000E0170"/>
    <w:rsid w:val="0011792A"/>
    <w:rsid w:val="0014245A"/>
    <w:rsid w:val="00145B8F"/>
    <w:rsid w:val="00145E57"/>
    <w:rsid w:val="0015333D"/>
    <w:rsid w:val="00155E61"/>
    <w:rsid w:val="001A163A"/>
    <w:rsid w:val="001A1CC0"/>
    <w:rsid w:val="001A2C11"/>
    <w:rsid w:val="001C03BE"/>
    <w:rsid w:val="001D16B0"/>
    <w:rsid w:val="001D325A"/>
    <w:rsid w:val="001D429C"/>
    <w:rsid w:val="00225030"/>
    <w:rsid w:val="00235DFB"/>
    <w:rsid w:val="00253B38"/>
    <w:rsid w:val="00254D0E"/>
    <w:rsid w:val="00261C98"/>
    <w:rsid w:val="002903BC"/>
    <w:rsid w:val="00295E02"/>
    <w:rsid w:val="002B0010"/>
    <w:rsid w:val="002B4EED"/>
    <w:rsid w:val="002B6665"/>
    <w:rsid w:val="002D4E74"/>
    <w:rsid w:val="002E5519"/>
    <w:rsid w:val="00316169"/>
    <w:rsid w:val="003302E1"/>
    <w:rsid w:val="00332808"/>
    <w:rsid w:val="00341FDA"/>
    <w:rsid w:val="003427A8"/>
    <w:rsid w:val="003466E1"/>
    <w:rsid w:val="003538A9"/>
    <w:rsid w:val="00377D36"/>
    <w:rsid w:val="003832A2"/>
    <w:rsid w:val="00384854"/>
    <w:rsid w:val="0039102C"/>
    <w:rsid w:val="00394399"/>
    <w:rsid w:val="003978ED"/>
    <w:rsid w:val="003A17BA"/>
    <w:rsid w:val="003A64B0"/>
    <w:rsid w:val="003B0078"/>
    <w:rsid w:val="003B2C68"/>
    <w:rsid w:val="003B7351"/>
    <w:rsid w:val="003C0633"/>
    <w:rsid w:val="003C6A01"/>
    <w:rsid w:val="004058F8"/>
    <w:rsid w:val="00410816"/>
    <w:rsid w:val="00410AA9"/>
    <w:rsid w:val="004266E6"/>
    <w:rsid w:val="00434776"/>
    <w:rsid w:val="004647C5"/>
    <w:rsid w:val="0046486F"/>
    <w:rsid w:val="00470A57"/>
    <w:rsid w:val="0048771A"/>
    <w:rsid w:val="00487801"/>
    <w:rsid w:val="004905F6"/>
    <w:rsid w:val="00497A18"/>
    <w:rsid w:val="00497C91"/>
    <w:rsid w:val="004B35A0"/>
    <w:rsid w:val="004C7A98"/>
    <w:rsid w:val="004F04C3"/>
    <w:rsid w:val="004F67B9"/>
    <w:rsid w:val="004F72CF"/>
    <w:rsid w:val="0051501B"/>
    <w:rsid w:val="0052594B"/>
    <w:rsid w:val="005275BB"/>
    <w:rsid w:val="00536E52"/>
    <w:rsid w:val="00550226"/>
    <w:rsid w:val="00564CEA"/>
    <w:rsid w:val="005660B3"/>
    <w:rsid w:val="00581B30"/>
    <w:rsid w:val="00595024"/>
    <w:rsid w:val="005953A3"/>
    <w:rsid w:val="005A7A2F"/>
    <w:rsid w:val="005C7F91"/>
    <w:rsid w:val="005D1198"/>
    <w:rsid w:val="005F2F21"/>
    <w:rsid w:val="005F3757"/>
    <w:rsid w:val="0060153B"/>
    <w:rsid w:val="0060154F"/>
    <w:rsid w:val="0061159F"/>
    <w:rsid w:val="00653D06"/>
    <w:rsid w:val="00656926"/>
    <w:rsid w:val="00663D9A"/>
    <w:rsid w:val="00670B7A"/>
    <w:rsid w:val="006742D9"/>
    <w:rsid w:val="00691E11"/>
    <w:rsid w:val="006B00DA"/>
    <w:rsid w:val="006B6A13"/>
    <w:rsid w:val="006D1CBD"/>
    <w:rsid w:val="006D2244"/>
    <w:rsid w:val="006D4AFA"/>
    <w:rsid w:val="006F7725"/>
    <w:rsid w:val="006F7BB3"/>
    <w:rsid w:val="007037E0"/>
    <w:rsid w:val="00712DCC"/>
    <w:rsid w:val="00725DF8"/>
    <w:rsid w:val="0072632E"/>
    <w:rsid w:val="00737827"/>
    <w:rsid w:val="00741E59"/>
    <w:rsid w:val="00760001"/>
    <w:rsid w:val="007670F5"/>
    <w:rsid w:val="00782CD0"/>
    <w:rsid w:val="0078723D"/>
    <w:rsid w:val="007A363A"/>
    <w:rsid w:val="007B289A"/>
    <w:rsid w:val="007C068B"/>
    <w:rsid w:val="007C3153"/>
    <w:rsid w:val="007C7B53"/>
    <w:rsid w:val="007E3F3C"/>
    <w:rsid w:val="007E7602"/>
    <w:rsid w:val="007F30D5"/>
    <w:rsid w:val="00800B3C"/>
    <w:rsid w:val="00801B76"/>
    <w:rsid w:val="0080698F"/>
    <w:rsid w:val="00814D5D"/>
    <w:rsid w:val="008218F4"/>
    <w:rsid w:val="008233BC"/>
    <w:rsid w:val="0084727D"/>
    <w:rsid w:val="00862DAA"/>
    <w:rsid w:val="00862F2E"/>
    <w:rsid w:val="00865A59"/>
    <w:rsid w:val="008703ED"/>
    <w:rsid w:val="00876C64"/>
    <w:rsid w:val="008777C6"/>
    <w:rsid w:val="00881B1C"/>
    <w:rsid w:val="008824E4"/>
    <w:rsid w:val="008863EF"/>
    <w:rsid w:val="00893CF5"/>
    <w:rsid w:val="00893E1C"/>
    <w:rsid w:val="008978C5"/>
    <w:rsid w:val="008B5851"/>
    <w:rsid w:val="008C2DF5"/>
    <w:rsid w:val="009050A4"/>
    <w:rsid w:val="00905A04"/>
    <w:rsid w:val="00907E43"/>
    <w:rsid w:val="00915A6D"/>
    <w:rsid w:val="00924FA0"/>
    <w:rsid w:val="00935661"/>
    <w:rsid w:val="00945228"/>
    <w:rsid w:val="00954752"/>
    <w:rsid w:val="00957A82"/>
    <w:rsid w:val="00961385"/>
    <w:rsid w:val="00963EE4"/>
    <w:rsid w:val="00970D11"/>
    <w:rsid w:val="00982435"/>
    <w:rsid w:val="009833C1"/>
    <w:rsid w:val="0098458F"/>
    <w:rsid w:val="009A0B83"/>
    <w:rsid w:val="009C552D"/>
    <w:rsid w:val="009D632E"/>
    <w:rsid w:val="009F0318"/>
    <w:rsid w:val="009F03F9"/>
    <w:rsid w:val="00A33F70"/>
    <w:rsid w:val="00A54619"/>
    <w:rsid w:val="00A603C6"/>
    <w:rsid w:val="00A67470"/>
    <w:rsid w:val="00A84779"/>
    <w:rsid w:val="00A94458"/>
    <w:rsid w:val="00A965D3"/>
    <w:rsid w:val="00AA5CD9"/>
    <w:rsid w:val="00AA5DFD"/>
    <w:rsid w:val="00AB6517"/>
    <w:rsid w:val="00AE1BF0"/>
    <w:rsid w:val="00AF4AE2"/>
    <w:rsid w:val="00AF4B5E"/>
    <w:rsid w:val="00B00E4E"/>
    <w:rsid w:val="00B078B9"/>
    <w:rsid w:val="00B119FE"/>
    <w:rsid w:val="00B21700"/>
    <w:rsid w:val="00B364B6"/>
    <w:rsid w:val="00B53A38"/>
    <w:rsid w:val="00B65454"/>
    <w:rsid w:val="00B82258"/>
    <w:rsid w:val="00B8304F"/>
    <w:rsid w:val="00B83826"/>
    <w:rsid w:val="00B87B1A"/>
    <w:rsid w:val="00B87F1A"/>
    <w:rsid w:val="00BA0514"/>
    <w:rsid w:val="00BA29D2"/>
    <w:rsid w:val="00BA3F8D"/>
    <w:rsid w:val="00BC7DC8"/>
    <w:rsid w:val="00BD7647"/>
    <w:rsid w:val="00BF0AE6"/>
    <w:rsid w:val="00BF6320"/>
    <w:rsid w:val="00C01F2E"/>
    <w:rsid w:val="00C1687C"/>
    <w:rsid w:val="00C275AB"/>
    <w:rsid w:val="00C33702"/>
    <w:rsid w:val="00C33D22"/>
    <w:rsid w:val="00C56840"/>
    <w:rsid w:val="00C57154"/>
    <w:rsid w:val="00C577F0"/>
    <w:rsid w:val="00C602C3"/>
    <w:rsid w:val="00C67C6A"/>
    <w:rsid w:val="00C71928"/>
    <w:rsid w:val="00C730E8"/>
    <w:rsid w:val="00C7659F"/>
    <w:rsid w:val="00CA1CB8"/>
    <w:rsid w:val="00CA7FD0"/>
    <w:rsid w:val="00CC23AC"/>
    <w:rsid w:val="00CD3619"/>
    <w:rsid w:val="00CE0FCC"/>
    <w:rsid w:val="00CE6E09"/>
    <w:rsid w:val="00CF7CED"/>
    <w:rsid w:val="00D007BF"/>
    <w:rsid w:val="00D12FD0"/>
    <w:rsid w:val="00D15987"/>
    <w:rsid w:val="00D31D8F"/>
    <w:rsid w:val="00D43487"/>
    <w:rsid w:val="00D53EDA"/>
    <w:rsid w:val="00D7600E"/>
    <w:rsid w:val="00D92FF2"/>
    <w:rsid w:val="00DA0C2E"/>
    <w:rsid w:val="00DB4D70"/>
    <w:rsid w:val="00DB731E"/>
    <w:rsid w:val="00DD0CAA"/>
    <w:rsid w:val="00DD181D"/>
    <w:rsid w:val="00DD54AB"/>
    <w:rsid w:val="00DD5D04"/>
    <w:rsid w:val="00DE2426"/>
    <w:rsid w:val="00DF6C19"/>
    <w:rsid w:val="00E17C23"/>
    <w:rsid w:val="00E201DF"/>
    <w:rsid w:val="00E24A68"/>
    <w:rsid w:val="00E27ECB"/>
    <w:rsid w:val="00E352A5"/>
    <w:rsid w:val="00E40BDB"/>
    <w:rsid w:val="00E4188E"/>
    <w:rsid w:val="00E55F76"/>
    <w:rsid w:val="00E65FBF"/>
    <w:rsid w:val="00E66B1A"/>
    <w:rsid w:val="00E73CF6"/>
    <w:rsid w:val="00E8219D"/>
    <w:rsid w:val="00E82995"/>
    <w:rsid w:val="00E91433"/>
    <w:rsid w:val="00E92FDA"/>
    <w:rsid w:val="00EA0A9B"/>
    <w:rsid w:val="00EB0CCA"/>
    <w:rsid w:val="00EB44B6"/>
    <w:rsid w:val="00ED2443"/>
    <w:rsid w:val="00F02DA6"/>
    <w:rsid w:val="00F52ACC"/>
    <w:rsid w:val="00F666B3"/>
    <w:rsid w:val="00F702E5"/>
    <w:rsid w:val="00F71491"/>
    <w:rsid w:val="00F7332B"/>
    <w:rsid w:val="00F80E8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8A348E"/>
  <w15:docId w15:val="{5EE034B7-BD4B-45C3-815C-D6BC1C7B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CEA"/>
    <w:rPr>
      <w:sz w:val="24"/>
      <w:szCs w:val="24"/>
    </w:rPr>
  </w:style>
  <w:style w:type="paragraph" w:styleId="Cabealho1">
    <w:name w:val="heading 1"/>
    <w:basedOn w:val="Normal"/>
    <w:next w:val="Normal"/>
    <w:qFormat/>
    <w:rsid w:val="00EB0CCA"/>
    <w:pPr>
      <w:keepNext/>
      <w:jc w:val="both"/>
      <w:outlineLvl w:val="0"/>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rsid w:val="00377D36"/>
    <w:pPr>
      <w:spacing w:before="120" w:after="120"/>
    </w:pPr>
    <w:rPr>
      <w:b/>
      <w:bCs/>
      <w:sz w:val="20"/>
      <w:szCs w:val="20"/>
    </w:rPr>
  </w:style>
  <w:style w:type="paragraph" w:styleId="Textodebalo">
    <w:name w:val="Balloon Text"/>
    <w:basedOn w:val="Normal"/>
    <w:semiHidden/>
    <w:rsid w:val="00E91433"/>
    <w:rPr>
      <w:rFonts w:ascii="Tahoma" w:hAnsi="Tahoma" w:cs="Tahoma"/>
      <w:sz w:val="16"/>
      <w:szCs w:val="16"/>
    </w:rPr>
  </w:style>
  <w:style w:type="paragraph" w:styleId="Corpodetexto2">
    <w:name w:val="Body Text 2"/>
    <w:basedOn w:val="Normal"/>
    <w:rsid w:val="00EB0CCA"/>
    <w:pPr>
      <w:jc w:val="center"/>
    </w:pPr>
    <w:rPr>
      <w:b/>
    </w:rPr>
  </w:style>
  <w:style w:type="paragraph" w:styleId="Textodenotaderodap">
    <w:name w:val="footnote text"/>
    <w:basedOn w:val="Normal"/>
    <w:semiHidden/>
    <w:rsid w:val="00EB0CCA"/>
    <w:rPr>
      <w:sz w:val="20"/>
    </w:rPr>
  </w:style>
  <w:style w:type="character" w:styleId="Refdenotaderodap">
    <w:name w:val="footnote reference"/>
    <w:basedOn w:val="Tipodeletrapredefinidodopargrafo"/>
    <w:semiHidden/>
    <w:rsid w:val="00EB0CCA"/>
    <w:rPr>
      <w:vertAlign w:val="superscript"/>
    </w:rPr>
  </w:style>
  <w:style w:type="character" w:styleId="Hiperligao">
    <w:name w:val="Hyperlink"/>
    <w:basedOn w:val="Tipodeletrapredefinidodopargrafo"/>
    <w:rsid w:val="00EB0CCA"/>
    <w:rPr>
      <w:color w:val="0000FF"/>
      <w:u w:val="single"/>
    </w:rPr>
  </w:style>
  <w:style w:type="table" w:styleId="Tabelacomgrelha">
    <w:name w:val="Table Grid"/>
    <w:basedOn w:val="Tabelanormal"/>
    <w:rsid w:val="007F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A64B0"/>
    <w:pPr>
      <w:ind w:left="720"/>
      <w:contextualSpacing/>
    </w:pPr>
  </w:style>
  <w:style w:type="paragraph" w:styleId="Cabealho">
    <w:name w:val="header"/>
    <w:basedOn w:val="Normal"/>
    <w:link w:val="CabealhoCarter"/>
    <w:uiPriority w:val="99"/>
    <w:unhideWhenUsed/>
    <w:rsid w:val="007E7602"/>
    <w:pPr>
      <w:tabs>
        <w:tab w:val="center" w:pos="4252"/>
        <w:tab w:val="right" w:pos="8504"/>
      </w:tabs>
    </w:pPr>
  </w:style>
  <w:style w:type="character" w:customStyle="1" w:styleId="CabealhoCarter">
    <w:name w:val="Cabeçalho Caráter"/>
    <w:basedOn w:val="Tipodeletrapredefinidodopargrafo"/>
    <w:link w:val="Cabealho"/>
    <w:uiPriority w:val="99"/>
    <w:rsid w:val="007E7602"/>
    <w:rPr>
      <w:sz w:val="24"/>
      <w:szCs w:val="24"/>
    </w:rPr>
  </w:style>
  <w:style w:type="paragraph" w:styleId="Rodap">
    <w:name w:val="footer"/>
    <w:basedOn w:val="Normal"/>
    <w:link w:val="RodapCarter"/>
    <w:uiPriority w:val="99"/>
    <w:unhideWhenUsed/>
    <w:rsid w:val="007E7602"/>
    <w:pPr>
      <w:tabs>
        <w:tab w:val="center" w:pos="4252"/>
        <w:tab w:val="right" w:pos="8504"/>
      </w:tabs>
    </w:pPr>
  </w:style>
  <w:style w:type="character" w:customStyle="1" w:styleId="RodapCarter">
    <w:name w:val="Rodapé Caráter"/>
    <w:basedOn w:val="Tipodeletrapredefinidodopargrafo"/>
    <w:link w:val="Rodap"/>
    <w:uiPriority w:val="99"/>
    <w:rsid w:val="007E76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8140">
      <w:bodyDiv w:val="1"/>
      <w:marLeft w:val="0"/>
      <w:marRight w:val="0"/>
      <w:marTop w:val="0"/>
      <w:marBottom w:val="0"/>
      <w:divBdr>
        <w:top w:val="none" w:sz="0" w:space="0" w:color="auto"/>
        <w:left w:val="none" w:sz="0" w:space="0" w:color="auto"/>
        <w:bottom w:val="none" w:sz="0" w:space="0" w:color="auto"/>
        <w:right w:val="none" w:sz="0" w:space="0" w:color="auto"/>
      </w:divBdr>
    </w:div>
    <w:div w:id="1050887736">
      <w:bodyDiv w:val="1"/>
      <w:marLeft w:val="0"/>
      <w:marRight w:val="0"/>
      <w:marTop w:val="0"/>
      <w:marBottom w:val="0"/>
      <w:divBdr>
        <w:top w:val="none" w:sz="0" w:space="0" w:color="auto"/>
        <w:left w:val="none" w:sz="0" w:space="0" w:color="auto"/>
        <w:bottom w:val="none" w:sz="0" w:space="0" w:color="auto"/>
        <w:right w:val="none" w:sz="0" w:space="0" w:color="auto"/>
      </w:divBdr>
    </w:div>
    <w:div w:id="158781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mailto:jmmb@uevora.pt" TargetMode="External"/><Relationship Id="rId2" Type="http://schemas.openxmlformats.org/officeDocument/2006/relationships/hyperlink" Target="mailto:helena.ferreira@adegaborba.pt;" TargetMode="External"/><Relationship Id="rId1" Type="http://schemas.openxmlformats.org/officeDocument/2006/relationships/hyperlink" Target="mailto:luis.gaspar@adegaborba.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1971</Words>
  <Characters>10647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Análise de parâmetros qualitativos em castas e solos do Alentejo</vt:lpstr>
    </vt:vector>
  </TitlesOfParts>
  <Company>ACB</Company>
  <LinksUpToDate>false</LinksUpToDate>
  <CharactersWithSpaces>12593</CharactersWithSpaces>
  <SharedDoc>false</SharedDoc>
  <HLinks>
    <vt:vector size="18" baseType="variant">
      <vt:variant>
        <vt:i4>4063258</vt:i4>
      </vt:variant>
      <vt:variant>
        <vt:i4>6</vt:i4>
      </vt:variant>
      <vt:variant>
        <vt:i4>0</vt:i4>
      </vt:variant>
      <vt:variant>
        <vt:i4>5</vt:i4>
      </vt:variant>
      <vt:variant>
        <vt:lpwstr>mailto:jmmb@uevora.pt</vt:lpwstr>
      </vt:variant>
      <vt:variant>
        <vt:lpwstr/>
      </vt:variant>
      <vt:variant>
        <vt:i4>2555915</vt:i4>
      </vt:variant>
      <vt:variant>
        <vt:i4>3</vt:i4>
      </vt:variant>
      <vt:variant>
        <vt:i4>0</vt:i4>
      </vt:variant>
      <vt:variant>
        <vt:i4>5</vt:i4>
      </vt:variant>
      <vt:variant>
        <vt:lpwstr>mailto:hferreira@adegaborba.pt;</vt:lpwstr>
      </vt:variant>
      <vt:variant>
        <vt:lpwstr/>
      </vt:variant>
      <vt:variant>
        <vt:i4>4522082</vt:i4>
      </vt:variant>
      <vt:variant>
        <vt:i4>0</vt:i4>
      </vt:variant>
      <vt:variant>
        <vt:i4>0</vt:i4>
      </vt:variant>
      <vt:variant>
        <vt:i4>5</vt:i4>
      </vt:variant>
      <vt:variant>
        <vt:lpwstr>mailto:nascimento@adegaborba.pt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Análise de parâmetros qualitativos em castas e solos do Alentejo</dc:title>
  <dc:creator>nascimento</dc:creator>
  <cp:lastModifiedBy>JMMB</cp:lastModifiedBy>
  <cp:revision>2</cp:revision>
  <cp:lastPrinted>2007-03-07T14:40:00Z</cp:lastPrinted>
  <dcterms:created xsi:type="dcterms:W3CDTF">2019-03-24T18:20:00Z</dcterms:created>
  <dcterms:modified xsi:type="dcterms:W3CDTF">2019-03-24T18:20:00Z</dcterms:modified>
</cp:coreProperties>
</file>