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3C" w:rsidRPr="00BF3817" w:rsidRDefault="00E20634">
      <w:pPr>
        <w:pStyle w:val="Titel1"/>
        <w:rPr>
          <w:lang w:val="en-GB"/>
        </w:rPr>
      </w:pPr>
      <w:r w:rsidRPr="00E20634">
        <w:rPr>
          <w:lang w:val="en-GB"/>
        </w:rPr>
        <w:t>Geography matters; the relevance of territorial heterogeneity in shaping farmers’ conditions, strategies and performances in the context of globalization and sustainability.</w:t>
      </w:r>
    </w:p>
    <w:p w:rsidR="007F423C" w:rsidRPr="00E20634" w:rsidRDefault="00E20634">
      <w:pPr>
        <w:pStyle w:val="Authors"/>
        <w:rPr>
          <w:sz w:val="20"/>
          <w:lang w:val="pt-PT"/>
        </w:rPr>
      </w:pPr>
      <w:r w:rsidRPr="00E20634">
        <w:rPr>
          <w:sz w:val="20"/>
          <w:lang w:val="pt-PT"/>
        </w:rPr>
        <w:t>José Muñoz-Rojas</w:t>
      </w:r>
      <w:r w:rsidRPr="00E20634">
        <w:rPr>
          <w:sz w:val="20"/>
          <w:vertAlign w:val="superscript"/>
          <w:lang w:val="pt-PT"/>
        </w:rPr>
        <w:t>i</w:t>
      </w:r>
      <w:r w:rsidRPr="00E20634">
        <w:rPr>
          <w:sz w:val="20"/>
          <w:lang w:val="pt-PT"/>
        </w:rPr>
        <w:t xml:space="preserve"> &amp; Teresa Pinto-Correia</w:t>
      </w:r>
      <w:r w:rsidRPr="00E20634">
        <w:rPr>
          <w:sz w:val="20"/>
          <w:vertAlign w:val="superscript"/>
          <w:lang w:val="pt-PT"/>
        </w:rPr>
        <w:t>i</w:t>
      </w:r>
    </w:p>
    <w:p w:rsidR="007F423C" w:rsidRPr="00E20634" w:rsidRDefault="007F423C">
      <w:pPr>
        <w:pStyle w:val="Authors"/>
        <w:jc w:val="left"/>
        <w:rPr>
          <w:lang w:val="pt-PT"/>
        </w:rPr>
      </w:pPr>
    </w:p>
    <w:p w:rsidR="007F423C" w:rsidRPr="00E20634" w:rsidRDefault="007F423C">
      <w:pPr>
        <w:pStyle w:val="Authors"/>
        <w:jc w:val="left"/>
        <w:rPr>
          <w:lang w:val="pt-PT"/>
        </w:rPr>
        <w:sectPr w:rsidR="007F423C" w:rsidRPr="00E20634">
          <w:headerReference w:type="default" r:id="rId8"/>
          <w:footerReference w:type="even" r:id="rId9"/>
          <w:footerReference w:type="default" r:id="rId10"/>
          <w:pgSz w:w="11907" w:h="16840" w:code="9"/>
          <w:pgMar w:top="1701" w:right="1134" w:bottom="1418" w:left="1474" w:header="709" w:footer="709" w:gutter="0"/>
          <w:cols w:space="720"/>
        </w:sectPr>
      </w:pPr>
    </w:p>
    <w:p w:rsidR="00767755" w:rsidRDefault="007F423C" w:rsidP="00BA378F">
      <w:pPr>
        <w:pStyle w:val="abstract"/>
        <w:rPr>
          <w:i/>
          <w:iCs/>
        </w:rPr>
      </w:pPr>
      <w:r w:rsidRPr="00BF3817">
        <w:rPr>
          <w:i/>
          <w:iCs/>
        </w:rPr>
        <w:t xml:space="preserve">Abstract </w:t>
      </w:r>
      <w:r w:rsidR="00D54350">
        <w:rPr>
          <w:i/>
          <w:iCs/>
        </w:rPr>
        <w:t>–</w:t>
      </w:r>
      <w:r w:rsidR="00773ECC">
        <w:rPr>
          <w:i/>
          <w:iCs/>
        </w:rPr>
        <w:t xml:space="preserve">Agriculture and food production are subjected to market and policy drivers </w:t>
      </w:r>
      <w:r w:rsidR="0062520E">
        <w:rPr>
          <w:i/>
          <w:iCs/>
        </w:rPr>
        <w:t xml:space="preserve">and fluctuations </w:t>
      </w:r>
      <w:r w:rsidR="00773ECC">
        <w:rPr>
          <w:i/>
          <w:iCs/>
        </w:rPr>
        <w:t xml:space="preserve">that </w:t>
      </w:r>
      <w:r w:rsidR="0062520E">
        <w:rPr>
          <w:i/>
          <w:iCs/>
        </w:rPr>
        <w:t xml:space="preserve">are </w:t>
      </w:r>
      <w:r w:rsidR="00BB10FD">
        <w:rPr>
          <w:i/>
          <w:iCs/>
        </w:rPr>
        <w:t xml:space="preserve">gradually becoming global in scope. This trend turns </w:t>
      </w:r>
      <w:r w:rsidR="00A33483">
        <w:rPr>
          <w:i/>
          <w:iCs/>
        </w:rPr>
        <w:t xml:space="preserve">decisions and preferences </w:t>
      </w:r>
      <w:r w:rsidR="00F34417">
        <w:rPr>
          <w:i/>
          <w:iCs/>
        </w:rPr>
        <w:t xml:space="preserve">by stakeholders </w:t>
      </w:r>
      <w:r w:rsidR="00A33483">
        <w:rPr>
          <w:i/>
          <w:iCs/>
        </w:rPr>
        <w:t xml:space="preserve">within </w:t>
      </w:r>
      <w:r w:rsidR="00F34417">
        <w:rPr>
          <w:i/>
          <w:iCs/>
        </w:rPr>
        <w:t>local and regional farm-systems incrementally less influential</w:t>
      </w:r>
      <w:r w:rsidR="00873E89">
        <w:rPr>
          <w:i/>
          <w:iCs/>
        </w:rPr>
        <w:t>.</w:t>
      </w:r>
      <w:r w:rsidR="00F34417">
        <w:rPr>
          <w:i/>
          <w:iCs/>
        </w:rPr>
        <w:t xml:space="preserve"> This problem directly undermines the subsidiarity principle that underpins the sustainability paradigm.</w:t>
      </w:r>
      <w:r w:rsidR="00873E89">
        <w:rPr>
          <w:i/>
          <w:iCs/>
        </w:rPr>
        <w:t xml:space="preserve"> </w:t>
      </w:r>
      <w:r w:rsidR="00637386">
        <w:rPr>
          <w:i/>
          <w:iCs/>
        </w:rPr>
        <w:t xml:space="preserve">We therefore argue that without gaining </w:t>
      </w:r>
      <w:r w:rsidR="00F34417">
        <w:rPr>
          <w:i/>
          <w:iCs/>
        </w:rPr>
        <w:t>a better understanding of the</w:t>
      </w:r>
      <w:r w:rsidR="00BA378F">
        <w:rPr>
          <w:i/>
          <w:iCs/>
        </w:rPr>
        <w:t xml:space="preserve"> </w:t>
      </w:r>
      <w:r w:rsidR="00637386">
        <w:rPr>
          <w:i/>
          <w:iCs/>
        </w:rPr>
        <w:t>territorial aspects of governance, it might become unfeasible to achieve the</w:t>
      </w:r>
      <w:r w:rsidR="00BA378F">
        <w:rPr>
          <w:i/>
          <w:iCs/>
        </w:rPr>
        <w:t xml:space="preserve"> sustainability </w:t>
      </w:r>
      <w:r w:rsidR="00637386">
        <w:rPr>
          <w:i/>
          <w:iCs/>
        </w:rPr>
        <w:t xml:space="preserve">targets </w:t>
      </w:r>
      <w:r w:rsidR="00F34417">
        <w:rPr>
          <w:i/>
          <w:iCs/>
        </w:rPr>
        <w:t xml:space="preserve">currently </w:t>
      </w:r>
      <w:r w:rsidR="00637386">
        <w:rPr>
          <w:i/>
          <w:iCs/>
        </w:rPr>
        <w:t>set for farming systems</w:t>
      </w:r>
      <w:r w:rsidR="00BA378F">
        <w:rPr>
          <w:i/>
          <w:iCs/>
        </w:rPr>
        <w:t xml:space="preserve"> across Europe. </w:t>
      </w:r>
      <w:r w:rsidR="00267E2A">
        <w:rPr>
          <w:i/>
          <w:iCs/>
        </w:rPr>
        <w:t>Based on this argument</w:t>
      </w:r>
      <w:r w:rsidR="00637386">
        <w:rPr>
          <w:i/>
          <w:iCs/>
        </w:rPr>
        <w:t>,</w:t>
      </w:r>
      <w:r w:rsidR="00267E2A">
        <w:rPr>
          <w:i/>
          <w:iCs/>
        </w:rPr>
        <w:t xml:space="preserve"> in this paper we will </w:t>
      </w:r>
      <w:r w:rsidR="009E7E15">
        <w:rPr>
          <w:i/>
          <w:iCs/>
        </w:rPr>
        <w:t>discuss</w:t>
      </w:r>
      <w:r w:rsidR="00267E2A">
        <w:rPr>
          <w:i/>
          <w:iCs/>
        </w:rPr>
        <w:t xml:space="preserve"> how we adapted the </w:t>
      </w:r>
      <w:r w:rsidR="00BA378F">
        <w:rPr>
          <w:i/>
          <w:iCs/>
        </w:rPr>
        <w:t>C (Conditions)-S (Strategies)-P (Performances) conceptual model developed in the H2020 SUFISA project (</w:t>
      </w:r>
      <w:hyperlink r:id="rId11" w:history="1">
        <w:r w:rsidR="00BA378F" w:rsidRPr="00633BEB">
          <w:rPr>
            <w:rStyle w:val="Hiperligao"/>
          </w:rPr>
          <w:t>www.sufisa.eu</w:t>
        </w:r>
      </w:hyperlink>
      <w:r w:rsidR="00BA378F">
        <w:rPr>
          <w:i/>
          <w:iCs/>
        </w:rPr>
        <w:t xml:space="preserve">) </w:t>
      </w:r>
      <w:r w:rsidR="00267E2A">
        <w:rPr>
          <w:i/>
          <w:iCs/>
        </w:rPr>
        <w:t xml:space="preserve">to best reflect </w:t>
      </w:r>
      <w:r w:rsidR="00637386">
        <w:rPr>
          <w:i/>
          <w:iCs/>
        </w:rPr>
        <w:t xml:space="preserve">the territorial heterogeneity of farming systems and its potential to affect sustainability targets. To achieve this goal, we explored three key </w:t>
      </w:r>
      <w:r w:rsidR="00741F07">
        <w:rPr>
          <w:i/>
          <w:iCs/>
        </w:rPr>
        <w:t>conceptual elements in</w:t>
      </w:r>
      <w:r w:rsidR="00637386">
        <w:rPr>
          <w:i/>
          <w:iCs/>
        </w:rPr>
        <w:t xml:space="preserve"> geographical science</w:t>
      </w:r>
      <w:r w:rsidR="00741F07">
        <w:rPr>
          <w:i/>
          <w:iCs/>
        </w:rPr>
        <w:t>s</w:t>
      </w:r>
      <w:r w:rsidR="00637386">
        <w:rPr>
          <w:i/>
          <w:iCs/>
        </w:rPr>
        <w:t xml:space="preserve">; scale, place and landscape. Incorporating these elements allowed us to enrich and expand our theoretical model beyond its </w:t>
      </w:r>
      <w:r w:rsidR="00741F07">
        <w:rPr>
          <w:i/>
          <w:iCs/>
        </w:rPr>
        <w:t xml:space="preserve">basic </w:t>
      </w:r>
      <w:r w:rsidR="009E7E15">
        <w:rPr>
          <w:i/>
          <w:iCs/>
        </w:rPr>
        <w:t xml:space="preserve">sociological </w:t>
      </w:r>
      <w:r w:rsidR="00741F07">
        <w:rPr>
          <w:i/>
          <w:iCs/>
        </w:rPr>
        <w:t xml:space="preserve">and economic foundations. </w:t>
      </w:r>
      <w:r w:rsidR="00767755">
        <w:rPr>
          <w:i/>
          <w:iCs/>
        </w:rPr>
        <w:t>Currently,</w:t>
      </w:r>
      <w:r w:rsidR="00F34417">
        <w:rPr>
          <w:i/>
          <w:iCs/>
        </w:rPr>
        <w:t xml:space="preserve"> further theoretical</w:t>
      </w:r>
      <w:r w:rsidR="009E7E15">
        <w:rPr>
          <w:i/>
          <w:iCs/>
        </w:rPr>
        <w:t xml:space="preserve"> arguments and empirical tests </w:t>
      </w:r>
      <w:r w:rsidR="00767755">
        <w:rPr>
          <w:i/>
          <w:iCs/>
        </w:rPr>
        <w:t>are undergoing in order for the model to be refined to an extent that it can meaningfully influence</w:t>
      </w:r>
      <w:r w:rsidR="003B6A47">
        <w:rPr>
          <w:i/>
          <w:iCs/>
        </w:rPr>
        <w:t xml:space="preserve"> future</w:t>
      </w:r>
      <w:r w:rsidR="00767755">
        <w:rPr>
          <w:i/>
          <w:iCs/>
        </w:rPr>
        <w:t xml:space="preserve"> agricultural policy and farmer´s practices across Europe. </w:t>
      </w:r>
    </w:p>
    <w:p w:rsidR="00767755" w:rsidRDefault="00767755" w:rsidP="00BA378F">
      <w:pPr>
        <w:pStyle w:val="abstract"/>
        <w:rPr>
          <w:i/>
          <w:iCs/>
        </w:rPr>
      </w:pPr>
    </w:p>
    <w:p w:rsidR="00BA378F" w:rsidRPr="00766416" w:rsidRDefault="00F34417" w:rsidP="00BA378F">
      <w:pPr>
        <w:pStyle w:val="abstract"/>
        <w:rPr>
          <w:b w:val="0"/>
          <w:iCs/>
          <w:sz w:val="18"/>
          <w:szCs w:val="18"/>
        </w:rPr>
      </w:pPr>
      <w:r>
        <w:rPr>
          <w:i/>
          <w:iCs/>
        </w:rPr>
        <w:t xml:space="preserve"> </w:t>
      </w:r>
      <w:r w:rsidR="00741F07">
        <w:rPr>
          <w:i/>
          <w:iCs/>
        </w:rPr>
        <w:t xml:space="preserve"> </w:t>
      </w:r>
      <w:r w:rsidR="00767755" w:rsidRPr="00767755">
        <w:rPr>
          <w:i/>
          <w:iCs/>
        </w:rPr>
        <w:t>Keywords: Territory; Heterogeneity; Farming Systems; Sustainability; Globalization.</w:t>
      </w:r>
      <w:r w:rsidR="00637386">
        <w:rPr>
          <w:i/>
          <w:iCs/>
        </w:rPr>
        <w:t xml:space="preserve"> </w:t>
      </w:r>
    </w:p>
    <w:p w:rsidR="00BA378F" w:rsidRPr="00766416" w:rsidRDefault="00BA378F" w:rsidP="00BA378F">
      <w:pPr>
        <w:pStyle w:val="abstract"/>
        <w:rPr>
          <w:b w:val="0"/>
          <w:iCs/>
          <w:sz w:val="18"/>
          <w:szCs w:val="18"/>
        </w:rPr>
      </w:pPr>
    </w:p>
    <w:p w:rsidR="007F423C" w:rsidRPr="00766416" w:rsidRDefault="00773ECC" w:rsidP="00766416">
      <w:pPr>
        <w:pStyle w:val="abstract"/>
        <w:numPr>
          <w:ilvl w:val="0"/>
          <w:numId w:val="3"/>
        </w:numPr>
        <w:rPr>
          <w:b w:val="0"/>
          <w:sz w:val="18"/>
          <w:szCs w:val="18"/>
        </w:rPr>
      </w:pPr>
      <w:r w:rsidRPr="00766416">
        <w:rPr>
          <w:b w:val="0"/>
          <w:sz w:val="18"/>
          <w:szCs w:val="18"/>
        </w:rPr>
        <w:t>INTRODUCTION</w:t>
      </w:r>
    </w:p>
    <w:p w:rsidR="00773ECC" w:rsidRPr="00766416" w:rsidRDefault="00773ECC" w:rsidP="00292E30">
      <w:pPr>
        <w:pStyle w:val="Normaltext"/>
        <w:rPr>
          <w:sz w:val="18"/>
          <w:szCs w:val="18"/>
        </w:rPr>
      </w:pPr>
    </w:p>
    <w:p w:rsidR="00E05A8F" w:rsidRDefault="00773ECC" w:rsidP="00292E30">
      <w:pPr>
        <w:pStyle w:val="Normaltext"/>
      </w:pPr>
      <w:r w:rsidRPr="00773ECC">
        <w:t>The trend towards a globalized economy and culture is a key force driving change in agricultural production, trade and consumption</w:t>
      </w:r>
      <w:r w:rsidR="00767755">
        <w:t xml:space="preserve"> (</w:t>
      </w:r>
      <w:r w:rsidR="004A13BB">
        <w:t>Josling, 2012</w:t>
      </w:r>
      <w:r w:rsidR="00767755">
        <w:t>)</w:t>
      </w:r>
      <w:r w:rsidRPr="00773ECC">
        <w:t>. From a territor</w:t>
      </w:r>
      <w:r>
        <w:t xml:space="preserve">ial point of view </w:t>
      </w:r>
      <w:r w:rsidRPr="00773ECC">
        <w:t>these changes are reflected in the heterogeneous mosaics of rural habitats and farming systems that exist worldwide, and which are changing in rapid, complex and largely unsustainable ways</w:t>
      </w:r>
      <w:r w:rsidR="00766416">
        <w:t xml:space="preserve"> </w:t>
      </w:r>
      <w:r w:rsidR="00766416" w:rsidRPr="00766416">
        <w:t>(Wen-bin</w:t>
      </w:r>
      <w:r w:rsidR="00766416">
        <w:t>; Qiang-yi; Verburg et al. 2014</w:t>
      </w:r>
      <w:r w:rsidR="0039027F">
        <w:t>)</w:t>
      </w:r>
      <w:r w:rsidRPr="00773ECC">
        <w:t>. Furthermore, such changes are expected to trigger externalities that shall affect the sustainability of multiple national and regional economies and societies across the rural world</w:t>
      </w:r>
      <w:r w:rsidR="00766416">
        <w:t xml:space="preserve"> </w:t>
      </w:r>
      <w:r w:rsidR="00766416" w:rsidRPr="00766416">
        <w:t>(Seppelt,</w:t>
      </w:r>
      <w:r w:rsidR="00766416">
        <w:t xml:space="preserve"> Beckmann, Ceasau, et al, 2016</w:t>
      </w:r>
      <w:r w:rsidR="0039027F">
        <w:t>)</w:t>
      </w:r>
      <w:r w:rsidRPr="00773ECC">
        <w:t xml:space="preserve">. </w:t>
      </w:r>
    </w:p>
    <w:p w:rsidR="00E05A8F" w:rsidRDefault="00773ECC" w:rsidP="00292E30">
      <w:pPr>
        <w:pStyle w:val="Normaltext"/>
      </w:pPr>
      <w:r w:rsidRPr="00773ECC">
        <w:t xml:space="preserve">The situation of food production in the European Union is reflective of </w:t>
      </w:r>
      <w:r w:rsidR="00D328FF">
        <w:t>such</w:t>
      </w:r>
      <w:r w:rsidRPr="00773ECC">
        <w:t xml:space="preserve"> complexity</w:t>
      </w:r>
      <w:r w:rsidR="00766416">
        <w:t xml:space="preserve"> (</w:t>
      </w:r>
      <w:r w:rsidR="00856E7E">
        <w:t>Van Zanten</w:t>
      </w:r>
      <w:r w:rsidR="00766416" w:rsidRPr="00766416">
        <w:t xml:space="preserve"> </w:t>
      </w:r>
      <w:r w:rsidR="00766416" w:rsidRPr="00856E7E">
        <w:rPr>
          <w:i/>
        </w:rPr>
        <w:t>et al</w:t>
      </w:r>
      <w:r w:rsidR="00766416" w:rsidRPr="00766416">
        <w:t>, 2014)</w:t>
      </w:r>
      <w:r w:rsidRPr="00773ECC">
        <w:t>. This is so despite of the many attempts, mainly through market initiatives, to implement a common regulatory and policy framework</w:t>
      </w:r>
      <w:r w:rsidR="00766416">
        <w:t xml:space="preserve"> </w:t>
      </w:r>
      <w:r w:rsidR="00766416" w:rsidRPr="00766416">
        <w:t>(Robinson &amp; Carson, 2015)</w:t>
      </w:r>
      <w:r w:rsidRPr="00773ECC">
        <w:t>. Considering this context, we argue that farmer’s decisions, strategies, and performances are not solely driven by the conditions considered in the economic and sociological literature</w:t>
      </w:r>
      <w:r w:rsidR="00D328FF">
        <w:t xml:space="preserve">. </w:t>
      </w:r>
      <w:r w:rsidR="00D76985">
        <w:t>Conversely</w:t>
      </w:r>
      <w:r w:rsidRPr="00773ECC">
        <w:t xml:space="preserve"> the territorial aspects are indeed as important as the socio-economic </w:t>
      </w:r>
      <w:r w:rsidR="00D328FF">
        <w:t>ones (</w:t>
      </w:r>
      <w:r w:rsidR="00D76985">
        <w:t xml:space="preserve">see conceptual framework in </w:t>
      </w:r>
      <w:hyperlink r:id="rId12" w:history="1">
        <w:r w:rsidR="00D328FF" w:rsidRPr="0084515D">
          <w:rPr>
            <w:rStyle w:val="Hiperligao"/>
          </w:rPr>
          <w:t>http://www.sufisa.eu/news.html</w:t>
        </w:r>
      </w:hyperlink>
      <w:r w:rsidR="00D328FF">
        <w:t>)</w:t>
      </w:r>
      <w:r w:rsidRPr="00773ECC">
        <w:t xml:space="preserve">. </w:t>
      </w:r>
    </w:p>
    <w:p w:rsidR="00E05A8F" w:rsidRDefault="00E05A8F" w:rsidP="00292E30">
      <w:pPr>
        <w:pStyle w:val="Normaltext"/>
      </w:pPr>
    </w:p>
    <w:p w:rsidR="007809B5" w:rsidRDefault="00773ECC" w:rsidP="00292E30">
      <w:pPr>
        <w:pStyle w:val="Normaltext"/>
      </w:pPr>
      <w:r w:rsidRPr="00773ECC">
        <w:t>Consequently, disentangling the territorial heterogeneity of farming systems across Europe is a key step to design policy and economic instruments that are better tailored to reflect on farmers’ own motivations, perceptions and interests. With this argument in mind we examined the multi-faceted implications of expanding the current framework of conditions, strategies and performances for farm sustainability set in the SUFISA H2020 project (</w:t>
      </w:r>
      <w:hyperlink r:id="rId13" w:history="1">
        <w:r w:rsidR="00E05A8F" w:rsidRPr="00633BEB">
          <w:rPr>
            <w:rStyle w:val="Hiperligao"/>
          </w:rPr>
          <w:t>www.sufisa.eu</w:t>
        </w:r>
      </w:hyperlink>
      <w:r w:rsidRPr="00773ECC">
        <w:t xml:space="preserve">). The main aim of this was to better understand the differences and commonalities among farmers’ mind sets when they are considered in their distinctive territorial contexts. To achieve this, we examined the possibilities posed by a series of key territorial concepts developed in the geographical sciences including; scale, place and landscape. Considering scale </w:t>
      </w:r>
      <w:r w:rsidR="00766416">
        <w:t>(</w:t>
      </w:r>
      <w:r w:rsidR="00A33483" w:rsidRPr="00A33483">
        <w:t xml:space="preserve">Gibson, </w:t>
      </w:r>
      <w:r w:rsidR="00A33483">
        <w:t>Ostrom &amp; Ahn,</w:t>
      </w:r>
      <w:r w:rsidR="00A33483" w:rsidRPr="00A33483">
        <w:t xml:space="preserve"> 2000</w:t>
      </w:r>
      <w:r w:rsidR="00766416">
        <w:t xml:space="preserve">) </w:t>
      </w:r>
      <w:r w:rsidRPr="00773ECC">
        <w:t>helps unravel the complexity of institutional and spatial-temporal levels in which farmers’ conditions and decisions are framed</w:t>
      </w:r>
      <w:r w:rsidR="00A33483">
        <w:t>, and the miss-matches between the scope of action for diverse decision-makers (Cumming, Cumming &amp; Redman, 2006)</w:t>
      </w:r>
      <w:r w:rsidRPr="00773ECC">
        <w:t xml:space="preserve">. </w:t>
      </w:r>
    </w:p>
    <w:p w:rsidR="007809B5" w:rsidRDefault="007809B5" w:rsidP="00292E30">
      <w:pPr>
        <w:pStyle w:val="Normaltext"/>
      </w:pPr>
    </w:p>
    <w:p w:rsidR="005F23A8" w:rsidRDefault="00773ECC" w:rsidP="00292E30">
      <w:pPr>
        <w:pStyle w:val="Normaltext"/>
      </w:pPr>
      <w:r w:rsidRPr="00773ECC">
        <w:t>The concepts of place</w:t>
      </w:r>
      <w:r w:rsidR="00766416">
        <w:t xml:space="preserve"> (</w:t>
      </w:r>
      <w:r w:rsidR="00A33483">
        <w:t>Castle, 1998</w:t>
      </w:r>
      <w:r w:rsidR="00766416">
        <w:t>)</w:t>
      </w:r>
      <w:r w:rsidRPr="00773ECC">
        <w:t xml:space="preserve"> and landscape </w:t>
      </w:r>
      <w:r w:rsidR="00766416">
        <w:t>(</w:t>
      </w:r>
      <w:r w:rsidR="00A33483">
        <w:t>Pedroli, Pinto-Correia &amp; Cornish, 2006</w:t>
      </w:r>
      <w:r w:rsidR="00766416">
        <w:t xml:space="preserve">) </w:t>
      </w:r>
      <w:r w:rsidRPr="00773ECC">
        <w:t xml:space="preserve">contribute by respectively adding the sense of belonging (place) and the perceived social-ecological context (landscape) which are both important aspects of farmer´s realms, and which strongly influence decision making at the farm level. </w:t>
      </w:r>
    </w:p>
    <w:p w:rsidR="005F23A8" w:rsidRDefault="005F23A8" w:rsidP="00292E30">
      <w:pPr>
        <w:pStyle w:val="Normaltext"/>
      </w:pPr>
    </w:p>
    <w:p w:rsidR="00773ECC" w:rsidRDefault="00773ECC" w:rsidP="00292E30">
      <w:pPr>
        <w:pStyle w:val="Normaltext"/>
      </w:pPr>
      <w:r w:rsidRPr="00773ECC">
        <w:t>In this paper</w:t>
      </w:r>
      <w:r w:rsidR="00766416">
        <w:t>,</w:t>
      </w:r>
      <w:r w:rsidRPr="00773ECC">
        <w:t xml:space="preserve"> we will discuss how considering these </w:t>
      </w:r>
      <w:r w:rsidR="00A33483">
        <w:t>three key territorial concepts helped enrich</w:t>
      </w:r>
      <w:r w:rsidRPr="00773ECC">
        <w:t xml:space="preserve"> the conceptual framework set in </w:t>
      </w:r>
      <w:r w:rsidR="00A33483">
        <w:t xml:space="preserve">the </w:t>
      </w:r>
      <w:r w:rsidRPr="00773ECC">
        <w:t>SUFISA</w:t>
      </w:r>
      <w:r w:rsidR="00A33483">
        <w:t xml:space="preserve"> project</w:t>
      </w:r>
      <w:r w:rsidRPr="00773ECC">
        <w:t>, enabling its potential to better coordinate the multiple bottom-up initiatives (e.g. decisions at the farm level)</w:t>
      </w:r>
      <w:r w:rsidR="00E05A8F">
        <w:t xml:space="preserve"> </w:t>
      </w:r>
      <w:r w:rsidRPr="00773ECC">
        <w:t>and top-down strategies (e.g. planning and policies) that are required to drive change towards sustainability in globalized farming systems.</w:t>
      </w:r>
    </w:p>
    <w:p w:rsidR="00773ECC" w:rsidRDefault="00773ECC" w:rsidP="00292E30">
      <w:pPr>
        <w:pStyle w:val="Normaltext"/>
      </w:pPr>
    </w:p>
    <w:p w:rsidR="00773ECC" w:rsidRDefault="00773ECC" w:rsidP="00766416">
      <w:pPr>
        <w:pStyle w:val="Normaltext"/>
        <w:numPr>
          <w:ilvl w:val="0"/>
          <w:numId w:val="3"/>
        </w:numPr>
        <w:ind w:left="709" w:hanging="283"/>
        <w:rPr>
          <w:sz w:val="18"/>
          <w:szCs w:val="18"/>
        </w:rPr>
      </w:pPr>
      <w:r>
        <w:rPr>
          <w:sz w:val="18"/>
          <w:szCs w:val="18"/>
        </w:rPr>
        <w:t>METHODS</w:t>
      </w:r>
    </w:p>
    <w:p w:rsidR="00A33483" w:rsidRDefault="00A33483" w:rsidP="00A33483">
      <w:pPr>
        <w:pStyle w:val="Normaltext"/>
        <w:rPr>
          <w:sz w:val="18"/>
          <w:szCs w:val="18"/>
        </w:rPr>
      </w:pPr>
    </w:p>
    <w:p w:rsidR="00344F96" w:rsidRDefault="00984C1D" w:rsidP="00773ECC">
      <w:pPr>
        <w:pStyle w:val="Normaltext"/>
        <w:rPr>
          <w:szCs w:val="16"/>
        </w:rPr>
      </w:pPr>
      <w:r>
        <w:rPr>
          <w:szCs w:val="16"/>
        </w:rPr>
        <w:t xml:space="preserve">Given the lack of </w:t>
      </w:r>
      <w:r w:rsidR="00856E7E">
        <w:rPr>
          <w:szCs w:val="16"/>
        </w:rPr>
        <w:t xml:space="preserve">previous experiences </w:t>
      </w:r>
      <w:r>
        <w:rPr>
          <w:szCs w:val="16"/>
        </w:rPr>
        <w:t xml:space="preserve">available to test the conceptual approaches that we were </w:t>
      </w:r>
      <w:r w:rsidR="00B5424E">
        <w:rPr>
          <w:szCs w:val="16"/>
        </w:rPr>
        <w:t>pursuing, we decided t</w:t>
      </w:r>
      <w:r w:rsidR="00856E7E">
        <w:rPr>
          <w:szCs w:val="16"/>
        </w:rPr>
        <w:t>o</w:t>
      </w:r>
      <w:r w:rsidR="00B5424E">
        <w:rPr>
          <w:szCs w:val="16"/>
        </w:rPr>
        <w:t xml:space="preserve"> </w:t>
      </w:r>
      <w:r w:rsidR="00344F96">
        <w:rPr>
          <w:szCs w:val="16"/>
        </w:rPr>
        <w:t xml:space="preserve">revise </w:t>
      </w:r>
      <w:r w:rsidR="00B5424E">
        <w:rPr>
          <w:szCs w:val="16"/>
        </w:rPr>
        <w:t xml:space="preserve">the </w:t>
      </w:r>
      <w:r w:rsidR="006701E0">
        <w:rPr>
          <w:szCs w:val="16"/>
        </w:rPr>
        <w:t>diverse tasks planned in</w:t>
      </w:r>
      <w:r w:rsidR="00344F96">
        <w:rPr>
          <w:szCs w:val="16"/>
        </w:rPr>
        <w:t xml:space="preserve"> SUFISA </w:t>
      </w:r>
      <w:r w:rsidR="006701E0">
        <w:rPr>
          <w:szCs w:val="16"/>
        </w:rPr>
        <w:t>in the following ways</w:t>
      </w:r>
      <w:r w:rsidR="00344F96">
        <w:rPr>
          <w:szCs w:val="16"/>
        </w:rPr>
        <w:t>:</w:t>
      </w:r>
    </w:p>
    <w:p w:rsidR="00344F96" w:rsidRDefault="00344F96" w:rsidP="00773ECC">
      <w:pPr>
        <w:pStyle w:val="Normaltext"/>
        <w:rPr>
          <w:szCs w:val="16"/>
        </w:rPr>
      </w:pPr>
    </w:p>
    <w:p w:rsidR="00773ECC" w:rsidRDefault="00344F96" w:rsidP="00974FB8">
      <w:pPr>
        <w:pStyle w:val="Normaltext"/>
        <w:numPr>
          <w:ilvl w:val="0"/>
          <w:numId w:val="4"/>
        </w:numPr>
        <w:ind w:left="284" w:hanging="284"/>
        <w:rPr>
          <w:szCs w:val="16"/>
        </w:rPr>
      </w:pPr>
      <w:r>
        <w:rPr>
          <w:szCs w:val="16"/>
        </w:rPr>
        <w:t xml:space="preserve">To test the relevance of the concept of scale we categorized each of the Conditions and Strategies generally defined for all case studies in the project so that they would also </w:t>
      </w:r>
      <w:r w:rsidR="00F82E6B">
        <w:rPr>
          <w:szCs w:val="16"/>
        </w:rPr>
        <w:t>include information about the spatial scales (Global to National vs Regional to Local) at which each of them individually bec</w:t>
      </w:r>
      <w:r w:rsidR="00974FB8">
        <w:rPr>
          <w:szCs w:val="16"/>
        </w:rPr>
        <w:t>o</w:t>
      </w:r>
      <w:r w:rsidR="00F82E6B">
        <w:rPr>
          <w:szCs w:val="16"/>
        </w:rPr>
        <w:t xml:space="preserve">me relevant. In addition, the original list of CSPs was also altered to reflect some conditions and strategies that are either </w:t>
      </w:r>
      <w:r w:rsidR="00974FB8">
        <w:rPr>
          <w:szCs w:val="16"/>
        </w:rPr>
        <w:t xml:space="preserve">directly </w:t>
      </w:r>
      <w:r w:rsidR="00F82E6B">
        <w:rPr>
          <w:szCs w:val="16"/>
        </w:rPr>
        <w:t xml:space="preserve">reflect landscape </w:t>
      </w:r>
    </w:p>
    <w:p w:rsidR="00974FB8" w:rsidRDefault="00974FB8" w:rsidP="00773ECC">
      <w:pPr>
        <w:pStyle w:val="Normaltext"/>
        <w:rPr>
          <w:szCs w:val="16"/>
        </w:rPr>
      </w:pPr>
      <w:r>
        <w:rPr>
          <w:szCs w:val="16"/>
        </w:rPr>
        <w:t xml:space="preserve">     functions and processes or either that are active </w:t>
      </w:r>
    </w:p>
    <w:p w:rsidR="00984C1D" w:rsidRDefault="00974FB8" w:rsidP="00773ECC">
      <w:pPr>
        <w:pStyle w:val="Normaltext"/>
        <w:rPr>
          <w:szCs w:val="16"/>
        </w:rPr>
      </w:pPr>
      <w:r>
        <w:rPr>
          <w:szCs w:val="16"/>
        </w:rPr>
        <w:t xml:space="preserve">     at the landscape scale.</w:t>
      </w:r>
    </w:p>
    <w:p w:rsidR="00D328FF" w:rsidRDefault="00D328FF" w:rsidP="00773ECC">
      <w:pPr>
        <w:pStyle w:val="Normaltext"/>
        <w:rPr>
          <w:szCs w:val="16"/>
        </w:rPr>
      </w:pPr>
    </w:p>
    <w:p w:rsidR="007D0353" w:rsidRDefault="00974FB8" w:rsidP="00974FB8">
      <w:pPr>
        <w:pStyle w:val="Normaltext"/>
        <w:numPr>
          <w:ilvl w:val="0"/>
          <w:numId w:val="4"/>
        </w:numPr>
        <w:ind w:left="284" w:hanging="284"/>
        <w:rPr>
          <w:szCs w:val="16"/>
        </w:rPr>
      </w:pPr>
      <w:r>
        <w:rPr>
          <w:szCs w:val="16"/>
        </w:rPr>
        <w:t xml:space="preserve">  To check for place and space, some further extra Conditions and Strategies were added to the framework that directly relate to these concepts (e.g. for sense of place we added some subjective and perce</w:t>
      </w:r>
      <w:r w:rsidR="007D0353">
        <w:rPr>
          <w:szCs w:val="16"/>
        </w:rPr>
        <w:t>ptive variables, whilst for space we looked at spatial relationships and location of farms in relation to their neighbours).  Also, the consideration of elements of place and spatial relationships and location were included in the design and implementation of the wide range of participatory events and stakeholder interactions planned along the project (WP2).</w:t>
      </w:r>
    </w:p>
    <w:p w:rsidR="00D328FF" w:rsidRDefault="00D328FF" w:rsidP="00D328FF">
      <w:pPr>
        <w:pStyle w:val="Normaltext"/>
        <w:ind w:left="284"/>
        <w:rPr>
          <w:szCs w:val="16"/>
        </w:rPr>
      </w:pPr>
    </w:p>
    <w:p w:rsidR="006701E0" w:rsidRDefault="006701E0" w:rsidP="00974FB8">
      <w:pPr>
        <w:pStyle w:val="Normaltext"/>
        <w:numPr>
          <w:ilvl w:val="0"/>
          <w:numId w:val="4"/>
        </w:numPr>
        <w:ind w:left="284" w:hanging="284"/>
        <w:rPr>
          <w:szCs w:val="16"/>
        </w:rPr>
      </w:pPr>
      <w:r>
        <w:rPr>
          <w:szCs w:val="16"/>
        </w:rPr>
        <w:t>Last, considering space and landscape allowed to perform a spatial stratification of farms to be surveyed that should therefore be more representative of the territorial heterogeneity</w:t>
      </w:r>
      <w:r w:rsidR="0063007F">
        <w:rPr>
          <w:szCs w:val="16"/>
        </w:rPr>
        <w:t xml:space="preserve"> in each case study</w:t>
      </w:r>
      <w:r>
        <w:rPr>
          <w:szCs w:val="16"/>
        </w:rPr>
        <w:t xml:space="preserve"> </w:t>
      </w:r>
      <w:r w:rsidR="0063007F">
        <w:rPr>
          <w:szCs w:val="16"/>
        </w:rPr>
        <w:t>commodity</w:t>
      </w:r>
      <w:r>
        <w:rPr>
          <w:szCs w:val="16"/>
        </w:rPr>
        <w:t xml:space="preserve"> and region.  </w:t>
      </w:r>
    </w:p>
    <w:p w:rsidR="00984C1D" w:rsidRPr="00A33483" w:rsidRDefault="00984C1D" w:rsidP="00773ECC">
      <w:pPr>
        <w:pStyle w:val="Normaltext"/>
        <w:rPr>
          <w:szCs w:val="16"/>
        </w:rPr>
      </w:pPr>
    </w:p>
    <w:p w:rsidR="00773ECC" w:rsidRDefault="00773ECC" w:rsidP="00766416">
      <w:pPr>
        <w:pStyle w:val="Normaltext"/>
        <w:numPr>
          <w:ilvl w:val="0"/>
          <w:numId w:val="3"/>
        </w:numPr>
        <w:ind w:left="709" w:hanging="283"/>
        <w:rPr>
          <w:sz w:val="18"/>
          <w:szCs w:val="18"/>
        </w:rPr>
      </w:pPr>
      <w:r>
        <w:rPr>
          <w:sz w:val="18"/>
          <w:szCs w:val="18"/>
        </w:rPr>
        <w:t>RESULTS</w:t>
      </w:r>
      <w:r w:rsidR="00344F96">
        <w:rPr>
          <w:sz w:val="18"/>
          <w:szCs w:val="18"/>
        </w:rPr>
        <w:t xml:space="preserve"> </w:t>
      </w:r>
      <w:r w:rsidR="007D0353">
        <w:rPr>
          <w:sz w:val="18"/>
          <w:szCs w:val="18"/>
        </w:rPr>
        <w:t>and DISCUSSION</w:t>
      </w:r>
    </w:p>
    <w:p w:rsidR="007D0353" w:rsidRDefault="007D0353" w:rsidP="007D0353">
      <w:pPr>
        <w:pStyle w:val="Normaltext"/>
        <w:rPr>
          <w:sz w:val="18"/>
          <w:szCs w:val="18"/>
        </w:rPr>
      </w:pPr>
    </w:p>
    <w:p w:rsidR="00462C6D" w:rsidRDefault="006701E0" w:rsidP="007D0353">
      <w:pPr>
        <w:pStyle w:val="Normaltext"/>
        <w:rPr>
          <w:szCs w:val="16"/>
        </w:rPr>
      </w:pPr>
      <w:r w:rsidRPr="006701E0">
        <w:rPr>
          <w:szCs w:val="16"/>
        </w:rPr>
        <w:t xml:space="preserve">The results obtained </w:t>
      </w:r>
      <w:r>
        <w:rPr>
          <w:szCs w:val="16"/>
        </w:rPr>
        <w:t>are only in progress (the project ends in 2019), but still bear some significant implications which can be already stated. Firstly, it is clear how adding a territorial heterogeneity permitted to enrich and expand the original CSP model</w:t>
      </w:r>
      <w:r w:rsidR="00462C6D">
        <w:rPr>
          <w:szCs w:val="16"/>
        </w:rPr>
        <w:t xml:space="preserve"> beyond its </w:t>
      </w:r>
      <w:r w:rsidR="00462C6D">
        <w:rPr>
          <w:szCs w:val="16"/>
        </w:rPr>
        <w:t xml:space="preserve">socio-economic approach, thus better matching the concept of sustainability. </w:t>
      </w:r>
    </w:p>
    <w:p w:rsidR="00D328FF" w:rsidRDefault="00D328FF" w:rsidP="007D0353">
      <w:pPr>
        <w:pStyle w:val="Normaltext"/>
        <w:rPr>
          <w:szCs w:val="16"/>
        </w:rPr>
      </w:pPr>
    </w:p>
    <w:p w:rsidR="007D0353" w:rsidRPr="006701E0" w:rsidRDefault="00462C6D" w:rsidP="007D0353">
      <w:pPr>
        <w:pStyle w:val="Normaltext"/>
        <w:rPr>
          <w:szCs w:val="16"/>
        </w:rPr>
      </w:pPr>
      <w:r>
        <w:rPr>
          <w:szCs w:val="16"/>
        </w:rPr>
        <w:t>Secondly, it allowed us to better engage with non-researchers, who responded positively to the importance of place, space and landscape in their decisions and strategies.</w:t>
      </w:r>
      <w:r w:rsidR="006701E0">
        <w:rPr>
          <w:szCs w:val="16"/>
        </w:rPr>
        <w:t xml:space="preserve"> </w:t>
      </w:r>
      <w:r w:rsidR="006701E0" w:rsidRPr="006701E0">
        <w:rPr>
          <w:szCs w:val="16"/>
        </w:rPr>
        <w:t xml:space="preserve"> </w:t>
      </w:r>
    </w:p>
    <w:p w:rsidR="00773ECC" w:rsidRPr="007D0353" w:rsidRDefault="00773ECC" w:rsidP="007D0353">
      <w:pPr>
        <w:rPr>
          <w:sz w:val="18"/>
          <w:szCs w:val="18"/>
        </w:rPr>
      </w:pPr>
    </w:p>
    <w:p w:rsidR="00974FB8" w:rsidRDefault="00773ECC" w:rsidP="00462C6D">
      <w:pPr>
        <w:pStyle w:val="Normaltext"/>
        <w:numPr>
          <w:ilvl w:val="0"/>
          <w:numId w:val="3"/>
        </w:numPr>
        <w:ind w:left="709" w:hanging="283"/>
        <w:rPr>
          <w:sz w:val="18"/>
          <w:szCs w:val="18"/>
        </w:rPr>
      </w:pPr>
      <w:r>
        <w:rPr>
          <w:sz w:val="18"/>
          <w:szCs w:val="18"/>
        </w:rPr>
        <w:t>CONCLUSIONS</w:t>
      </w:r>
    </w:p>
    <w:p w:rsidR="00462C6D" w:rsidRDefault="00462C6D" w:rsidP="00462C6D">
      <w:pPr>
        <w:pStyle w:val="Normaltext"/>
        <w:rPr>
          <w:sz w:val="18"/>
          <w:szCs w:val="18"/>
        </w:rPr>
      </w:pPr>
    </w:p>
    <w:p w:rsidR="00462C6D" w:rsidRPr="00462C6D" w:rsidRDefault="00462C6D" w:rsidP="00462C6D">
      <w:pPr>
        <w:pStyle w:val="Normaltext"/>
        <w:rPr>
          <w:szCs w:val="16"/>
        </w:rPr>
      </w:pPr>
      <w:r w:rsidRPr="00462C6D">
        <w:rPr>
          <w:szCs w:val="16"/>
        </w:rPr>
        <w:t xml:space="preserve">Adding a geographical perspective </w:t>
      </w:r>
      <w:r>
        <w:rPr>
          <w:szCs w:val="16"/>
        </w:rPr>
        <w:t xml:space="preserve">to the analysis of financial sustainability of farming systems in the context of globalisation and sustainability could, in principle, become important to move towards research programs that are better grounded in the reality of farm systems and other local and regional governance institutions. In addition, the addition of a territorial heterogeneity approach seems to be appreciated by farmers and other key stakeholders </w:t>
      </w:r>
      <w:r w:rsidR="0024246C">
        <w:rPr>
          <w:szCs w:val="16"/>
        </w:rPr>
        <w:t>as it</w:t>
      </w:r>
      <w:r>
        <w:rPr>
          <w:szCs w:val="16"/>
        </w:rPr>
        <w:t xml:space="preserve"> better express</w:t>
      </w:r>
      <w:r w:rsidR="0024246C">
        <w:rPr>
          <w:szCs w:val="16"/>
        </w:rPr>
        <w:t>es</w:t>
      </w:r>
      <w:r>
        <w:rPr>
          <w:szCs w:val="16"/>
        </w:rPr>
        <w:t xml:space="preserve"> the wide set of conditions underpinning their strategies and related performances. However, results so far are either theoretical or preliminary, and</w:t>
      </w:r>
      <w:r w:rsidR="00D328FF">
        <w:rPr>
          <w:szCs w:val="16"/>
        </w:rPr>
        <w:t xml:space="preserve"> more work will be required</w:t>
      </w:r>
      <w:r w:rsidR="0024246C">
        <w:rPr>
          <w:szCs w:val="16"/>
        </w:rPr>
        <w:t xml:space="preserve"> under the SUFISA project before definitive lessons are learnt that can be tested in a wider range of situations and contexts.</w:t>
      </w:r>
      <w:r>
        <w:rPr>
          <w:szCs w:val="16"/>
        </w:rPr>
        <w:t xml:space="preserve"> </w:t>
      </w:r>
    </w:p>
    <w:p w:rsidR="00974FB8" w:rsidRDefault="00974FB8" w:rsidP="00285D11">
      <w:pPr>
        <w:pStyle w:val="berschrift11"/>
        <w:tabs>
          <w:tab w:val="left" w:pos="240"/>
        </w:tabs>
      </w:pPr>
    </w:p>
    <w:p w:rsidR="007F423C" w:rsidRPr="00BF3817" w:rsidRDefault="007F423C" w:rsidP="00285D11">
      <w:pPr>
        <w:pStyle w:val="berschrift11"/>
        <w:tabs>
          <w:tab w:val="left" w:pos="240"/>
        </w:tabs>
      </w:pPr>
      <w:r w:rsidRPr="00BF3817">
        <w:t>Acknowledgement</w:t>
      </w:r>
    </w:p>
    <w:p w:rsidR="007F423C" w:rsidRDefault="00462C6D">
      <w:pPr>
        <w:pStyle w:val="Normaltext"/>
        <w:rPr>
          <w:rFonts w:eastAsia="Microsoft YaHei" w:cs="+mn-cs"/>
          <w:color w:val="000000"/>
          <w:kern w:val="24"/>
        </w:rPr>
      </w:pPr>
      <w:r>
        <w:t>We</w:t>
      </w:r>
      <w:r w:rsidR="00773ECC" w:rsidRPr="0004006E">
        <w:t xml:space="preserve"> thank the European Commission for funding our research under the HORIZON 2020 SUFISA-</w:t>
      </w:r>
      <w:r w:rsidR="00364A49">
        <w:t xml:space="preserve"> </w:t>
      </w:r>
      <w:r w:rsidR="00BE5DA8" w:rsidRPr="0004006E">
        <w:t xml:space="preserve">“Sustainable Finance for Sustainable Agriculture and Fisheries” </w:t>
      </w:r>
      <w:r w:rsidR="00B5424E" w:rsidRPr="0004006E">
        <w:t xml:space="preserve">project </w:t>
      </w:r>
      <w:r w:rsidR="00BE5DA8" w:rsidRPr="0004006E">
        <w:t>(</w:t>
      </w:r>
      <w:r w:rsidR="00364A49">
        <w:rPr>
          <w:rFonts w:eastAsia="Microsoft YaHei" w:cs="+mn-cs"/>
          <w:color w:val="000000"/>
          <w:kern w:val="24"/>
        </w:rPr>
        <w:t>grant agreement No 635577). We</w:t>
      </w:r>
      <w:r>
        <w:rPr>
          <w:rFonts w:eastAsia="Microsoft YaHei" w:cs="+mn-cs"/>
          <w:color w:val="000000"/>
          <w:kern w:val="24"/>
        </w:rPr>
        <w:t xml:space="preserve"> also </w:t>
      </w:r>
      <w:r w:rsidR="00B5424E" w:rsidRPr="0004006E">
        <w:rPr>
          <w:rFonts w:eastAsia="Microsoft YaHei" w:cs="+mn-cs"/>
          <w:color w:val="000000"/>
          <w:kern w:val="24"/>
        </w:rPr>
        <w:t>thank</w:t>
      </w:r>
      <w:r w:rsidR="0004006E">
        <w:rPr>
          <w:rFonts w:eastAsia="Microsoft YaHei" w:cs="+mn-cs"/>
          <w:color w:val="000000"/>
          <w:kern w:val="24"/>
        </w:rPr>
        <w:t xml:space="preserve"> </w:t>
      </w:r>
      <w:r w:rsidR="00974FB8">
        <w:rPr>
          <w:rFonts w:eastAsia="Microsoft YaHei" w:cs="+mn-cs"/>
          <w:color w:val="000000"/>
          <w:kern w:val="24"/>
        </w:rPr>
        <w:t>all partners in the project</w:t>
      </w:r>
      <w:r w:rsidR="0004006E">
        <w:rPr>
          <w:rFonts w:eastAsia="Microsoft YaHei" w:cs="+mn-cs"/>
          <w:color w:val="000000"/>
          <w:kern w:val="24"/>
        </w:rPr>
        <w:t xml:space="preserve"> </w:t>
      </w:r>
      <w:r w:rsidR="0004006E" w:rsidRPr="0004006E">
        <w:rPr>
          <w:rFonts w:eastAsia="Microsoft YaHei" w:cs="+mn-cs"/>
          <w:color w:val="000000"/>
          <w:kern w:val="24"/>
        </w:rPr>
        <w:t>for their suggestions and fruitful discussions</w:t>
      </w:r>
      <w:r w:rsidR="0004006E">
        <w:rPr>
          <w:rFonts w:eastAsia="Microsoft YaHei" w:cs="+mn-cs"/>
          <w:color w:val="000000"/>
          <w:kern w:val="24"/>
        </w:rPr>
        <w:t xml:space="preserve">. </w:t>
      </w:r>
    </w:p>
    <w:p w:rsidR="0004006E" w:rsidRPr="0004006E" w:rsidRDefault="0004006E">
      <w:pPr>
        <w:pStyle w:val="Normaltext"/>
        <w:rPr>
          <w:rFonts w:eastAsia="Microsoft YaHei" w:cs="+mn-cs"/>
          <w:color w:val="000000"/>
          <w:kern w:val="24"/>
        </w:rPr>
      </w:pPr>
    </w:p>
    <w:p w:rsidR="007F423C" w:rsidRDefault="007F423C">
      <w:pPr>
        <w:pStyle w:val="berschrift11"/>
      </w:pPr>
      <w:r w:rsidRPr="00BF3817">
        <w:t>References</w:t>
      </w:r>
    </w:p>
    <w:p w:rsidR="00A06242" w:rsidRDefault="00A06242" w:rsidP="001145D1">
      <w:pPr>
        <w:jc w:val="both"/>
        <w:rPr>
          <w:rFonts w:ascii="Verdana" w:hAnsi="Verdana"/>
          <w:sz w:val="16"/>
          <w:szCs w:val="16"/>
        </w:rPr>
      </w:pPr>
      <w:r w:rsidRPr="00A06242">
        <w:rPr>
          <w:rFonts w:ascii="Verdana" w:hAnsi="Verdana"/>
          <w:sz w:val="16"/>
          <w:szCs w:val="16"/>
        </w:rPr>
        <w:t>Castle,</w:t>
      </w:r>
      <w:r w:rsidR="00113369">
        <w:rPr>
          <w:rFonts w:ascii="Verdana" w:hAnsi="Verdana"/>
          <w:sz w:val="16"/>
          <w:szCs w:val="16"/>
        </w:rPr>
        <w:t xml:space="preserve"> E.N.</w:t>
      </w:r>
      <w:r w:rsidRPr="00A06242">
        <w:rPr>
          <w:rFonts w:ascii="Verdana" w:hAnsi="Verdana"/>
          <w:sz w:val="16"/>
          <w:szCs w:val="16"/>
        </w:rPr>
        <w:t xml:space="preserve"> 1998</w:t>
      </w:r>
      <w:r w:rsidR="00113369">
        <w:rPr>
          <w:rFonts w:ascii="Verdana" w:hAnsi="Verdana"/>
          <w:sz w:val="16"/>
          <w:szCs w:val="16"/>
        </w:rPr>
        <w:t>. A conceptual framework for the study of rural places. American Journal of Agricultural Economics, 80 (3): 621-631.</w:t>
      </w:r>
    </w:p>
    <w:p w:rsidR="001145D1" w:rsidRDefault="001145D1" w:rsidP="001145D1">
      <w:pPr>
        <w:jc w:val="both"/>
        <w:rPr>
          <w:rFonts w:ascii="Verdana" w:hAnsi="Verdana"/>
          <w:sz w:val="16"/>
          <w:szCs w:val="16"/>
        </w:rPr>
      </w:pPr>
      <w:r w:rsidRPr="001145D1">
        <w:rPr>
          <w:rFonts w:ascii="Verdana" w:hAnsi="Verdana"/>
          <w:sz w:val="16"/>
          <w:szCs w:val="16"/>
        </w:rPr>
        <w:t>Cumming, G. S., D. H. M. Cumming, and C. L. Redman. 2006. Scale mismatches in social-ecological systems: causes, consequences, and solutions . Ecology and Society 11(1): 14.</w:t>
      </w:r>
    </w:p>
    <w:p w:rsidR="00D328FF" w:rsidRDefault="00A06242" w:rsidP="001145D1">
      <w:pPr>
        <w:jc w:val="both"/>
        <w:rPr>
          <w:rFonts w:ascii="Verdana" w:hAnsi="Verdana"/>
          <w:sz w:val="16"/>
          <w:szCs w:val="16"/>
        </w:rPr>
      </w:pPr>
      <w:r w:rsidRPr="00A06242">
        <w:rPr>
          <w:rFonts w:ascii="Verdana" w:hAnsi="Verdana"/>
          <w:sz w:val="16"/>
          <w:szCs w:val="16"/>
        </w:rPr>
        <w:t>Gibson,</w:t>
      </w:r>
      <w:r w:rsidR="00113369">
        <w:rPr>
          <w:rFonts w:ascii="Verdana" w:hAnsi="Verdana"/>
          <w:sz w:val="16"/>
          <w:szCs w:val="16"/>
        </w:rPr>
        <w:t xml:space="preserve"> C.C.</w:t>
      </w:r>
      <w:r w:rsidRPr="00A06242">
        <w:rPr>
          <w:rFonts w:ascii="Verdana" w:hAnsi="Verdana"/>
          <w:sz w:val="16"/>
          <w:szCs w:val="16"/>
        </w:rPr>
        <w:t xml:space="preserve"> Ostrom</w:t>
      </w:r>
      <w:r w:rsidR="00113369">
        <w:rPr>
          <w:rFonts w:ascii="Verdana" w:hAnsi="Verdana"/>
          <w:sz w:val="16"/>
          <w:szCs w:val="16"/>
        </w:rPr>
        <w:t>, E.</w:t>
      </w:r>
      <w:r w:rsidRPr="00A06242">
        <w:rPr>
          <w:rFonts w:ascii="Verdana" w:hAnsi="Verdana"/>
          <w:sz w:val="16"/>
          <w:szCs w:val="16"/>
        </w:rPr>
        <w:t xml:space="preserve"> &amp; </w:t>
      </w:r>
      <w:r w:rsidR="00113369">
        <w:rPr>
          <w:rFonts w:ascii="Verdana" w:hAnsi="Verdana"/>
          <w:sz w:val="16"/>
          <w:szCs w:val="16"/>
        </w:rPr>
        <w:t xml:space="preserve">T.K. </w:t>
      </w:r>
      <w:r w:rsidRPr="00A06242">
        <w:rPr>
          <w:rFonts w:ascii="Verdana" w:hAnsi="Verdana"/>
          <w:sz w:val="16"/>
          <w:szCs w:val="16"/>
        </w:rPr>
        <w:t>Ahn, 2000</w:t>
      </w:r>
      <w:r w:rsidR="00113369">
        <w:rPr>
          <w:rFonts w:ascii="Verdana" w:hAnsi="Verdana"/>
          <w:sz w:val="16"/>
          <w:szCs w:val="16"/>
        </w:rPr>
        <w:t>.</w:t>
      </w:r>
      <w:r w:rsidR="00113369" w:rsidRPr="00113369">
        <w:t xml:space="preserve"> </w:t>
      </w:r>
      <w:r w:rsidR="00113369" w:rsidRPr="00113369">
        <w:rPr>
          <w:rFonts w:ascii="Verdana" w:hAnsi="Verdana"/>
          <w:sz w:val="16"/>
          <w:szCs w:val="16"/>
        </w:rPr>
        <w:t>The concept of scale and the human dimensions of global change: a survey</w:t>
      </w:r>
      <w:r w:rsidR="00113369">
        <w:rPr>
          <w:rFonts w:ascii="Verdana" w:hAnsi="Verdana"/>
          <w:sz w:val="16"/>
          <w:szCs w:val="16"/>
        </w:rPr>
        <w:t xml:space="preserve">.  </w:t>
      </w:r>
      <w:r w:rsidR="00113369" w:rsidRPr="00113369">
        <w:rPr>
          <w:rFonts w:ascii="Verdana" w:hAnsi="Verdana"/>
          <w:sz w:val="16"/>
          <w:szCs w:val="16"/>
        </w:rPr>
        <w:t>Ecological Economics, 2000</w:t>
      </w:r>
      <w:r w:rsidR="00113369">
        <w:rPr>
          <w:rFonts w:ascii="Verdana" w:hAnsi="Verdana"/>
          <w:sz w:val="16"/>
          <w:szCs w:val="16"/>
        </w:rPr>
        <w:t xml:space="preserve"> (32-2)</w:t>
      </w:r>
      <w:r w:rsidR="00113369" w:rsidRPr="00113369">
        <w:rPr>
          <w:rFonts w:ascii="Verdana" w:hAnsi="Verdana"/>
          <w:sz w:val="16"/>
          <w:szCs w:val="16"/>
        </w:rPr>
        <w:t>, 217-239</w:t>
      </w:r>
    </w:p>
    <w:p w:rsidR="00A06242" w:rsidRDefault="00A06242" w:rsidP="001145D1">
      <w:pPr>
        <w:jc w:val="both"/>
        <w:rPr>
          <w:rFonts w:ascii="Verdana" w:hAnsi="Verdana"/>
          <w:sz w:val="16"/>
          <w:szCs w:val="16"/>
        </w:rPr>
      </w:pPr>
      <w:r w:rsidRPr="00A06242">
        <w:rPr>
          <w:rFonts w:ascii="Verdana" w:hAnsi="Verdana"/>
          <w:sz w:val="16"/>
          <w:szCs w:val="16"/>
        </w:rPr>
        <w:t>Josling, 2012</w:t>
      </w:r>
      <w:r w:rsidR="00113369">
        <w:rPr>
          <w:rFonts w:ascii="Verdana" w:hAnsi="Verdana"/>
          <w:sz w:val="16"/>
          <w:szCs w:val="16"/>
        </w:rPr>
        <w:t xml:space="preserve">. </w:t>
      </w:r>
      <w:r w:rsidR="00113369" w:rsidRPr="00113369">
        <w:rPr>
          <w:rFonts w:ascii="Verdana" w:hAnsi="Verdana"/>
          <w:sz w:val="16"/>
          <w:szCs w:val="16"/>
        </w:rPr>
        <w:t>New Trade Issues in Food, Ag</w:t>
      </w:r>
      <w:r w:rsidR="00113369">
        <w:rPr>
          <w:rFonts w:ascii="Verdana" w:hAnsi="Verdana"/>
          <w:sz w:val="16"/>
          <w:szCs w:val="16"/>
        </w:rPr>
        <w:t>riculture and Natural Resources</w:t>
      </w:r>
      <w:r w:rsidR="00113369" w:rsidRPr="00113369">
        <w:rPr>
          <w:rFonts w:ascii="Verdana" w:hAnsi="Verdana"/>
          <w:sz w:val="16"/>
          <w:szCs w:val="16"/>
        </w:rPr>
        <w:t>, in Amrita Narlikar, Martin Daunton, and Robert M. Stern (eds.) The Oxford Handbook on the World Trade Organization, Oxford University Press</w:t>
      </w:r>
    </w:p>
    <w:p w:rsidR="001145D1" w:rsidRDefault="001145D1" w:rsidP="001145D1">
      <w:pPr>
        <w:jc w:val="both"/>
        <w:rPr>
          <w:rFonts w:ascii="Verdana" w:hAnsi="Verdana"/>
          <w:sz w:val="16"/>
          <w:szCs w:val="16"/>
        </w:rPr>
      </w:pPr>
      <w:r w:rsidRPr="001145D1">
        <w:rPr>
          <w:rFonts w:ascii="Verdana" w:hAnsi="Verdana"/>
          <w:sz w:val="16"/>
          <w:szCs w:val="16"/>
        </w:rPr>
        <w:t xml:space="preserve">Pedroli, B., Pinto-Correia, T. &amp; Cornish, P. </w:t>
      </w:r>
      <w:r>
        <w:rPr>
          <w:rFonts w:ascii="Verdana" w:hAnsi="Verdana"/>
          <w:sz w:val="16"/>
          <w:szCs w:val="16"/>
        </w:rPr>
        <w:t xml:space="preserve">2006. </w:t>
      </w:r>
      <w:r w:rsidRPr="001145D1">
        <w:rPr>
          <w:rFonts w:ascii="Verdana" w:hAnsi="Verdana"/>
          <w:sz w:val="16"/>
          <w:szCs w:val="16"/>
        </w:rPr>
        <w:t xml:space="preserve">Landscape – What’s in it? Trends in European Landscape Science and </w:t>
      </w:r>
      <w:r>
        <w:rPr>
          <w:rFonts w:ascii="Verdana" w:hAnsi="Verdana"/>
          <w:sz w:val="16"/>
          <w:szCs w:val="16"/>
        </w:rPr>
        <w:t>p</w:t>
      </w:r>
      <w:r w:rsidRPr="001145D1">
        <w:rPr>
          <w:rFonts w:ascii="Verdana" w:hAnsi="Verdana"/>
          <w:sz w:val="16"/>
          <w:szCs w:val="16"/>
        </w:rPr>
        <w:t xml:space="preserve">riority </w:t>
      </w:r>
      <w:r>
        <w:rPr>
          <w:rFonts w:ascii="Verdana" w:hAnsi="Verdana"/>
          <w:sz w:val="16"/>
          <w:szCs w:val="16"/>
        </w:rPr>
        <w:t>t</w:t>
      </w:r>
      <w:r w:rsidRPr="001145D1">
        <w:rPr>
          <w:rFonts w:ascii="Verdana" w:hAnsi="Verdana"/>
          <w:sz w:val="16"/>
          <w:szCs w:val="16"/>
        </w:rPr>
        <w:t xml:space="preserve">hemes for </w:t>
      </w:r>
      <w:r>
        <w:rPr>
          <w:rFonts w:ascii="Verdana" w:hAnsi="Verdana"/>
          <w:sz w:val="16"/>
          <w:szCs w:val="16"/>
        </w:rPr>
        <w:t>c</w:t>
      </w:r>
      <w:r w:rsidRPr="001145D1">
        <w:rPr>
          <w:rFonts w:ascii="Verdana" w:hAnsi="Verdana"/>
          <w:sz w:val="16"/>
          <w:szCs w:val="16"/>
        </w:rPr>
        <w:t xml:space="preserve">oncerted </w:t>
      </w:r>
      <w:bookmarkStart w:id="0" w:name="_GoBack"/>
      <w:bookmarkEnd w:id="0"/>
      <w:r>
        <w:rPr>
          <w:rFonts w:ascii="Verdana" w:hAnsi="Verdana"/>
          <w:sz w:val="16"/>
          <w:szCs w:val="16"/>
        </w:rPr>
        <w:t>r</w:t>
      </w:r>
      <w:r w:rsidRPr="001145D1">
        <w:rPr>
          <w:rFonts w:ascii="Verdana" w:hAnsi="Verdana"/>
          <w:sz w:val="16"/>
          <w:szCs w:val="16"/>
        </w:rPr>
        <w:t>esearch</w:t>
      </w:r>
      <w:r>
        <w:rPr>
          <w:rFonts w:ascii="Verdana" w:hAnsi="Verdana"/>
          <w:sz w:val="16"/>
          <w:szCs w:val="16"/>
        </w:rPr>
        <w:t xml:space="preserve">. </w:t>
      </w:r>
      <w:r w:rsidRPr="001145D1">
        <w:rPr>
          <w:rFonts w:ascii="Verdana" w:hAnsi="Verdana"/>
          <w:sz w:val="16"/>
          <w:szCs w:val="16"/>
        </w:rPr>
        <w:t>Landscape Ecol</w:t>
      </w:r>
      <w:r>
        <w:rPr>
          <w:rFonts w:ascii="Verdana" w:hAnsi="Verdana"/>
          <w:sz w:val="16"/>
          <w:szCs w:val="16"/>
        </w:rPr>
        <w:t>ogy</w:t>
      </w:r>
      <w:r w:rsidRPr="001145D1">
        <w:rPr>
          <w:rFonts w:ascii="Verdana" w:hAnsi="Verdana"/>
          <w:sz w:val="16"/>
          <w:szCs w:val="16"/>
        </w:rPr>
        <w:t xml:space="preserve"> (2006) 21: 421.</w:t>
      </w:r>
    </w:p>
    <w:p w:rsidR="00364A49" w:rsidRDefault="00364A49" w:rsidP="001145D1">
      <w:pPr>
        <w:jc w:val="both"/>
        <w:rPr>
          <w:rFonts w:ascii="Verdana" w:hAnsi="Verdana"/>
          <w:sz w:val="16"/>
          <w:szCs w:val="16"/>
        </w:rPr>
      </w:pPr>
    </w:p>
    <w:p w:rsidR="0024246C" w:rsidRDefault="00A06242" w:rsidP="001145D1">
      <w:pPr>
        <w:jc w:val="both"/>
        <w:rPr>
          <w:rFonts w:ascii="Verdana" w:hAnsi="Verdana"/>
          <w:sz w:val="16"/>
          <w:szCs w:val="16"/>
        </w:rPr>
      </w:pPr>
      <w:r w:rsidRPr="00A06242">
        <w:rPr>
          <w:rFonts w:ascii="Verdana" w:hAnsi="Verdana"/>
          <w:sz w:val="16"/>
          <w:szCs w:val="16"/>
        </w:rPr>
        <w:lastRenderedPageBreak/>
        <w:t xml:space="preserve">Robinson </w:t>
      </w:r>
      <w:r w:rsidR="001145D1">
        <w:rPr>
          <w:rFonts w:ascii="Verdana" w:hAnsi="Verdana"/>
          <w:sz w:val="16"/>
          <w:szCs w:val="16"/>
        </w:rPr>
        <w:t xml:space="preserve">G. </w:t>
      </w:r>
      <w:r w:rsidRPr="00A06242">
        <w:rPr>
          <w:rFonts w:ascii="Verdana" w:hAnsi="Verdana"/>
          <w:sz w:val="16"/>
          <w:szCs w:val="16"/>
        </w:rPr>
        <w:t xml:space="preserve">&amp; </w:t>
      </w:r>
      <w:r w:rsidR="001145D1">
        <w:rPr>
          <w:rFonts w:ascii="Verdana" w:hAnsi="Verdana"/>
          <w:sz w:val="16"/>
          <w:szCs w:val="16"/>
        </w:rPr>
        <w:t xml:space="preserve">D.A. </w:t>
      </w:r>
      <w:r w:rsidRPr="00A06242">
        <w:rPr>
          <w:rFonts w:ascii="Verdana" w:hAnsi="Verdana"/>
          <w:sz w:val="16"/>
          <w:szCs w:val="16"/>
        </w:rPr>
        <w:t>Carson, 2015</w:t>
      </w:r>
      <w:r w:rsidR="001145D1">
        <w:rPr>
          <w:rFonts w:ascii="Verdana" w:hAnsi="Verdana"/>
          <w:sz w:val="16"/>
          <w:szCs w:val="16"/>
        </w:rPr>
        <w:t xml:space="preserve">. </w:t>
      </w:r>
      <w:r w:rsidR="001145D1" w:rsidRPr="001145D1">
        <w:rPr>
          <w:rFonts w:ascii="Verdana" w:hAnsi="Verdana"/>
          <w:sz w:val="16"/>
          <w:szCs w:val="16"/>
        </w:rPr>
        <w:t>Resilient communities: transitions, pathways and resourcefulness</w:t>
      </w:r>
      <w:r w:rsidR="001145D1">
        <w:rPr>
          <w:rFonts w:ascii="Verdana" w:hAnsi="Verdana"/>
          <w:sz w:val="16"/>
          <w:szCs w:val="16"/>
        </w:rPr>
        <w:t>. The Geographical Journal,</w:t>
      </w:r>
      <w:r w:rsidR="001145D1" w:rsidRPr="001145D1">
        <w:rPr>
          <w:rFonts w:ascii="Verdana" w:hAnsi="Verdana"/>
          <w:sz w:val="16"/>
          <w:szCs w:val="16"/>
        </w:rPr>
        <w:t xml:space="preserve"> 182</w:t>
      </w:r>
      <w:r w:rsidR="001145D1">
        <w:rPr>
          <w:rFonts w:ascii="Verdana" w:hAnsi="Verdana"/>
          <w:sz w:val="16"/>
          <w:szCs w:val="16"/>
        </w:rPr>
        <w:t xml:space="preserve"> (</w:t>
      </w:r>
      <w:r w:rsidR="001145D1" w:rsidRPr="001145D1">
        <w:rPr>
          <w:rFonts w:ascii="Verdana" w:hAnsi="Verdana"/>
          <w:sz w:val="16"/>
          <w:szCs w:val="16"/>
        </w:rPr>
        <w:t>2</w:t>
      </w:r>
      <w:r w:rsidR="001145D1">
        <w:rPr>
          <w:rFonts w:ascii="Verdana" w:hAnsi="Verdana"/>
          <w:sz w:val="16"/>
          <w:szCs w:val="16"/>
        </w:rPr>
        <w:t xml:space="preserve">), </w:t>
      </w:r>
      <w:r w:rsidR="001145D1" w:rsidRPr="001145D1">
        <w:rPr>
          <w:rFonts w:ascii="Verdana" w:hAnsi="Verdana"/>
          <w:sz w:val="16"/>
          <w:szCs w:val="16"/>
        </w:rPr>
        <w:t>114–122</w:t>
      </w:r>
      <w:r w:rsidR="00241954">
        <w:rPr>
          <w:rFonts w:ascii="Verdana" w:hAnsi="Verdana"/>
          <w:sz w:val="16"/>
          <w:szCs w:val="16"/>
        </w:rPr>
        <w:t>.</w:t>
      </w:r>
    </w:p>
    <w:p w:rsidR="00241954" w:rsidRDefault="00364A49" w:rsidP="001145D1">
      <w:pPr>
        <w:jc w:val="both"/>
        <w:rPr>
          <w:rFonts w:ascii="Verdana" w:hAnsi="Verdana"/>
          <w:sz w:val="16"/>
          <w:szCs w:val="16"/>
        </w:rPr>
      </w:pPr>
      <w:r>
        <w:rPr>
          <w:rFonts w:ascii="Verdana" w:hAnsi="Verdana"/>
          <w:sz w:val="16"/>
          <w:szCs w:val="16"/>
        </w:rPr>
        <w:t>Seppelt, R.</w:t>
      </w:r>
      <w:r w:rsidR="00241954" w:rsidRPr="00241954">
        <w:rPr>
          <w:rFonts w:ascii="Verdana" w:hAnsi="Verdana"/>
          <w:sz w:val="16"/>
          <w:szCs w:val="16"/>
        </w:rPr>
        <w:t xml:space="preserve"> M.</w:t>
      </w:r>
      <w:r>
        <w:rPr>
          <w:rFonts w:ascii="Verdana" w:hAnsi="Verdana"/>
          <w:sz w:val="16"/>
          <w:szCs w:val="16"/>
        </w:rPr>
        <w:t>,</w:t>
      </w:r>
      <w:r w:rsidR="00241954" w:rsidRPr="00241954">
        <w:rPr>
          <w:rFonts w:ascii="Verdana" w:hAnsi="Verdana"/>
          <w:sz w:val="16"/>
          <w:szCs w:val="16"/>
        </w:rPr>
        <w:t xml:space="preserve"> Beckmann, S.</w:t>
      </w:r>
      <w:r>
        <w:rPr>
          <w:rFonts w:ascii="Verdana" w:hAnsi="Verdana"/>
          <w:sz w:val="16"/>
          <w:szCs w:val="16"/>
        </w:rPr>
        <w:t>,</w:t>
      </w:r>
      <w:r w:rsidR="00241954" w:rsidRPr="00241954">
        <w:rPr>
          <w:rFonts w:ascii="Verdana" w:hAnsi="Verdana"/>
          <w:sz w:val="16"/>
          <w:szCs w:val="16"/>
        </w:rPr>
        <w:t xml:space="preserve"> Ceauşu, A.F.</w:t>
      </w:r>
      <w:r>
        <w:rPr>
          <w:rFonts w:ascii="Verdana" w:hAnsi="Verdana"/>
          <w:sz w:val="16"/>
          <w:szCs w:val="16"/>
        </w:rPr>
        <w:t>,</w:t>
      </w:r>
      <w:r w:rsidR="00241954" w:rsidRPr="00241954">
        <w:rPr>
          <w:rFonts w:ascii="Verdana" w:hAnsi="Verdana"/>
          <w:sz w:val="16"/>
          <w:szCs w:val="16"/>
        </w:rPr>
        <w:t xml:space="preserve"> Cord, K.</w:t>
      </w:r>
      <w:r>
        <w:rPr>
          <w:rFonts w:ascii="Verdana" w:hAnsi="Verdana"/>
          <w:sz w:val="16"/>
          <w:szCs w:val="16"/>
        </w:rPr>
        <w:t>,</w:t>
      </w:r>
      <w:r w:rsidR="00241954" w:rsidRPr="00241954">
        <w:rPr>
          <w:rFonts w:ascii="Verdana" w:hAnsi="Verdana"/>
          <w:sz w:val="16"/>
          <w:szCs w:val="16"/>
        </w:rPr>
        <w:t xml:space="preserve"> Gerstner, J.</w:t>
      </w:r>
      <w:r>
        <w:rPr>
          <w:rFonts w:ascii="Verdana" w:hAnsi="Verdana"/>
          <w:sz w:val="16"/>
          <w:szCs w:val="16"/>
        </w:rPr>
        <w:t>,</w:t>
      </w:r>
      <w:r w:rsidR="00241954" w:rsidRPr="00241954">
        <w:rPr>
          <w:rFonts w:ascii="Verdana" w:hAnsi="Verdana"/>
          <w:sz w:val="16"/>
          <w:szCs w:val="16"/>
        </w:rPr>
        <w:t xml:space="preserve"> Gurevitch, S.</w:t>
      </w:r>
      <w:r>
        <w:rPr>
          <w:rFonts w:ascii="Verdana" w:hAnsi="Verdana"/>
          <w:sz w:val="16"/>
          <w:szCs w:val="16"/>
        </w:rPr>
        <w:t>,</w:t>
      </w:r>
      <w:r w:rsidR="00241954" w:rsidRPr="00241954">
        <w:rPr>
          <w:rFonts w:ascii="Verdana" w:hAnsi="Verdana"/>
          <w:sz w:val="16"/>
          <w:szCs w:val="16"/>
        </w:rPr>
        <w:t xml:space="preserve"> Kambach, S.</w:t>
      </w:r>
      <w:r>
        <w:rPr>
          <w:rFonts w:ascii="Verdana" w:hAnsi="Verdana"/>
          <w:sz w:val="16"/>
          <w:szCs w:val="16"/>
        </w:rPr>
        <w:t>,</w:t>
      </w:r>
      <w:r w:rsidR="00241954" w:rsidRPr="00241954">
        <w:rPr>
          <w:rFonts w:ascii="Verdana" w:hAnsi="Verdana"/>
          <w:sz w:val="16"/>
          <w:szCs w:val="16"/>
        </w:rPr>
        <w:t xml:space="preserve"> Klotz, C.</w:t>
      </w:r>
      <w:r>
        <w:rPr>
          <w:rFonts w:ascii="Verdana" w:hAnsi="Verdana"/>
          <w:sz w:val="16"/>
          <w:szCs w:val="16"/>
        </w:rPr>
        <w:t>,</w:t>
      </w:r>
      <w:r w:rsidR="00241954" w:rsidRPr="00241954">
        <w:rPr>
          <w:rFonts w:ascii="Verdana" w:hAnsi="Verdana"/>
          <w:sz w:val="16"/>
          <w:szCs w:val="16"/>
        </w:rPr>
        <w:t xml:space="preserve"> Mendenhall, H.R.P.</w:t>
      </w:r>
      <w:r>
        <w:rPr>
          <w:rFonts w:ascii="Verdana" w:hAnsi="Verdana"/>
          <w:sz w:val="16"/>
          <w:szCs w:val="16"/>
        </w:rPr>
        <w:t>,</w:t>
      </w:r>
      <w:r w:rsidR="00241954" w:rsidRPr="00241954">
        <w:rPr>
          <w:rFonts w:ascii="Verdana" w:hAnsi="Verdana"/>
          <w:sz w:val="16"/>
          <w:szCs w:val="16"/>
        </w:rPr>
        <w:t xml:space="preserve"> Phillips, K.</w:t>
      </w:r>
      <w:r>
        <w:rPr>
          <w:rFonts w:ascii="Verdana" w:hAnsi="Verdana"/>
          <w:sz w:val="16"/>
          <w:szCs w:val="16"/>
        </w:rPr>
        <w:t>,</w:t>
      </w:r>
      <w:r w:rsidR="00241954" w:rsidRPr="00241954">
        <w:rPr>
          <w:rFonts w:ascii="Verdana" w:hAnsi="Verdana"/>
          <w:sz w:val="16"/>
          <w:szCs w:val="16"/>
        </w:rPr>
        <w:t xml:space="preserve"> Powell, P.H.</w:t>
      </w:r>
      <w:r>
        <w:rPr>
          <w:rFonts w:ascii="Verdana" w:hAnsi="Verdana"/>
          <w:sz w:val="16"/>
          <w:szCs w:val="16"/>
        </w:rPr>
        <w:t>,</w:t>
      </w:r>
      <w:r w:rsidR="00241954" w:rsidRPr="00241954">
        <w:rPr>
          <w:rFonts w:ascii="Verdana" w:hAnsi="Verdana"/>
          <w:sz w:val="16"/>
          <w:szCs w:val="16"/>
        </w:rPr>
        <w:t xml:space="preserve"> Verburg, W.</w:t>
      </w:r>
      <w:r>
        <w:rPr>
          <w:rFonts w:ascii="Verdana" w:hAnsi="Verdana"/>
          <w:sz w:val="16"/>
          <w:szCs w:val="16"/>
        </w:rPr>
        <w:t>,</w:t>
      </w:r>
      <w:r w:rsidR="00241954" w:rsidRPr="00241954">
        <w:rPr>
          <w:rFonts w:ascii="Verdana" w:hAnsi="Verdana"/>
          <w:sz w:val="16"/>
          <w:szCs w:val="16"/>
        </w:rPr>
        <w:t xml:space="preserve"> Verhagen, M.</w:t>
      </w:r>
      <w:r>
        <w:rPr>
          <w:rFonts w:ascii="Verdana" w:hAnsi="Verdana"/>
          <w:sz w:val="16"/>
          <w:szCs w:val="16"/>
        </w:rPr>
        <w:t>,</w:t>
      </w:r>
      <w:r w:rsidR="00241954" w:rsidRPr="00241954">
        <w:rPr>
          <w:rFonts w:ascii="Verdana" w:hAnsi="Verdana"/>
          <w:sz w:val="16"/>
          <w:szCs w:val="16"/>
        </w:rPr>
        <w:t xml:space="preserve"> Winter,</w:t>
      </w:r>
      <w:r>
        <w:rPr>
          <w:rFonts w:ascii="Verdana" w:hAnsi="Verdana"/>
          <w:sz w:val="16"/>
          <w:szCs w:val="16"/>
        </w:rPr>
        <w:t xml:space="preserve"> M. &amp;</w:t>
      </w:r>
      <w:r w:rsidR="00241954" w:rsidRPr="00241954">
        <w:rPr>
          <w:rFonts w:ascii="Verdana" w:hAnsi="Verdana"/>
          <w:sz w:val="16"/>
          <w:szCs w:val="16"/>
        </w:rPr>
        <w:t xml:space="preserve"> T. Newbold. 2016. Harmonizing Biodiversity Conservation and Productivity in the Context of Increasing Demands on Landscapes. </w:t>
      </w:r>
      <w:r w:rsidR="00856E7E" w:rsidRPr="00856E7E">
        <w:rPr>
          <w:rFonts w:ascii="Verdana" w:hAnsi="Verdana"/>
          <w:sz w:val="16"/>
          <w:szCs w:val="16"/>
        </w:rPr>
        <w:t>BioScience (2016) 66 (10): 890-896</w:t>
      </w:r>
    </w:p>
    <w:p w:rsidR="00856E7E" w:rsidRDefault="00856E7E" w:rsidP="00856E7E">
      <w:pPr>
        <w:jc w:val="both"/>
        <w:rPr>
          <w:rFonts w:ascii="Verdana" w:hAnsi="Verdana"/>
          <w:sz w:val="16"/>
          <w:szCs w:val="16"/>
        </w:rPr>
      </w:pPr>
      <w:r w:rsidRPr="00856E7E">
        <w:rPr>
          <w:rFonts w:ascii="Verdana" w:hAnsi="Verdana"/>
          <w:sz w:val="16"/>
          <w:szCs w:val="16"/>
        </w:rPr>
        <w:t xml:space="preserve">Van Zanten, </w:t>
      </w:r>
      <w:r w:rsidR="00D437AD">
        <w:rPr>
          <w:rFonts w:ascii="Verdana" w:hAnsi="Verdana"/>
          <w:sz w:val="16"/>
          <w:szCs w:val="16"/>
        </w:rPr>
        <w:t>B.T.</w:t>
      </w:r>
      <w:r w:rsidR="00364A49">
        <w:rPr>
          <w:rFonts w:ascii="Verdana" w:hAnsi="Verdana"/>
          <w:sz w:val="16"/>
          <w:szCs w:val="16"/>
        </w:rPr>
        <w:t>,</w:t>
      </w:r>
      <w:r w:rsidR="00D437AD">
        <w:rPr>
          <w:rFonts w:ascii="Verdana" w:hAnsi="Verdana"/>
          <w:sz w:val="16"/>
          <w:szCs w:val="16"/>
        </w:rPr>
        <w:t xml:space="preserve"> </w:t>
      </w:r>
      <w:r w:rsidRPr="00856E7E">
        <w:rPr>
          <w:rFonts w:ascii="Verdana" w:hAnsi="Verdana"/>
          <w:sz w:val="16"/>
          <w:szCs w:val="16"/>
        </w:rPr>
        <w:t xml:space="preserve">Verburg, </w:t>
      </w:r>
      <w:r w:rsidR="00D437AD">
        <w:rPr>
          <w:rFonts w:ascii="Verdana" w:hAnsi="Verdana"/>
          <w:sz w:val="16"/>
          <w:szCs w:val="16"/>
        </w:rPr>
        <w:t>P.H.</w:t>
      </w:r>
      <w:r w:rsidR="00364A49">
        <w:rPr>
          <w:rFonts w:ascii="Verdana" w:hAnsi="Verdana"/>
          <w:sz w:val="16"/>
          <w:szCs w:val="16"/>
        </w:rPr>
        <w:t>,</w:t>
      </w:r>
      <w:r w:rsidR="00D437AD">
        <w:rPr>
          <w:rFonts w:ascii="Verdana" w:hAnsi="Verdana"/>
          <w:sz w:val="16"/>
          <w:szCs w:val="16"/>
        </w:rPr>
        <w:t xml:space="preserve"> </w:t>
      </w:r>
      <w:r w:rsidRPr="00856E7E">
        <w:rPr>
          <w:rFonts w:ascii="Verdana" w:hAnsi="Verdana"/>
          <w:sz w:val="16"/>
          <w:szCs w:val="16"/>
        </w:rPr>
        <w:t xml:space="preserve">Espinosa, </w:t>
      </w:r>
      <w:r w:rsidR="0003082A">
        <w:rPr>
          <w:rFonts w:ascii="Verdana" w:hAnsi="Verdana"/>
          <w:sz w:val="16"/>
          <w:szCs w:val="16"/>
        </w:rPr>
        <w:t>M.</w:t>
      </w:r>
      <w:r w:rsidR="00364A49">
        <w:rPr>
          <w:rFonts w:ascii="Verdana" w:hAnsi="Verdana"/>
          <w:sz w:val="16"/>
          <w:szCs w:val="16"/>
        </w:rPr>
        <w:t>,</w:t>
      </w:r>
      <w:r w:rsidR="0003082A">
        <w:rPr>
          <w:rFonts w:ascii="Verdana" w:hAnsi="Verdana"/>
          <w:sz w:val="16"/>
          <w:szCs w:val="16"/>
        </w:rPr>
        <w:t xml:space="preserve"> </w:t>
      </w:r>
      <w:r w:rsidRPr="00856E7E">
        <w:rPr>
          <w:rFonts w:ascii="Verdana" w:hAnsi="Verdana"/>
          <w:sz w:val="16"/>
          <w:szCs w:val="16"/>
        </w:rPr>
        <w:t xml:space="preserve">Gomez-y-Paloma, </w:t>
      </w:r>
      <w:r w:rsidR="00364A49">
        <w:rPr>
          <w:rFonts w:ascii="Verdana" w:hAnsi="Verdana"/>
          <w:sz w:val="16"/>
          <w:szCs w:val="16"/>
        </w:rPr>
        <w:t xml:space="preserve">S., </w:t>
      </w:r>
      <w:r w:rsidRPr="00856E7E">
        <w:rPr>
          <w:rFonts w:ascii="Verdana" w:hAnsi="Verdana"/>
          <w:sz w:val="16"/>
          <w:szCs w:val="16"/>
        </w:rPr>
        <w:t xml:space="preserve">Galimberti, </w:t>
      </w:r>
      <w:r w:rsidR="0003082A">
        <w:rPr>
          <w:rFonts w:ascii="Verdana" w:hAnsi="Verdana"/>
          <w:sz w:val="16"/>
          <w:szCs w:val="16"/>
        </w:rPr>
        <w:t>S.G.</w:t>
      </w:r>
      <w:r w:rsidR="00364A49">
        <w:rPr>
          <w:rFonts w:ascii="Verdana" w:hAnsi="Verdana"/>
          <w:sz w:val="16"/>
          <w:szCs w:val="16"/>
        </w:rPr>
        <w:t>,</w:t>
      </w:r>
      <w:r w:rsidR="0003082A">
        <w:rPr>
          <w:rFonts w:ascii="Verdana" w:hAnsi="Verdana"/>
          <w:sz w:val="16"/>
          <w:szCs w:val="16"/>
        </w:rPr>
        <w:t xml:space="preserve"> Kantelhardt, J</w:t>
      </w:r>
      <w:r w:rsidRPr="00856E7E">
        <w:rPr>
          <w:rFonts w:ascii="Verdana" w:hAnsi="Verdana"/>
          <w:sz w:val="16"/>
          <w:szCs w:val="16"/>
        </w:rPr>
        <w:t>.</w:t>
      </w:r>
      <w:r w:rsidR="00364A49">
        <w:rPr>
          <w:rFonts w:ascii="Verdana" w:hAnsi="Verdana"/>
          <w:sz w:val="16"/>
          <w:szCs w:val="16"/>
        </w:rPr>
        <w:t>,</w:t>
      </w:r>
      <w:r w:rsidRPr="00856E7E">
        <w:rPr>
          <w:rFonts w:ascii="Verdana" w:hAnsi="Verdana"/>
          <w:sz w:val="16"/>
          <w:szCs w:val="16"/>
        </w:rPr>
        <w:t xml:space="preserve"> Kapfer, M.</w:t>
      </w:r>
      <w:r w:rsidR="00364A49">
        <w:rPr>
          <w:rFonts w:ascii="Verdana" w:hAnsi="Verdana"/>
          <w:sz w:val="16"/>
          <w:szCs w:val="16"/>
        </w:rPr>
        <w:t>,</w:t>
      </w:r>
      <w:r w:rsidRPr="00856E7E">
        <w:rPr>
          <w:rFonts w:ascii="Verdana" w:hAnsi="Verdana"/>
          <w:sz w:val="16"/>
          <w:szCs w:val="16"/>
        </w:rPr>
        <w:t xml:space="preserve"> Lefebvre, </w:t>
      </w:r>
      <w:r w:rsidR="0003082A">
        <w:rPr>
          <w:rFonts w:ascii="Verdana" w:hAnsi="Verdana"/>
          <w:sz w:val="16"/>
          <w:szCs w:val="16"/>
        </w:rPr>
        <w:t>M</w:t>
      </w:r>
      <w:r w:rsidRPr="00856E7E">
        <w:rPr>
          <w:rFonts w:ascii="Verdana" w:hAnsi="Verdana"/>
          <w:sz w:val="16"/>
          <w:szCs w:val="16"/>
        </w:rPr>
        <w:t>.</w:t>
      </w:r>
      <w:r w:rsidR="00364A49">
        <w:rPr>
          <w:rFonts w:ascii="Verdana" w:hAnsi="Verdana"/>
          <w:sz w:val="16"/>
          <w:szCs w:val="16"/>
        </w:rPr>
        <w:t>,</w:t>
      </w:r>
      <w:r w:rsidRPr="00856E7E">
        <w:rPr>
          <w:rFonts w:ascii="Verdana" w:hAnsi="Verdana"/>
          <w:sz w:val="16"/>
          <w:szCs w:val="16"/>
        </w:rPr>
        <w:t xml:space="preserve"> Manrique, </w:t>
      </w:r>
      <w:r w:rsidR="0003082A">
        <w:rPr>
          <w:rFonts w:ascii="Verdana" w:hAnsi="Verdana"/>
          <w:sz w:val="16"/>
          <w:szCs w:val="16"/>
        </w:rPr>
        <w:t>R</w:t>
      </w:r>
      <w:r w:rsidRPr="00856E7E">
        <w:rPr>
          <w:rFonts w:ascii="Verdana" w:hAnsi="Verdana"/>
          <w:sz w:val="16"/>
          <w:szCs w:val="16"/>
        </w:rPr>
        <w:t>.</w:t>
      </w:r>
      <w:r w:rsidR="00364A49">
        <w:rPr>
          <w:rFonts w:ascii="Verdana" w:hAnsi="Verdana"/>
          <w:sz w:val="16"/>
          <w:szCs w:val="16"/>
        </w:rPr>
        <w:t>,</w:t>
      </w:r>
      <w:r w:rsidRPr="00856E7E">
        <w:rPr>
          <w:rFonts w:ascii="Verdana" w:hAnsi="Verdana"/>
          <w:sz w:val="16"/>
          <w:szCs w:val="16"/>
        </w:rPr>
        <w:t xml:space="preserve"> Piorr, </w:t>
      </w:r>
      <w:r w:rsidR="0003082A">
        <w:rPr>
          <w:rFonts w:ascii="Verdana" w:hAnsi="Verdana"/>
          <w:sz w:val="16"/>
          <w:szCs w:val="16"/>
        </w:rPr>
        <w:t>M.</w:t>
      </w:r>
      <w:r w:rsidR="00364A49">
        <w:rPr>
          <w:rFonts w:ascii="Verdana" w:hAnsi="Verdana"/>
          <w:sz w:val="16"/>
          <w:szCs w:val="16"/>
        </w:rPr>
        <w:t>,</w:t>
      </w:r>
      <w:r w:rsidR="0003082A">
        <w:rPr>
          <w:rFonts w:ascii="Verdana" w:hAnsi="Verdana"/>
          <w:sz w:val="16"/>
          <w:szCs w:val="16"/>
        </w:rPr>
        <w:t xml:space="preserve"> </w:t>
      </w:r>
      <w:r w:rsidRPr="00856E7E">
        <w:rPr>
          <w:rFonts w:ascii="Verdana" w:hAnsi="Verdana"/>
          <w:sz w:val="16"/>
          <w:szCs w:val="16"/>
        </w:rPr>
        <w:t xml:space="preserve">Raggi, </w:t>
      </w:r>
      <w:r w:rsidR="0003082A">
        <w:rPr>
          <w:rFonts w:ascii="Verdana" w:hAnsi="Verdana"/>
          <w:sz w:val="16"/>
          <w:szCs w:val="16"/>
        </w:rPr>
        <w:t>M</w:t>
      </w:r>
      <w:r w:rsidRPr="00856E7E">
        <w:rPr>
          <w:rFonts w:ascii="Verdana" w:hAnsi="Verdana"/>
          <w:sz w:val="16"/>
          <w:szCs w:val="16"/>
        </w:rPr>
        <w:t>.</w:t>
      </w:r>
      <w:r w:rsidR="00364A49">
        <w:rPr>
          <w:rFonts w:ascii="Verdana" w:hAnsi="Verdana"/>
          <w:sz w:val="16"/>
          <w:szCs w:val="16"/>
        </w:rPr>
        <w:t>,</w:t>
      </w:r>
      <w:r w:rsidRPr="00856E7E">
        <w:rPr>
          <w:rFonts w:ascii="Verdana" w:hAnsi="Verdana"/>
          <w:sz w:val="16"/>
          <w:szCs w:val="16"/>
        </w:rPr>
        <w:t xml:space="preserve"> Schaller, </w:t>
      </w:r>
      <w:r w:rsidR="0003082A">
        <w:rPr>
          <w:rFonts w:ascii="Verdana" w:hAnsi="Verdana"/>
          <w:sz w:val="16"/>
          <w:szCs w:val="16"/>
        </w:rPr>
        <w:t>L</w:t>
      </w:r>
      <w:r w:rsidRPr="00856E7E">
        <w:rPr>
          <w:rFonts w:ascii="Verdana" w:hAnsi="Verdana"/>
          <w:sz w:val="16"/>
          <w:szCs w:val="16"/>
        </w:rPr>
        <w:t>.</w:t>
      </w:r>
      <w:r w:rsidR="00364A49">
        <w:rPr>
          <w:rFonts w:ascii="Verdana" w:hAnsi="Verdana"/>
          <w:sz w:val="16"/>
          <w:szCs w:val="16"/>
        </w:rPr>
        <w:t>,</w:t>
      </w:r>
      <w:r w:rsidRPr="00856E7E">
        <w:rPr>
          <w:rFonts w:ascii="Verdana" w:hAnsi="Verdana"/>
          <w:sz w:val="16"/>
          <w:szCs w:val="16"/>
        </w:rPr>
        <w:t xml:space="preserve"> Targetti, </w:t>
      </w:r>
      <w:r w:rsidR="0003082A">
        <w:rPr>
          <w:rFonts w:ascii="Verdana" w:hAnsi="Verdana"/>
          <w:sz w:val="16"/>
          <w:szCs w:val="16"/>
        </w:rPr>
        <w:t xml:space="preserve">S. </w:t>
      </w:r>
      <w:r w:rsidRPr="00856E7E">
        <w:rPr>
          <w:rFonts w:ascii="Verdana" w:hAnsi="Verdana"/>
          <w:sz w:val="16"/>
          <w:szCs w:val="16"/>
        </w:rPr>
        <w:t xml:space="preserve">Zasada, </w:t>
      </w:r>
      <w:r w:rsidR="0003082A">
        <w:rPr>
          <w:rFonts w:ascii="Verdana" w:hAnsi="Verdana"/>
          <w:sz w:val="16"/>
          <w:szCs w:val="16"/>
        </w:rPr>
        <w:t xml:space="preserve">I. &amp; </w:t>
      </w:r>
      <w:r w:rsidRPr="00856E7E">
        <w:rPr>
          <w:rFonts w:ascii="Verdana" w:hAnsi="Verdana"/>
          <w:sz w:val="16"/>
          <w:szCs w:val="16"/>
        </w:rPr>
        <w:t>D. Viaggi</w:t>
      </w:r>
      <w:r w:rsidR="0003082A">
        <w:rPr>
          <w:rFonts w:ascii="Verdana" w:hAnsi="Verdana"/>
          <w:sz w:val="16"/>
          <w:szCs w:val="16"/>
        </w:rPr>
        <w:t xml:space="preserve">, 2014. </w:t>
      </w:r>
      <w:r w:rsidRPr="00856E7E">
        <w:rPr>
          <w:rFonts w:ascii="Verdana" w:hAnsi="Verdana"/>
          <w:sz w:val="16"/>
          <w:szCs w:val="16"/>
        </w:rPr>
        <w:t>European agricultural landscapes, common agricultural policy and ecosystem services: a review</w:t>
      </w:r>
      <w:r w:rsidR="0003082A">
        <w:rPr>
          <w:rFonts w:ascii="Verdana" w:hAnsi="Verdana"/>
          <w:sz w:val="16"/>
          <w:szCs w:val="16"/>
        </w:rPr>
        <w:t xml:space="preserve">. </w:t>
      </w:r>
      <w:r w:rsidRPr="00856E7E">
        <w:rPr>
          <w:rFonts w:ascii="Verdana" w:hAnsi="Verdana"/>
          <w:sz w:val="16"/>
          <w:szCs w:val="16"/>
        </w:rPr>
        <w:t>Agron. Sustain. Dev., 34 (2014), pp. 309–325</w:t>
      </w:r>
    </w:p>
    <w:p w:rsidR="0004006E" w:rsidRPr="00974FB8" w:rsidRDefault="00A06242" w:rsidP="00974FB8">
      <w:pPr>
        <w:jc w:val="both"/>
        <w:rPr>
          <w:rFonts w:ascii="Verdana" w:hAnsi="Verdana"/>
          <w:sz w:val="16"/>
          <w:szCs w:val="16"/>
        </w:rPr>
      </w:pPr>
      <w:r w:rsidRPr="00A06242">
        <w:rPr>
          <w:rFonts w:ascii="Verdana" w:hAnsi="Verdana"/>
          <w:sz w:val="16"/>
          <w:szCs w:val="16"/>
        </w:rPr>
        <w:t>Wen-bin</w:t>
      </w:r>
      <w:r w:rsidR="00856E7E">
        <w:rPr>
          <w:rFonts w:ascii="Verdana" w:hAnsi="Verdana"/>
          <w:sz w:val="16"/>
          <w:szCs w:val="16"/>
        </w:rPr>
        <w:t>, WU., Qiang-yi, Y.,</w:t>
      </w:r>
      <w:r w:rsidRPr="00A06242">
        <w:rPr>
          <w:rFonts w:ascii="Verdana" w:hAnsi="Verdana"/>
          <w:sz w:val="16"/>
          <w:szCs w:val="16"/>
        </w:rPr>
        <w:t xml:space="preserve"> Verburg</w:t>
      </w:r>
      <w:r w:rsidR="00856E7E">
        <w:rPr>
          <w:rFonts w:ascii="Verdana" w:hAnsi="Verdana"/>
          <w:sz w:val="16"/>
          <w:szCs w:val="16"/>
        </w:rPr>
        <w:t xml:space="preserve">, P., Liangh-Zi, Y., Peng, Y. &amp; T. Huan-Jung, </w:t>
      </w:r>
      <w:r w:rsidRPr="00A06242">
        <w:rPr>
          <w:rFonts w:ascii="Verdana" w:hAnsi="Verdana"/>
          <w:sz w:val="16"/>
          <w:szCs w:val="16"/>
        </w:rPr>
        <w:t>2014</w:t>
      </w:r>
      <w:r w:rsidR="00856E7E">
        <w:rPr>
          <w:rFonts w:ascii="Verdana" w:hAnsi="Verdana"/>
          <w:sz w:val="16"/>
          <w:szCs w:val="16"/>
        </w:rPr>
        <w:t xml:space="preserve">. </w:t>
      </w:r>
      <w:r w:rsidR="00856E7E" w:rsidRPr="00856E7E">
        <w:rPr>
          <w:rFonts w:ascii="Verdana" w:hAnsi="Verdana"/>
          <w:sz w:val="16"/>
          <w:szCs w:val="16"/>
        </w:rPr>
        <w:t>How Could Agricultural Land Systems Contribute to Raise Food Production Under Global Change?</w:t>
      </w:r>
      <w:r w:rsidR="00856E7E">
        <w:rPr>
          <w:rFonts w:ascii="Verdana" w:hAnsi="Verdana"/>
          <w:sz w:val="16"/>
          <w:szCs w:val="16"/>
        </w:rPr>
        <w:t xml:space="preserve">. </w:t>
      </w:r>
      <w:r w:rsidR="00344F96" w:rsidRPr="00344F96">
        <w:rPr>
          <w:rFonts w:ascii="Verdana" w:hAnsi="Verdana"/>
          <w:sz w:val="16"/>
          <w:szCs w:val="16"/>
        </w:rPr>
        <w:t>Journal of Integrative Agriculture 13(7):1432–1442</w:t>
      </w:r>
      <w:r w:rsidR="00344F96">
        <w:rPr>
          <w:rFonts w:ascii="Verdana" w:hAnsi="Verdana"/>
          <w:sz w:val="16"/>
          <w:szCs w:val="16"/>
        </w:rPr>
        <w:t>.</w:t>
      </w:r>
    </w:p>
    <w:sectPr w:rsidR="0004006E" w:rsidRPr="00974FB8" w:rsidSect="00C73051">
      <w:type w:val="continuous"/>
      <w:pgSz w:w="11907" w:h="16840" w:code="9"/>
      <w:pgMar w:top="1134" w:right="1134" w:bottom="1134" w:left="1474" w:header="709" w:footer="709" w:gutter="0"/>
      <w:cols w:num="2" w:space="720" w:equalWidth="0">
        <w:col w:w="4295" w:space="708"/>
        <w:col w:w="4295"/>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DA" w:rsidRDefault="003D52DA">
      <w:r>
        <w:separator/>
      </w:r>
    </w:p>
  </w:endnote>
  <w:endnote w:type="continuationSeparator" w:id="0">
    <w:p w:rsidR="003D52DA" w:rsidRDefault="003D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mn-cs">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22" w:rsidRDefault="00420522" w:rsidP="00BD29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0522" w:rsidRDefault="00420522" w:rsidP="00CD5A2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22" w:rsidRPr="00C73051" w:rsidRDefault="00C73051" w:rsidP="00C73051">
    <w:pPr>
      <w:pStyle w:val="Rodap"/>
      <w:numPr>
        <w:ilvl w:val="0"/>
        <w:numId w:val="6"/>
      </w:numPr>
      <w:ind w:right="360"/>
      <w:rPr>
        <w:rFonts w:ascii="Verdana" w:hAnsi="Verdana"/>
        <w:sz w:val="12"/>
        <w:szCs w:val="12"/>
        <w:lang w:val="pt-PT"/>
      </w:rPr>
    </w:pPr>
    <w:r w:rsidRPr="00C73051">
      <w:rPr>
        <w:rFonts w:ascii="Verdana" w:hAnsi="Verdana"/>
        <w:sz w:val="12"/>
        <w:szCs w:val="12"/>
        <w:lang w:val="pt-PT"/>
      </w:rPr>
      <w:t>ICAAM - Instituto de Ciências Agrárias e Ambientais Mediterrânicas</w:t>
    </w:r>
    <w:r>
      <w:rPr>
        <w:rFonts w:ascii="Verdana" w:hAnsi="Verdana"/>
        <w:sz w:val="12"/>
        <w:szCs w:val="12"/>
        <w:lang w:val="pt-PT"/>
      </w:rPr>
      <w:t>-</w:t>
    </w:r>
    <w:r w:rsidRPr="00C73051">
      <w:rPr>
        <w:rFonts w:ascii="Verdana" w:hAnsi="Verdana"/>
        <w:sz w:val="12"/>
        <w:szCs w:val="12"/>
        <w:lang w:val="pt-PT"/>
      </w:rPr>
      <w:t>Universidade de Évora</w:t>
    </w:r>
    <w:r>
      <w:rPr>
        <w:rFonts w:ascii="Verdana" w:hAnsi="Verdana"/>
        <w:sz w:val="12"/>
        <w:szCs w:val="12"/>
        <w:lang w:val="pt-PT"/>
      </w:rPr>
      <w:t>, Portugal. jmrojas@uevora.pt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DA" w:rsidRDefault="003D52DA">
      <w:r>
        <w:separator/>
      </w:r>
    </w:p>
  </w:footnote>
  <w:footnote w:type="continuationSeparator" w:id="0">
    <w:p w:rsidR="003D52DA" w:rsidRDefault="003D5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9B" w:rsidRPr="001B519B" w:rsidRDefault="00E20634" w:rsidP="0090291E">
    <w:pPr>
      <w:pStyle w:val="Cabealho"/>
    </w:pPr>
    <w:r>
      <w:rPr>
        <w:rFonts w:ascii="Cambria" w:eastAsia="MS Mincho" w:hAnsi="Cambria"/>
        <w:b/>
        <w:noProof/>
        <w:color w:val="A20000"/>
        <w:sz w:val="28"/>
        <w:szCs w:val="12"/>
        <w:lang w:val="en-US" w:eastAsia="nl-BE"/>
      </w:rPr>
      <w:drawing>
        <wp:inline distT="0" distB="0" distL="0" distR="0">
          <wp:extent cx="5905500" cy="1752600"/>
          <wp:effectExtent l="0" t="0" r="0" b="0"/>
          <wp:docPr id="1" name="Imagem 1" descr="baner_proba_es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_proba_esr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74B"/>
    <w:multiLevelType w:val="hybridMultilevel"/>
    <w:tmpl w:val="CF50D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63670"/>
    <w:multiLevelType w:val="hybridMultilevel"/>
    <w:tmpl w:val="A7FC20F8"/>
    <w:lvl w:ilvl="0" w:tplc="A1EC5F2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B74B1"/>
    <w:multiLevelType w:val="hybridMultilevel"/>
    <w:tmpl w:val="5B4CD07C"/>
    <w:lvl w:ilvl="0" w:tplc="1C7C3A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A3BB1"/>
    <w:multiLevelType w:val="hybridMultilevel"/>
    <w:tmpl w:val="0E58AFF8"/>
    <w:lvl w:ilvl="0" w:tplc="103412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37918"/>
    <w:multiLevelType w:val="hybridMultilevel"/>
    <w:tmpl w:val="DD86E762"/>
    <w:lvl w:ilvl="0" w:tplc="85C2EB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E36A25"/>
    <w:multiLevelType w:val="hybridMultilevel"/>
    <w:tmpl w:val="0F86EF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CE"/>
    <w:rsid w:val="0000135C"/>
    <w:rsid w:val="0003082A"/>
    <w:rsid w:val="0004006E"/>
    <w:rsid w:val="00063AC4"/>
    <w:rsid w:val="00073BA2"/>
    <w:rsid w:val="000A201C"/>
    <w:rsid w:val="000C5094"/>
    <w:rsid w:val="000E04E9"/>
    <w:rsid w:val="000E3E47"/>
    <w:rsid w:val="000E74B8"/>
    <w:rsid w:val="000E78FC"/>
    <w:rsid w:val="00113369"/>
    <w:rsid w:val="001145D1"/>
    <w:rsid w:val="00124E42"/>
    <w:rsid w:val="00143D9E"/>
    <w:rsid w:val="0016664F"/>
    <w:rsid w:val="001678D0"/>
    <w:rsid w:val="001A0BC2"/>
    <w:rsid w:val="001A40D4"/>
    <w:rsid w:val="001B27DE"/>
    <w:rsid w:val="001B519B"/>
    <w:rsid w:val="001D4C5F"/>
    <w:rsid w:val="001F0878"/>
    <w:rsid w:val="001F1E2E"/>
    <w:rsid w:val="001F70E5"/>
    <w:rsid w:val="0020461B"/>
    <w:rsid w:val="00240263"/>
    <w:rsid w:val="00240303"/>
    <w:rsid w:val="00241954"/>
    <w:rsid w:val="0024246C"/>
    <w:rsid w:val="002427DF"/>
    <w:rsid w:val="00267E2A"/>
    <w:rsid w:val="00285D11"/>
    <w:rsid w:val="00292E30"/>
    <w:rsid w:val="00294212"/>
    <w:rsid w:val="002C31D2"/>
    <w:rsid w:val="002D204E"/>
    <w:rsid w:val="00300DF2"/>
    <w:rsid w:val="00334B9F"/>
    <w:rsid w:val="00344F96"/>
    <w:rsid w:val="0036051D"/>
    <w:rsid w:val="00361261"/>
    <w:rsid w:val="00364A49"/>
    <w:rsid w:val="0039027F"/>
    <w:rsid w:val="0039785E"/>
    <w:rsid w:val="003B6A47"/>
    <w:rsid w:val="003D52DA"/>
    <w:rsid w:val="003D58C2"/>
    <w:rsid w:val="00405D42"/>
    <w:rsid w:val="00420522"/>
    <w:rsid w:val="0043791D"/>
    <w:rsid w:val="0044565E"/>
    <w:rsid w:val="00462C6D"/>
    <w:rsid w:val="00473026"/>
    <w:rsid w:val="004A13BB"/>
    <w:rsid w:val="004B4073"/>
    <w:rsid w:val="004C4D87"/>
    <w:rsid w:val="0050467A"/>
    <w:rsid w:val="00513039"/>
    <w:rsid w:val="00514837"/>
    <w:rsid w:val="005245F7"/>
    <w:rsid w:val="00534A84"/>
    <w:rsid w:val="00542AE7"/>
    <w:rsid w:val="00543B8B"/>
    <w:rsid w:val="005474F3"/>
    <w:rsid w:val="00571F90"/>
    <w:rsid w:val="005D19D6"/>
    <w:rsid w:val="005E052A"/>
    <w:rsid w:val="005E3DD5"/>
    <w:rsid w:val="005F23A8"/>
    <w:rsid w:val="005F54B4"/>
    <w:rsid w:val="006243F7"/>
    <w:rsid w:val="0062520E"/>
    <w:rsid w:val="0063007F"/>
    <w:rsid w:val="00637386"/>
    <w:rsid w:val="00655938"/>
    <w:rsid w:val="006701E0"/>
    <w:rsid w:val="00695A69"/>
    <w:rsid w:val="006C572F"/>
    <w:rsid w:val="006E0A88"/>
    <w:rsid w:val="006E5684"/>
    <w:rsid w:val="00732BF2"/>
    <w:rsid w:val="00741F07"/>
    <w:rsid w:val="00766416"/>
    <w:rsid w:val="00767755"/>
    <w:rsid w:val="00773ECC"/>
    <w:rsid w:val="007809B5"/>
    <w:rsid w:val="007B4FCE"/>
    <w:rsid w:val="007B6062"/>
    <w:rsid w:val="007D0353"/>
    <w:rsid w:val="007E580B"/>
    <w:rsid w:val="007F2AF0"/>
    <w:rsid w:val="007F423C"/>
    <w:rsid w:val="008005F4"/>
    <w:rsid w:val="00805189"/>
    <w:rsid w:val="00807461"/>
    <w:rsid w:val="00826DE4"/>
    <w:rsid w:val="00850022"/>
    <w:rsid w:val="00856E7E"/>
    <w:rsid w:val="008636B9"/>
    <w:rsid w:val="00873E89"/>
    <w:rsid w:val="008936A7"/>
    <w:rsid w:val="008B0112"/>
    <w:rsid w:val="008F27C0"/>
    <w:rsid w:val="0090291E"/>
    <w:rsid w:val="00916AC9"/>
    <w:rsid w:val="009229EA"/>
    <w:rsid w:val="0093296F"/>
    <w:rsid w:val="00945380"/>
    <w:rsid w:val="00950BE6"/>
    <w:rsid w:val="00964D91"/>
    <w:rsid w:val="00974FB8"/>
    <w:rsid w:val="00984C1D"/>
    <w:rsid w:val="009913B4"/>
    <w:rsid w:val="00994C1E"/>
    <w:rsid w:val="009A0E1D"/>
    <w:rsid w:val="009A7CDD"/>
    <w:rsid w:val="009E4870"/>
    <w:rsid w:val="009E5BB7"/>
    <w:rsid w:val="009E7E15"/>
    <w:rsid w:val="009F2084"/>
    <w:rsid w:val="00A06242"/>
    <w:rsid w:val="00A24BE8"/>
    <w:rsid w:val="00A2627C"/>
    <w:rsid w:val="00A33483"/>
    <w:rsid w:val="00A60178"/>
    <w:rsid w:val="00AC45C9"/>
    <w:rsid w:val="00B455BC"/>
    <w:rsid w:val="00B51306"/>
    <w:rsid w:val="00B5424E"/>
    <w:rsid w:val="00B60C25"/>
    <w:rsid w:val="00B7143A"/>
    <w:rsid w:val="00B83878"/>
    <w:rsid w:val="00B9276C"/>
    <w:rsid w:val="00BA378F"/>
    <w:rsid w:val="00BB10FD"/>
    <w:rsid w:val="00BB50B6"/>
    <w:rsid w:val="00BC544F"/>
    <w:rsid w:val="00BD295C"/>
    <w:rsid w:val="00BD504B"/>
    <w:rsid w:val="00BE5DA8"/>
    <w:rsid w:val="00BE6DE7"/>
    <w:rsid w:val="00BF3817"/>
    <w:rsid w:val="00BF3FFE"/>
    <w:rsid w:val="00C03984"/>
    <w:rsid w:val="00C26FC1"/>
    <w:rsid w:val="00C60D91"/>
    <w:rsid w:val="00C62BFC"/>
    <w:rsid w:val="00C73051"/>
    <w:rsid w:val="00C979BE"/>
    <w:rsid w:val="00CA3C9E"/>
    <w:rsid w:val="00CA6D2D"/>
    <w:rsid w:val="00CD345E"/>
    <w:rsid w:val="00CD4669"/>
    <w:rsid w:val="00CD5A2F"/>
    <w:rsid w:val="00D23870"/>
    <w:rsid w:val="00D328FF"/>
    <w:rsid w:val="00D437AD"/>
    <w:rsid w:val="00D54350"/>
    <w:rsid w:val="00D61A41"/>
    <w:rsid w:val="00D61EAF"/>
    <w:rsid w:val="00D7446A"/>
    <w:rsid w:val="00D76985"/>
    <w:rsid w:val="00D869F7"/>
    <w:rsid w:val="00DB1E47"/>
    <w:rsid w:val="00DC5144"/>
    <w:rsid w:val="00E05A8F"/>
    <w:rsid w:val="00E20634"/>
    <w:rsid w:val="00E61C43"/>
    <w:rsid w:val="00E81AEF"/>
    <w:rsid w:val="00E86ABD"/>
    <w:rsid w:val="00E90BBF"/>
    <w:rsid w:val="00E9532F"/>
    <w:rsid w:val="00E95E05"/>
    <w:rsid w:val="00EA1A08"/>
    <w:rsid w:val="00EC48A4"/>
    <w:rsid w:val="00EF416E"/>
    <w:rsid w:val="00F31BB1"/>
    <w:rsid w:val="00F34417"/>
    <w:rsid w:val="00F445EB"/>
    <w:rsid w:val="00F562B7"/>
    <w:rsid w:val="00F82E6B"/>
    <w:rsid w:val="00F94D33"/>
    <w:rsid w:val="00FA5E38"/>
    <w:rsid w:val="00FB1D57"/>
    <w:rsid w:val="00FB32B4"/>
    <w:rsid w:val="00FD4A0A"/>
    <w:rsid w:val="00FD71E9"/>
    <w:rsid w:val="00FE27E3"/>
    <w:rsid w:val="00FE75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C1899"/>
  <w15:docId w15:val="{978DE04E-4B61-412D-9186-76EFC4F4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Garamond" w:hAnsi="Garamond"/>
      <w:sz w:val="24"/>
      <w:szCs w:val="24"/>
      <w:lang w:val="da-DK" w:eastAsia="da-DK"/>
    </w:rPr>
  </w:style>
  <w:style w:type="paragraph" w:styleId="Ttulo1">
    <w:name w:val="heading 1"/>
    <w:aliases w:val="heading2"/>
    <w:basedOn w:val="Normal"/>
    <w:next w:val="Normal"/>
    <w:qFormat/>
    <w:pPr>
      <w:keepNext/>
      <w:outlineLvl w:val="0"/>
    </w:pPr>
    <w:rPr>
      <w:b/>
      <w:bCs/>
    </w:rPr>
  </w:style>
  <w:style w:type="paragraph" w:styleId="Cabealho2">
    <w:name w:val="heading 2"/>
    <w:basedOn w:val="Normal"/>
    <w:next w:val="Normal"/>
    <w:qFormat/>
    <w:pPr>
      <w:keepNext/>
      <w:spacing w:before="240" w:after="60"/>
      <w:outlineLvl w:val="1"/>
    </w:pPr>
    <w:rPr>
      <w:rFonts w:ascii="Arial" w:hAnsi="Arial" w:cs="Arial"/>
      <w:b/>
      <w:bCs/>
      <w:i/>
      <w:iCs/>
      <w:sz w:val="28"/>
      <w:szCs w:val="28"/>
    </w:rPr>
  </w:style>
  <w:style w:type="paragraph" w:styleId="Cabealho3">
    <w:name w:val="heading 3"/>
    <w:basedOn w:val="Normal"/>
    <w:next w:val="Normal"/>
    <w:qFormat/>
    <w:pPr>
      <w:keepNext/>
      <w:spacing w:before="240" w:after="60"/>
      <w:outlineLvl w:val="2"/>
    </w:pPr>
    <w:rPr>
      <w:rFonts w:ascii="Arial" w:hAnsi="Arial" w:cs="Arial"/>
      <w:b/>
      <w:bCs/>
      <w:sz w:val="26"/>
      <w:szCs w:val="26"/>
    </w:rPr>
  </w:style>
  <w:style w:type="paragraph" w:styleId="Cabealho4">
    <w:name w:val="heading 4"/>
    <w:basedOn w:val="Normal"/>
    <w:next w:val="Normal"/>
    <w:autoRedefine/>
    <w:qFormat/>
    <w:pPr>
      <w:keepNext/>
      <w:spacing w:line="200" w:lineRule="atLeast"/>
      <w:jc w:val="both"/>
      <w:outlineLvl w:val="3"/>
    </w:pPr>
    <w:rPr>
      <w:rFonts w:ascii="Verdana" w:hAnsi="Verdana"/>
      <w:b/>
      <w:sz w:val="14"/>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el1">
    <w:name w:val="Titel1"/>
    <w:basedOn w:val="Ttulo1"/>
    <w:pPr>
      <w:jc w:val="center"/>
    </w:pPr>
    <w:rPr>
      <w:rFonts w:ascii="Verdana" w:hAnsi="Verdana"/>
      <w:b w:val="0"/>
      <w:bCs w:val="0"/>
      <w:sz w:val="40"/>
    </w:rPr>
  </w:style>
  <w:style w:type="paragraph" w:customStyle="1" w:styleId="Authors">
    <w:name w:val="Authors"/>
    <w:basedOn w:val="Normal"/>
    <w:pPr>
      <w:keepNext/>
      <w:jc w:val="center"/>
      <w:outlineLvl w:val="1"/>
    </w:pPr>
    <w:rPr>
      <w:rFonts w:ascii="Verdana" w:hAnsi="Verdana"/>
    </w:rPr>
  </w:style>
  <w:style w:type="paragraph" w:customStyle="1" w:styleId="abstract">
    <w:name w:val="abstract"/>
    <w:basedOn w:val="Cabealho4"/>
  </w:style>
  <w:style w:type="paragraph" w:customStyle="1" w:styleId="Normaltext">
    <w:name w:val="Normal text"/>
    <w:basedOn w:val="Normal"/>
    <w:pPr>
      <w:spacing w:line="220" w:lineRule="atLeast"/>
      <w:jc w:val="both"/>
    </w:pPr>
    <w:rPr>
      <w:rFonts w:ascii="Verdana" w:hAnsi="Verdana"/>
      <w:sz w:val="16"/>
      <w:lang w:val="en-GB"/>
    </w:rPr>
  </w:style>
  <w:style w:type="paragraph" w:customStyle="1" w:styleId="berschrift11">
    <w:name w:val="Überschrift 11"/>
    <w:basedOn w:val="Ttulo1"/>
    <w:pPr>
      <w:spacing w:after="40" w:line="220" w:lineRule="atLeast"/>
      <w:jc w:val="center"/>
    </w:pPr>
    <w:rPr>
      <w:rFonts w:ascii="Verdana" w:hAnsi="Verdana"/>
      <w:b w:val="0"/>
      <w:bCs w:val="0"/>
      <w:smallCaps/>
      <w:sz w:val="18"/>
      <w:lang w:val="en-GB"/>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customStyle="1" w:styleId="Footnote">
    <w:name w:val="Foot note"/>
    <w:basedOn w:val="Textodenotaderodap"/>
    <w:pPr>
      <w:tabs>
        <w:tab w:val="left" w:pos="240"/>
      </w:tabs>
      <w:spacing w:line="160" w:lineRule="atLeast"/>
    </w:pPr>
    <w:rPr>
      <w:rFonts w:ascii="Verdana" w:hAnsi="Verdana"/>
      <w:sz w:val="12"/>
    </w:rPr>
  </w:style>
  <w:style w:type="character" w:styleId="Hiperligao">
    <w:name w:val="Hyperlink"/>
    <w:rPr>
      <w:color w:val="0000FF"/>
      <w:u w:val="single"/>
    </w:rPr>
  </w:style>
  <w:style w:type="paragraph" w:styleId="Corpodetexto">
    <w:name w:val="Body Text"/>
    <w:basedOn w:val="Normal"/>
    <w:pPr>
      <w:autoSpaceDE w:val="0"/>
      <w:autoSpaceDN w:val="0"/>
      <w:adjustRightInd w:val="0"/>
      <w:spacing w:line="220" w:lineRule="atLeast"/>
    </w:pPr>
    <w:rPr>
      <w:rFonts w:ascii="Verdana" w:hAnsi="Verdana"/>
      <w:sz w:val="16"/>
      <w:lang w:val="en-GB"/>
    </w:rPr>
  </w:style>
  <w:style w:type="paragraph" w:customStyle="1" w:styleId="Firstheading">
    <w:name w:val="First heading"/>
    <w:basedOn w:val="Normal"/>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Rodap">
    <w:name w:val="footer"/>
    <w:basedOn w:val="Normal"/>
    <w:link w:val="RodapCarter"/>
    <w:uiPriority w:val="99"/>
    <w:rsid w:val="00CD5A2F"/>
    <w:pPr>
      <w:tabs>
        <w:tab w:val="center" w:pos="4536"/>
        <w:tab w:val="right" w:pos="9072"/>
      </w:tabs>
    </w:pPr>
  </w:style>
  <w:style w:type="character" w:styleId="Nmerodepgina">
    <w:name w:val="page number"/>
    <w:basedOn w:val="Tipodeletrapredefinidodopargrafo"/>
    <w:rsid w:val="00CD5A2F"/>
  </w:style>
  <w:style w:type="paragraph" w:styleId="Cabealho">
    <w:name w:val="header"/>
    <w:basedOn w:val="Normal"/>
    <w:link w:val="CabealhoCarter"/>
    <w:uiPriority w:val="99"/>
    <w:rsid w:val="00CD5A2F"/>
    <w:pPr>
      <w:tabs>
        <w:tab w:val="center" w:pos="4536"/>
        <w:tab w:val="right" w:pos="9072"/>
      </w:tabs>
    </w:pPr>
  </w:style>
  <w:style w:type="paragraph" w:styleId="Textodebalo">
    <w:name w:val="Balloon Text"/>
    <w:basedOn w:val="Normal"/>
    <w:semiHidden/>
    <w:rsid w:val="006C572F"/>
    <w:rPr>
      <w:rFonts w:ascii="Tahoma" w:hAnsi="Tahoma" w:cs="Tahoma"/>
      <w:sz w:val="16"/>
      <w:szCs w:val="16"/>
    </w:rPr>
  </w:style>
  <w:style w:type="character" w:styleId="Refdecomentrio">
    <w:name w:val="annotation reference"/>
    <w:semiHidden/>
    <w:rsid w:val="002427DF"/>
    <w:rPr>
      <w:sz w:val="16"/>
      <w:szCs w:val="16"/>
    </w:rPr>
  </w:style>
  <w:style w:type="paragraph" w:styleId="Textodecomentrio">
    <w:name w:val="annotation text"/>
    <w:basedOn w:val="Normal"/>
    <w:semiHidden/>
    <w:rsid w:val="002427DF"/>
    <w:rPr>
      <w:sz w:val="20"/>
      <w:szCs w:val="20"/>
    </w:rPr>
  </w:style>
  <w:style w:type="paragraph" w:styleId="Assuntodecomentrio">
    <w:name w:val="annotation subject"/>
    <w:basedOn w:val="Textodecomentrio"/>
    <w:next w:val="Textodecomentrio"/>
    <w:semiHidden/>
    <w:rsid w:val="002427DF"/>
    <w:rPr>
      <w:b/>
      <w:bCs/>
    </w:rPr>
  </w:style>
  <w:style w:type="table" w:styleId="Tabelacomgrelha">
    <w:name w:val="Table Grid"/>
    <w:basedOn w:val="Tabelanormal"/>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link w:val="Cabealho"/>
    <w:uiPriority w:val="99"/>
    <w:rsid w:val="001B519B"/>
    <w:rPr>
      <w:rFonts w:ascii="Garamond" w:hAnsi="Garamond"/>
      <w:sz w:val="24"/>
      <w:szCs w:val="24"/>
      <w:lang w:val="da-DK" w:eastAsia="da-DK"/>
    </w:rPr>
  </w:style>
  <w:style w:type="character" w:styleId="Hiperligaovisitada">
    <w:name w:val="FollowedHyperlink"/>
    <w:basedOn w:val="Tipodeletrapredefinidodopargrafo"/>
    <w:rsid w:val="00571F90"/>
    <w:rPr>
      <w:color w:val="800080" w:themeColor="followedHyperlink"/>
      <w:u w:val="single"/>
    </w:rPr>
  </w:style>
  <w:style w:type="paragraph" w:styleId="PargrafodaLista">
    <w:name w:val="List Paragraph"/>
    <w:basedOn w:val="Normal"/>
    <w:uiPriority w:val="34"/>
    <w:qFormat/>
    <w:rsid w:val="00773ECC"/>
    <w:pPr>
      <w:ind w:left="720"/>
      <w:contextualSpacing/>
    </w:pPr>
  </w:style>
  <w:style w:type="character" w:styleId="Mencionar">
    <w:name w:val="Mention"/>
    <w:basedOn w:val="Tipodeletrapredefinidodopargrafo"/>
    <w:uiPriority w:val="99"/>
    <w:semiHidden/>
    <w:unhideWhenUsed/>
    <w:rsid w:val="00BA378F"/>
    <w:rPr>
      <w:color w:val="2B579A"/>
      <w:shd w:val="clear" w:color="auto" w:fill="E6E6E6"/>
    </w:rPr>
  </w:style>
  <w:style w:type="character" w:customStyle="1" w:styleId="RodapCarter">
    <w:name w:val="Rodapé Caráter"/>
    <w:basedOn w:val="Tipodeletrapredefinidodopargrafo"/>
    <w:link w:val="Rodap"/>
    <w:uiPriority w:val="99"/>
    <w:rsid w:val="00C73051"/>
    <w:rPr>
      <w:rFonts w:ascii="Garamond" w:hAnsi="Garamond"/>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ufis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fisa.eu/new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is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FC98-A0FB-4377-84B3-FB071634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8563</Characters>
  <Application>Microsoft Office Word</Application>
  <DocSecurity>0</DocSecurity>
  <Lines>71</Lines>
  <Paragraphs>20</Paragraphs>
  <ScaleCrop>false</ScaleCrop>
  <HeadingPairs>
    <vt:vector size="10" baseType="variant">
      <vt:variant>
        <vt:lpstr>Título</vt:lpstr>
      </vt:variant>
      <vt:variant>
        <vt:i4>1</vt:i4>
      </vt:variant>
      <vt:variant>
        <vt:lpstr>Tytuł</vt:lpstr>
      </vt:variant>
      <vt:variant>
        <vt:i4>1</vt:i4>
      </vt:variant>
      <vt:variant>
        <vt:lpstr>Titel</vt:lpstr>
      </vt:variant>
      <vt:variant>
        <vt:i4>1</vt:i4>
      </vt:variant>
      <vt:variant>
        <vt:lpstr>Title</vt:lpstr>
      </vt:variant>
      <vt:variant>
        <vt:i4>1</vt:i4>
      </vt:variant>
      <vt:variant>
        <vt:lpstr>Überschriften</vt:lpstr>
      </vt:variant>
      <vt:variant>
        <vt:i4>13</vt:i4>
      </vt:variant>
    </vt:vector>
  </HeadingPairs>
  <TitlesOfParts>
    <vt:vector size="17" baseType="lpstr">
      <vt:lpstr>Preparation and submission of extended ab-stracts for the Joint Organic Congress 2006</vt:lpstr>
      <vt:lpstr>Preparation and submission of extended ab-stracts for the Joint Organic Congress 2006</vt:lpstr>
      <vt:lpstr>Preparation and submission of extended ab-stracts for the Joint Organic Congress 2006</vt:lpstr>
      <vt:lpstr>Preparation and submission of extended ab-stracts for the Joint Organic Congress 2006</vt:lpstr>
      <vt:lpstr>Title</vt:lpstr>
      <vt:lpstr/>
      <vt:lpstr>    First A. Author, Second B. Author, und Third C. Author1</vt:lpstr>
      <vt:lpstr>    </vt:lpstr>
      <vt:lpstr>    </vt:lpstr>
      <vt:lpstr>    </vt:lpstr>
      <vt:lpstr>Introduction to using the template</vt:lpstr>
      <vt:lpstr>Procedure for Short paper submission</vt:lpstr>
      <vt:lpstr>Structure of the short paper</vt:lpstr>
      <vt:lpstr>Helpful hints on formatting</vt:lpstr>
      <vt:lpstr>Guidelines for references</vt:lpstr>
      <vt:lpstr>Acknowledgement</vt:lpstr>
      <vt:lpstr>References</vt:lpstr>
    </vt:vector>
  </TitlesOfParts>
  <Company>DJF</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extended ab-stracts for the Joint Organic Congress 2006</dc:title>
  <dc:creator>lel</dc:creator>
  <cp:lastModifiedBy>José Muñoz-Rojas</cp:lastModifiedBy>
  <cp:revision>2</cp:revision>
  <cp:lastPrinted>2010-01-26T12:47:00Z</cp:lastPrinted>
  <dcterms:created xsi:type="dcterms:W3CDTF">2017-06-14T08:39:00Z</dcterms:created>
  <dcterms:modified xsi:type="dcterms:W3CDTF">2017-06-14T08:39:00Z</dcterms:modified>
</cp:coreProperties>
</file>