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B" w:hAnsi="AdvMyriadPro-B" w:cs="AdvMyriadPro-B"/>
          <w:color w:val="231F20"/>
          <w:sz w:val="15"/>
          <w:szCs w:val="15"/>
          <w:lang w:val="en-US"/>
        </w:rPr>
      </w:pPr>
      <w:r w:rsidRPr="00BD24CF">
        <w:rPr>
          <w:rFonts w:ascii="AdvMyriadPro-B" w:hAnsi="AdvMyriadPro-B" w:cs="AdvMyriadPro-B"/>
          <w:color w:val="231F20"/>
          <w:sz w:val="15"/>
          <w:szCs w:val="15"/>
          <w:lang w:val="en-US"/>
        </w:rPr>
        <w:t>http://informahealthcare.com/mdn</w:t>
      </w: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R" w:hAnsi="AdvMyriadPro-R" w:cs="AdvMyriadPro-R"/>
          <w:color w:val="231F20"/>
          <w:sz w:val="15"/>
          <w:szCs w:val="15"/>
          <w:lang w:val="en-US"/>
        </w:rPr>
      </w:pPr>
      <w:r w:rsidRPr="00BD24CF">
        <w:rPr>
          <w:rFonts w:ascii="AdvMyriadPro-R" w:hAnsi="AdvMyriadPro-R" w:cs="AdvMyriadPro-R"/>
          <w:color w:val="231F20"/>
          <w:sz w:val="15"/>
          <w:szCs w:val="15"/>
          <w:lang w:val="en-US"/>
        </w:rPr>
        <w:t>ISSN: 1940-1736 (print), 1940-1744 (electronic)</w:t>
      </w: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231F20"/>
          <w:sz w:val="15"/>
          <w:szCs w:val="15"/>
          <w:lang w:val="en-US"/>
        </w:rPr>
      </w:pPr>
      <w:r w:rsidRPr="00BD24CF">
        <w:rPr>
          <w:rFonts w:ascii="AdvOT5fcf1b24" w:hAnsi="AdvOT5fcf1b24" w:cs="AdvOT5fcf1b24"/>
          <w:color w:val="231F20"/>
          <w:sz w:val="15"/>
          <w:szCs w:val="15"/>
          <w:lang w:val="en-US"/>
        </w:rPr>
        <w:t>Mitochondrial DNA, Early Online: 1–2</w:t>
      </w: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231F20"/>
          <w:sz w:val="15"/>
          <w:szCs w:val="15"/>
          <w:lang w:val="en-US"/>
        </w:rPr>
      </w:pPr>
      <w:r w:rsidRPr="00BD24CF">
        <w:rPr>
          <w:rFonts w:ascii="AdvP42A1B7" w:hAnsi="AdvP42A1B7" w:cs="AdvP42A1B7"/>
          <w:color w:val="231F20"/>
          <w:sz w:val="13"/>
          <w:szCs w:val="13"/>
          <w:lang w:val="en-US"/>
        </w:rPr>
        <w:t xml:space="preserve">! </w:t>
      </w:r>
      <w:r w:rsidRPr="00BD24CF">
        <w:rPr>
          <w:rFonts w:ascii="AdvOT5fcf1b24" w:hAnsi="AdvOT5fcf1b24" w:cs="AdvOT5fcf1b24"/>
          <w:color w:val="231F20"/>
          <w:sz w:val="15"/>
          <w:szCs w:val="15"/>
          <w:lang w:val="en-US"/>
        </w:rPr>
        <w:t xml:space="preserve">2014 </w:t>
      </w:r>
      <w:proofErr w:type="spellStart"/>
      <w:r w:rsidRPr="00BD24CF">
        <w:rPr>
          <w:rFonts w:ascii="AdvOT5fcf1b24" w:hAnsi="AdvOT5fcf1b24" w:cs="AdvOT5fcf1b24"/>
          <w:color w:val="231F20"/>
          <w:sz w:val="15"/>
          <w:szCs w:val="15"/>
          <w:lang w:val="en-US"/>
        </w:rPr>
        <w:t>Informa</w:t>
      </w:r>
      <w:proofErr w:type="spellEnd"/>
      <w:r w:rsidRPr="00BD24CF">
        <w:rPr>
          <w:rFonts w:ascii="AdvOT5fcf1b24" w:hAnsi="AdvOT5fcf1b24" w:cs="AdvOT5fcf1b24"/>
          <w:color w:val="231F20"/>
          <w:sz w:val="15"/>
          <w:szCs w:val="15"/>
          <w:lang w:val="en-US"/>
        </w:rPr>
        <w:t xml:space="preserve"> UK Ltd. DOI: 10.3109/19401736.2014.982579</w:t>
      </w: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R" w:hAnsi="AdvMyriadPro-R" w:cs="AdvMyriadPro-R"/>
          <w:color w:val="231F20"/>
          <w:lang w:val="en-US"/>
        </w:rPr>
      </w:pPr>
      <w:r w:rsidRPr="00BD24CF">
        <w:rPr>
          <w:rFonts w:ascii="AdvMyriadPro-R" w:hAnsi="AdvMyriadPro-R" w:cs="AdvMyriadPro-R"/>
          <w:color w:val="231F20"/>
          <w:lang w:val="en-US"/>
        </w:rPr>
        <w:t>MITOGENOME ANNOUNCEMENT</w:t>
      </w:r>
    </w:p>
    <w:p w:rsid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SB" w:hAnsi="AdvMyriadPro-SB" w:cs="AdvMyriadPro-SB"/>
          <w:color w:val="231F20"/>
          <w:sz w:val="32"/>
          <w:szCs w:val="32"/>
          <w:lang w:val="en-US"/>
        </w:rPr>
      </w:pP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SB" w:hAnsi="AdvMyriadPro-SB" w:cs="AdvMyriadPro-SB"/>
          <w:color w:val="231F20"/>
          <w:sz w:val="32"/>
          <w:szCs w:val="32"/>
          <w:lang w:val="en-US"/>
        </w:rPr>
      </w:pPr>
      <w:r w:rsidRPr="00BD24CF">
        <w:rPr>
          <w:rFonts w:ascii="AdvMyriadPro-SB" w:hAnsi="AdvMyriadPro-SB" w:cs="AdvMyriadPro-SB"/>
          <w:color w:val="231F20"/>
          <w:sz w:val="32"/>
          <w:szCs w:val="32"/>
          <w:lang w:val="en-US"/>
        </w:rPr>
        <w:t xml:space="preserve">The mitochondrial genome of </w:t>
      </w:r>
      <w:r w:rsidRPr="00BD24CF">
        <w:rPr>
          <w:rFonts w:ascii="AdvMyriadPro-SBI" w:hAnsi="AdvMyriadPro-SBI" w:cs="AdvMyriadPro-SBI"/>
          <w:color w:val="231F20"/>
          <w:sz w:val="32"/>
          <w:szCs w:val="32"/>
          <w:lang w:val="en-US"/>
        </w:rPr>
        <w:t xml:space="preserve">Prays </w:t>
      </w:r>
      <w:proofErr w:type="spellStart"/>
      <w:r w:rsidRPr="00BD24CF">
        <w:rPr>
          <w:rFonts w:ascii="AdvMyriadPro-SBI" w:hAnsi="AdvMyriadPro-SBI" w:cs="AdvMyriadPro-SBI"/>
          <w:color w:val="231F20"/>
          <w:sz w:val="32"/>
          <w:szCs w:val="32"/>
          <w:lang w:val="en-US"/>
        </w:rPr>
        <w:t>oleae</w:t>
      </w:r>
      <w:proofErr w:type="spellEnd"/>
      <w:r w:rsidRPr="00BD24CF">
        <w:rPr>
          <w:rFonts w:ascii="AdvMyriadPro-SBI" w:hAnsi="AdvMyriadPro-SBI" w:cs="AdvMyriadPro-SBI"/>
          <w:color w:val="231F20"/>
          <w:sz w:val="32"/>
          <w:szCs w:val="32"/>
          <w:lang w:val="en-US"/>
        </w:rPr>
        <w:t xml:space="preserve"> </w:t>
      </w:r>
      <w:r w:rsidR="00E222E2">
        <w:rPr>
          <w:rFonts w:ascii="AdvMyriadPro-SB" w:hAnsi="AdvMyriadPro-SB" w:cs="AdvMyriadPro-SB"/>
          <w:color w:val="231F20"/>
          <w:sz w:val="32"/>
          <w:szCs w:val="32"/>
          <w:lang w:val="en-US"/>
        </w:rPr>
        <w:t>(</w:t>
      </w:r>
      <w:proofErr w:type="spellStart"/>
      <w:r w:rsidR="00E222E2">
        <w:rPr>
          <w:rFonts w:ascii="AdvMyriadPro-SB" w:hAnsi="AdvMyriadPro-SB" w:cs="AdvMyriadPro-SB"/>
          <w:color w:val="231F20"/>
          <w:sz w:val="32"/>
          <w:szCs w:val="32"/>
          <w:lang w:val="en-US"/>
        </w:rPr>
        <w:t>Insecta</w:t>
      </w:r>
      <w:proofErr w:type="spellEnd"/>
      <w:r w:rsidR="00E222E2">
        <w:rPr>
          <w:rFonts w:ascii="AdvMyriadPro-SB" w:hAnsi="AdvMyriadPro-SB" w:cs="AdvMyriadPro-SB"/>
          <w:color w:val="231F20"/>
          <w:sz w:val="32"/>
          <w:szCs w:val="32"/>
          <w:lang w:val="en-US"/>
        </w:rPr>
        <w:t xml:space="preserve">: </w:t>
      </w:r>
      <w:bookmarkStart w:id="0" w:name="_GoBack"/>
      <w:bookmarkEnd w:id="0"/>
      <w:proofErr w:type="spellStart"/>
      <w:r>
        <w:rPr>
          <w:rFonts w:ascii="AdvMyriadPro-SB" w:hAnsi="AdvMyriadPro-SB" w:cs="AdvMyriadPro-SB"/>
          <w:color w:val="231F20"/>
          <w:sz w:val="32"/>
          <w:szCs w:val="32"/>
          <w:lang w:val="en-US"/>
        </w:rPr>
        <w:t>Lepidoptera</w:t>
      </w:r>
      <w:proofErr w:type="gramStart"/>
      <w:r>
        <w:rPr>
          <w:rFonts w:ascii="AdvMyriadPro-SB" w:hAnsi="AdvMyriadPro-SB" w:cs="AdvMyriadPro-SB"/>
          <w:color w:val="231F20"/>
          <w:sz w:val="32"/>
          <w:szCs w:val="32"/>
          <w:lang w:val="en-US"/>
        </w:rPr>
        <w:t>:</w:t>
      </w:r>
      <w:r w:rsidRPr="00BD24CF">
        <w:rPr>
          <w:rFonts w:ascii="AdvMyriadPro-SB" w:hAnsi="AdvMyriadPro-SB" w:cs="AdvMyriadPro-SB"/>
          <w:color w:val="231F20"/>
          <w:sz w:val="32"/>
          <w:szCs w:val="32"/>
          <w:lang w:val="en-US"/>
        </w:rPr>
        <w:t>Praydidae</w:t>
      </w:r>
      <w:proofErr w:type="spellEnd"/>
      <w:proofErr w:type="gramEnd"/>
      <w:r w:rsidRPr="00BD24CF">
        <w:rPr>
          <w:rFonts w:ascii="AdvMyriadPro-SB" w:hAnsi="AdvMyriadPro-SB" w:cs="AdvMyriadPro-SB"/>
          <w:color w:val="231F20"/>
          <w:sz w:val="32"/>
          <w:szCs w:val="32"/>
          <w:lang w:val="en-US"/>
        </w:rPr>
        <w:t>)</w:t>
      </w:r>
    </w:p>
    <w:p w:rsidR="00BD24CF" w:rsidRPr="00E222E2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R" w:hAnsi="AdvMyriadPro-R" w:cs="AdvMyriadPro-R"/>
          <w:color w:val="231F20"/>
          <w:sz w:val="21"/>
          <w:szCs w:val="21"/>
          <w:lang w:val="en-US"/>
        </w:rPr>
      </w:pPr>
    </w:p>
    <w:p w:rsid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R" w:hAnsi="AdvMyriadPro-R" w:cs="AdvMyriadPro-R"/>
          <w:color w:val="231F20"/>
          <w:sz w:val="14"/>
          <w:szCs w:val="14"/>
        </w:rPr>
      </w:pPr>
      <w:r>
        <w:rPr>
          <w:rFonts w:ascii="AdvMyriadPro-R" w:hAnsi="AdvMyriadPro-R" w:cs="AdvMyriadPro-R"/>
          <w:color w:val="231F20"/>
          <w:sz w:val="21"/>
          <w:szCs w:val="21"/>
        </w:rPr>
        <w:t>Barbara van Asch</w:t>
      </w:r>
      <w:r>
        <w:rPr>
          <w:rFonts w:ascii="AdvMyriadPro-R" w:hAnsi="AdvMyriadPro-R" w:cs="AdvMyriadPro-R"/>
          <w:color w:val="231F20"/>
          <w:sz w:val="14"/>
          <w:szCs w:val="14"/>
        </w:rPr>
        <w:t>1</w:t>
      </w:r>
      <w:r>
        <w:rPr>
          <w:rFonts w:ascii="AdvP479F8A" w:hAnsi="AdvP479F8A" w:cs="AdvP479F8A"/>
          <w:color w:val="231F20"/>
          <w:sz w:val="21"/>
          <w:szCs w:val="21"/>
        </w:rPr>
        <w:t>*</w:t>
      </w:r>
      <w:r>
        <w:rPr>
          <w:rFonts w:ascii="AdvMyriadPro-R" w:hAnsi="AdvMyriadPro-R" w:cs="AdvMyriadPro-R"/>
          <w:color w:val="231F20"/>
          <w:sz w:val="21"/>
          <w:szCs w:val="21"/>
        </w:rPr>
        <w:t>, Imen Blibech</w:t>
      </w:r>
      <w:r>
        <w:rPr>
          <w:rFonts w:ascii="AdvMyriadPro-R" w:hAnsi="AdvMyriadPro-R" w:cs="AdvMyriadPro-R"/>
          <w:color w:val="231F20"/>
          <w:sz w:val="14"/>
          <w:szCs w:val="14"/>
        </w:rPr>
        <w:t>2</w:t>
      </w:r>
      <w:r>
        <w:rPr>
          <w:rFonts w:ascii="AdvP479F8A" w:hAnsi="AdvP479F8A" w:cs="AdvP479F8A"/>
          <w:color w:val="231F20"/>
          <w:sz w:val="21"/>
          <w:szCs w:val="21"/>
        </w:rPr>
        <w:t>*</w:t>
      </w:r>
      <w:r>
        <w:rPr>
          <w:rFonts w:ascii="AdvMyriadPro-R" w:hAnsi="AdvMyriadPro-R" w:cs="AdvMyriadPro-R"/>
          <w:color w:val="231F20"/>
          <w:sz w:val="21"/>
          <w:szCs w:val="21"/>
        </w:rPr>
        <w:t>, Isabel Pereira-Castro</w:t>
      </w:r>
      <w:r>
        <w:rPr>
          <w:rFonts w:ascii="AdvMyriadPro-R" w:hAnsi="AdvMyriadPro-R" w:cs="AdvMyriadPro-R"/>
          <w:color w:val="231F20"/>
          <w:sz w:val="14"/>
          <w:szCs w:val="14"/>
        </w:rPr>
        <w:t>1</w:t>
      </w:r>
      <w:r>
        <w:rPr>
          <w:rFonts w:ascii="AdvMyriadPro-R" w:hAnsi="AdvMyriadPro-R" w:cs="AdvMyriadPro-R"/>
          <w:color w:val="231F20"/>
          <w:sz w:val="21"/>
          <w:szCs w:val="21"/>
        </w:rPr>
        <w:t>, Fernando Trindade Rei</w:t>
      </w:r>
      <w:r>
        <w:rPr>
          <w:rFonts w:ascii="AdvMyriadPro-R" w:hAnsi="AdvMyriadPro-R" w:cs="AdvMyriadPro-R"/>
          <w:color w:val="231F20"/>
          <w:sz w:val="14"/>
          <w:szCs w:val="14"/>
        </w:rPr>
        <w:t>3</w:t>
      </w:r>
      <w:r>
        <w:rPr>
          <w:rFonts w:ascii="AdvMyriadPro-R" w:hAnsi="AdvMyriadPro-R" w:cs="AdvMyriadPro-R"/>
          <w:color w:val="231F20"/>
          <w:sz w:val="21"/>
          <w:szCs w:val="21"/>
        </w:rPr>
        <w:t>, and Lu</w:t>
      </w:r>
      <w:r w:rsidR="00E222E2">
        <w:rPr>
          <w:rFonts w:ascii="AdvMyriadPro-R" w:hAnsi="AdvMyriadPro-R" w:cs="AdvMyriadPro-R"/>
          <w:color w:val="231F20"/>
          <w:sz w:val="21"/>
          <w:szCs w:val="21"/>
        </w:rPr>
        <w:t>í</w:t>
      </w:r>
      <w:r>
        <w:rPr>
          <w:rFonts w:ascii="AdvMyriadPro-R" w:hAnsi="AdvMyriadPro-R" w:cs="AdvMyriadPro-R"/>
          <w:color w:val="231F20"/>
          <w:sz w:val="21"/>
          <w:szCs w:val="21"/>
        </w:rPr>
        <w:t>s Teixeira da Costa</w:t>
      </w:r>
      <w:r>
        <w:rPr>
          <w:rFonts w:ascii="AdvMyriadPro-R" w:hAnsi="AdvMyriadPro-R" w:cs="AdvMyriadPro-R"/>
          <w:color w:val="231F20"/>
          <w:sz w:val="14"/>
          <w:szCs w:val="14"/>
        </w:rPr>
        <w:t>3</w:t>
      </w:r>
    </w:p>
    <w:p w:rsid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R" w:hAnsi="AdvMyriadPro-R" w:cs="AdvMyriadPro-R"/>
          <w:color w:val="231F20"/>
          <w:sz w:val="14"/>
          <w:szCs w:val="14"/>
        </w:rPr>
      </w:pPr>
    </w:p>
    <w:p w:rsid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I" w:hAnsi="AdvMyriadPro-I" w:cs="AdvMyriadPro-I"/>
          <w:color w:val="231F20"/>
          <w:sz w:val="17"/>
          <w:szCs w:val="17"/>
        </w:rPr>
      </w:pPr>
      <w:r>
        <w:rPr>
          <w:rFonts w:ascii="AdvMyriadPro-I" w:hAnsi="AdvMyriadPro-I" w:cs="AdvMyriadPro-I"/>
          <w:color w:val="231F20"/>
          <w:sz w:val="11"/>
          <w:szCs w:val="11"/>
        </w:rPr>
        <w:t>1</w:t>
      </w:r>
      <w:r>
        <w:rPr>
          <w:rFonts w:ascii="AdvMyriadPro-I" w:hAnsi="AdvMyriadPro-I" w:cs="AdvMyriadPro-I"/>
          <w:color w:val="231F20"/>
          <w:sz w:val="17"/>
          <w:szCs w:val="17"/>
        </w:rPr>
        <w:t xml:space="preserve">Instituto de Patologia e Imunologia Molecular da Universidade do Porto (IPATIMUP), Porto, Portugal, </w:t>
      </w:r>
      <w:r>
        <w:rPr>
          <w:rFonts w:ascii="AdvMyriadPro-I" w:hAnsi="AdvMyriadPro-I" w:cs="AdvMyriadPro-I"/>
          <w:color w:val="231F20"/>
          <w:sz w:val="11"/>
          <w:szCs w:val="11"/>
        </w:rPr>
        <w:t>2</w:t>
      </w:r>
      <w:r>
        <w:rPr>
          <w:rFonts w:ascii="AdvMyriadPro-I" w:hAnsi="AdvMyriadPro-I" w:cs="AdvMyriadPro-I"/>
          <w:color w:val="231F20"/>
          <w:sz w:val="17"/>
          <w:szCs w:val="17"/>
        </w:rPr>
        <w:t>Laboratory of Genetic Resources and</w:t>
      </w:r>
    </w:p>
    <w:p w:rsid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I" w:hAnsi="AdvMyriadPro-I" w:cs="AdvMyriadPro-I"/>
          <w:color w:val="231F20"/>
          <w:sz w:val="17"/>
          <w:szCs w:val="17"/>
        </w:rPr>
      </w:pPr>
      <w:r>
        <w:rPr>
          <w:rFonts w:ascii="AdvMyriadPro-I" w:hAnsi="AdvMyriadPro-I" w:cs="AdvMyriadPro-I"/>
          <w:color w:val="231F20"/>
          <w:sz w:val="17"/>
          <w:szCs w:val="17"/>
        </w:rPr>
        <w:t xml:space="preserve">Protection of the Olive Tree, Olive Tree Institute, Sousse Station, Sousse, Tunisia, and </w:t>
      </w:r>
      <w:r>
        <w:rPr>
          <w:rFonts w:ascii="AdvMyriadPro-I" w:hAnsi="AdvMyriadPro-I" w:cs="AdvMyriadPro-I"/>
          <w:color w:val="231F20"/>
          <w:sz w:val="11"/>
          <w:szCs w:val="11"/>
        </w:rPr>
        <w:t>3</w:t>
      </w:r>
      <w:r>
        <w:rPr>
          <w:rFonts w:ascii="AdvMyriadPro-I" w:hAnsi="AdvMyriadPro-I" w:cs="AdvMyriadPro-I"/>
          <w:color w:val="231F20"/>
          <w:sz w:val="17"/>
          <w:szCs w:val="17"/>
        </w:rPr>
        <w:t>Instituto de Cieˆncias Agra´rias e Ambientais Mediterraˆnicas</w:t>
      </w:r>
    </w:p>
    <w:p w:rsid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I" w:hAnsi="AdvMyriadPro-I" w:cs="AdvMyriadPro-I"/>
          <w:color w:val="231F20"/>
          <w:sz w:val="17"/>
          <w:szCs w:val="17"/>
        </w:rPr>
      </w:pPr>
      <w:r>
        <w:rPr>
          <w:rFonts w:ascii="AdvMyriadPro-I" w:hAnsi="AdvMyriadPro-I" w:cs="AdvMyriadPro-I"/>
          <w:color w:val="231F20"/>
          <w:sz w:val="17"/>
          <w:szCs w:val="17"/>
        </w:rPr>
        <w:t>(ICAAM), Universidade de E´vora, E´vora, Portugal</w:t>
      </w:r>
    </w:p>
    <w:p w:rsid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B" w:hAnsi="AdvMyriadPro-B" w:cs="AdvMyriadPro-B"/>
          <w:color w:val="231F20"/>
          <w:sz w:val="17"/>
          <w:szCs w:val="17"/>
          <w:lang w:val="en-US"/>
        </w:rPr>
      </w:pP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B" w:hAnsi="AdvMyriadPro-B" w:cs="AdvMyriadPro-B"/>
          <w:b/>
          <w:color w:val="231F20"/>
          <w:sz w:val="17"/>
          <w:szCs w:val="17"/>
          <w:lang w:val="en-US"/>
        </w:rPr>
      </w:pPr>
      <w:r w:rsidRPr="00BD24CF">
        <w:rPr>
          <w:rFonts w:ascii="AdvMyriadPro-B" w:hAnsi="AdvMyriadPro-B" w:cs="AdvMyriadPro-B"/>
          <w:b/>
          <w:color w:val="231F20"/>
          <w:sz w:val="17"/>
          <w:szCs w:val="17"/>
          <w:lang w:val="en-US"/>
        </w:rPr>
        <w:t>Abstract</w:t>
      </w: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I" w:hAnsi="AdvMyriadPro-I" w:cs="AdvMyriadPro-I"/>
          <w:b/>
          <w:color w:val="231F20"/>
          <w:sz w:val="17"/>
          <w:szCs w:val="17"/>
          <w:lang w:val="en-US"/>
        </w:rPr>
      </w:pP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jc w:val="both"/>
        <w:rPr>
          <w:rFonts w:ascii="AdvMyriadPro-R" w:hAnsi="AdvMyriadPro-R" w:cs="AdvMyriadPro-R"/>
          <w:color w:val="231F20"/>
          <w:sz w:val="17"/>
          <w:szCs w:val="17"/>
          <w:lang w:val="en-US"/>
        </w:rPr>
      </w:pPr>
      <w:r w:rsidRPr="00BD24CF">
        <w:rPr>
          <w:rFonts w:ascii="AdvMyriadPro-I" w:hAnsi="AdvMyriadPro-I" w:cs="AdvMyriadPro-I"/>
          <w:color w:val="231F20"/>
          <w:sz w:val="17"/>
          <w:szCs w:val="17"/>
          <w:lang w:val="en-US"/>
        </w:rPr>
        <w:t xml:space="preserve">Prays </w:t>
      </w:r>
      <w:proofErr w:type="spellStart"/>
      <w:r w:rsidRPr="00BD24CF">
        <w:rPr>
          <w:rFonts w:ascii="AdvMyriadPro-I" w:hAnsi="AdvMyriadPro-I" w:cs="AdvMyriadPro-I"/>
          <w:color w:val="231F20"/>
          <w:sz w:val="17"/>
          <w:szCs w:val="17"/>
          <w:lang w:val="en-US"/>
        </w:rPr>
        <w:t>oleae</w:t>
      </w:r>
      <w:proofErr w:type="spellEnd"/>
      <w:r w:rsidRPr="00BD24CF">
        <w:rPr>
          <w:rFonts w:ascii="AdvMyriadPro-I" w:hAnsi="AdvMyriadPro-I" w:cs="AdvMyriadPro-I"/>
          <w:color w:val="231F20"/>
          <w:sz w:val="17"/>
          <w:szCs w:val="17"/>
          <w:lang w:val="en-US"/>
        </w:rPr>
        <w:t xml:space="preserve"> </w:t>
      </w:r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is one of the most important olive tree pes</w:t>
      </w:r>
      <w:r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ts and a species of interest in </w:t>
      </w:r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evolutionary studies, as it belongs to one of the oldest ex</w:t>
      </w:r>
      <w:r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tant </w:t>
      </w:r>
      <w:proofErr w:type="spellStart"/>
      <w:r>
        <w:rPr>
          <w:rFonts w:ascii="AdvMyriadPro-R" w:hAnsi="AdvMyriadPro-R" w:cs="AdvMyriadPro-R"/>
          <w:color w:val="231F20"/>
          <w:sz w:val="17"/>
          <w:szCs w:val="17"/>
          <w:lang w:val="en-US"/>
        </w:rPr>
        <w:t>superfamilies</w:t>
      </w:r>
      <w:proofErr w:type="spellEnd"/>
      <w:r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 of </w:t>
      </w:r>
      <w:proofErr w:type="spellStart"/>
      <w:r>
        <w:rPr>
          <w:rFonts w:ascii="AdvMyriadPro-R" w:hAnsi="AdvMyriadPro-R" w:cs="AdvMyriadPro-R"/>
          <w:color w:val="231F20"/>
          <w:sz w:val="17"/>
          <w:szCs w:val="17"/>
          <w:lang w:val="en-US"/>
        </w:rPr>
        <w:t>Ditrysian</w:t>
      </w:r>
      <w:proofErr w:type="spellEnd"/>
      <w:r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 </w:t>
      </w:r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Lepidoptera. We determined its </w:t>
      </w:r>
      <w:proofErr w:type="spellStart"/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mitogenome</w:t>
      </w:r>
      <w:proofErr w:type="spellEnd"/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 sequence, a</w:t>
      </w:r>
      <w:r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nd found it has common features </w:t>
      </w:r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for Lepidoptera, e.g. an </w:t>
      </w:r>
      <w:r w:rsidRPr="00BD24CF">
        <w:rPr>
          <w:rFonts w:ascii="AdvPi1" w:hAnsi="AdvPi1" w:cs="AdvPi1"/>
          <w:color w:val="231F20"/>
          <w:sz w:val="17"/>
          <w:szCs w:val="17"/>
          <w:lang w:val="en-US"/>
        </w:rPr>
        <w:t>4</w:t>
      </w:r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80% A + T content, an apparent CGA start codon for </w:t>
      </w:r>
      <w:r w:rsidRPr="00BD24CF">
        <w:rPr>
          <w:rFonts w:ascii="AdvMyriadPro-I" w:hAnsi="AdvMyriadPro-I" w:cs="AdvMyriadPro-I"/>
          <w:color w:val="231F20"/>
          <w:sz w:val="17"/>
          <w:szCs w:val="17"/>
          <w:lang w:val="en-US"/>
        </w:rPr>
        <w:t xml:space="preserve">COX1 </w:t>
      </w:r>
      <w:r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and </w:t>
      </w:r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an ATAGA(T)</w:t>
      </w:r>
      <w:r w:rsidRPr="00BD24CF">
        <w:rPr>
          <w:rFonts w:ascii="AdvMyriadPro-R" w:hAnsi="AdvMyriadPro-R" w:cs="AdvMyriadPro-R"/>
          <w:color w:val="231F20"/>
          <w:sz w:val="11"/>
          <w:szCs w:val="11"/>
          <w:lang w:val="en-US"/>
        </w:rPr>
        <w:t xml:space="preserve">n </w:t>
      </w:r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motif in the control region, which also contains</w:t>
      </w:r>
      <w:r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 several copies of a 163-164 </w:t>
      </w:r>
      <w:proofErr w:type="spellStart"/>
      <w:r>
        <w:rPr>
          <w:rFonts w:ascii="AdvMyriadPro-R" w:hAnsi="AdvMyriadPro-R" w:cs="AdvMyriadPro-R"/>
          <w:color w:val="231F20"/>
          <w:sz w:val="17"/>
          <w:szCs w:val="17"/>
          <w:lang w:val="en-US"/>
        </w:rPr>
        <w:t>bp</w:t>
      </w:r>
      <w:proofErr w:type="spellEnd"/>
      <w:r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 </w:t>
      </w:r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repeat. Importantly, the </w:t>
      </w:r>
      <w:proofErr w:type="spellStart"/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mitogenome</w:t>
      </w:r>
      <w:proofErr w:type="spellEnd"/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 displays the Met-Ile-</w:t>
      </w:r>
      <w:proofErr w:type="spellStart"/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Gln</w:t>
      </w:r>
      <w:proofErr w:type="spellEnd"/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 </w:t>
      </w:r>
      <w:proofErr w:type="spellStart"/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tRNA</w:t>
      </w:r>
      <w:proofErr w:type="spellEnd"/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 gene order ty</w:t>
      </w:r>
      <w:r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pical of </w:t>
      </w:r>
      <w:proofErr w:type="spellStart"/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Ditrysia</w:t>
      </w:r>
      <w:proofErr w:type="spellEnd"/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, consistent with the hypothesis that this is a </w:t>
      </w:r>
      <w:proofErr w:type="spellStart"/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synapomorphy</w:t>
      </w:r>
      <w:proofErr w:type="spellEnd"/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 xml:space="preserve"> of that clade.</w:t>
      </w:r>
    </w:p>
    <w:p w:rsid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B" w:hAnsi="AdvMyriadPro-B" w:cs="AdvMyriadPro-B"/>
          <w:color w:val="231F20"/>
          <w:sz w:val="17"/>
          <w:szCs w:val="17"/>
          <w:lang w:val="en-US"/>
        </w:rPr>
      </w:pP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B" w:hAnsi="AdvMyriadPro-B" w:cs="AdvMyriadPro-B"/>
          <w:b/>
          <w:color w:val="231F20"/>
          <w:sz w:val="17"/>
          <w:szCs w:val="17"/>
          <w:lang w:val="en-US"/>
        </w:rPr>
      </w:pPr>
      <w:r w:rsidRPr="00BD24CF">
        <w:rPr>
          <w:rFonts w:ascii="AdvMyriadPro-B" w:hAnsi="AdvMyriadPro-B" w:cs="AdvMyriadPro-B"/>
          <w:b/>
          <w:color w:val="231F20"/>
          <w:sz w:val="17"/>
          <w:szCs w:val="17"/>
          <w:lang w:val="en-US"/>
        </w:rPr>
        <w:t>Keywords</w:t>
      </w:r>
    </w:p>
    <w:p w:rsid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R" w:hAnsi="AdvMyriadPro-R" w:cs="AdvMyriadPro-R"/>
          <w:color w:val="231F20"/>
          <w:sz w:val="17"/>
          <w:szCs w:val="17"/>
          <w:lang w:val="en-US"/>
        </w:rPr>
      </w:pP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R" w:hAnsi="AdvMyriadPro-R" w:cs="AdvMyriadPro-R"/>
          <w:color w:val="231F20"/>
          <w:sz w:val="17"/>
          <w:szCs w:val="17"/>
          <w:lang w:val="en-US"/>
        </w:rPr>
      </w:pPr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Genetics, mitochondrial genome, olive moth,</w:t>
      </w: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I" w:hAnsi="AdvMyriadPro-I" w:cs="AdvMyriadPro-I"/>
          <w:color w:val="231F20"/>
          <w:sz w:val="17"/>
          <w:szCs w:val="17"/>
          <w:lang w:val="en-US"/>
        </w:rPr>
      </w:pPr>
      <w:r w:rsidRPr="00BD24CF">
        <w:rPr>
          <w:rFonts w:ascii="AdvMyriadPro-I" w:hAnsi="AdvMyriadPro-I" w:cs="AdvMyriadPro-I"/>
          <w:color w:val="231F20"/>
          <w:sz w:val="17"/>
          <w:szCs w:val="17"/>
          <w:lang w:val="en-US"/>
        </w:rPr>
        <w:t xml:space="preserve">Prays </w:t>
      </w:r>
      <w:proofErr w:type="spellStart"/>
      <w:r w:rsidRPr="00BD24CF">
        <w:rPr>
          <w:rFonts w:ascii="AdvMyriadPro-I" w:hAnsi="AdvMyriadPro-I" w:cs="AdvMyriadPro-I"/>
          <w:color w:val="231F20"/>
          <w:sz w:val="17"/>
          <w:szCs w:val="17"/>
          <w:lang w:val="en-US"/>
        </w:rPr>
        <w:t>oleae</w:t>
      </w:r>
      <w:proofErr w:type="spellEnd"/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B" w:hAnsi="AdvMyriadPro-B" w:cs="AdvMyriadPro-B"/>
          <w:color w:val="231F20"/>
          <w:sz w:val="17"/>
          <w:szCs w:val="17"/>
          <w:lang w:val="en-US"/>
        </w:rPr>
      </w:pPr>
      <w:r w:rsidRPr="00BD24CF">
        <w:rPr>
          <w:rFonts w:ascii="AdvMyriadPro-B" w:hAnsi="AdvMyriadPro-B" w:cs="AdvMyriadPro-B"/>
          <w:color w:val="231F20"/>
          <w:sz w:val="17"/>
          <w:szCs w:val="17"/>
          <w:lang w:val="en-US"/>
        </w:rPr>
        <w:t>History</w:t>
      </w:r>
    </w:p>
    <w:p w:rsid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R" w:hAnsi="AdvMyriadPro-R" w:cs="AdvMyriadPro-R"/>
          <w:color w:val="231F20"/>
          <w:sz w:val="17"/>
          <w:szCs w:val="17"/>
          <w:lang w:val="en-US"/>
        </w:rPr>
      </w:pP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R" w:hAnsi="AdvMyriadPro-R" w:cs="AdvMyriadPro-R"/>
          <w:color w:val="231F20"/>
          <w:sz w:val="17"/>
          <w:szCs w:val="17"/>
          <w:lang w:val="en-US"/>
        </w:rPr>
      </w:pPr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Received 10 October 2014</w:t>
      </w:r>
    </w:p>
    <w:p w:rsidR="00BD24CF" w:rsidRPr="00BD24CF" w:rsidRDefault="00BD24CF" w:rsidP="00BD24CF">
      <w:pPr>
        <w:autoSpaceDE w:val="0"/>
        <w:autoSpaceDN w:val="0"/>
        <w:adjustRightInd w:val="0"/>
        <w:spacing w:after="0" w:line="240" w:lineRule="auto"/>
        <w:rPr>
          <w:rFonts w:ascii="AdvMyriadPro-R" w:hAnsi="AdvMyriadPro-R" w:cs="AdvMyriadPro-R"/>
          <w:color w:val="231F20"/>
          <w:sz w:val="17"/>
          <w:szCs w:val="17"/>
          <w:lang w:val="en-US"/>
        </w:rPr>
      </w:pPr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Accepted 27 October 2014</w:t>
      </w:r>
    </w:p>
    <w:p w:rsidR="003C0DD2" w:rsidRPr="00BD24CF" w:rsidRDefault="00BD24CF" w:rsidP="00BD24CF">
      <w:pPr>
        <w:rPr>
          <w:lang w:val="en-US"/>
        </w:rPr>
      </w:pPr>
      <w:r w:rsidRPr="00BD24CF">
        <w:rPr>
          <w:rFonts w:ascii="AdvMyriadPro-R" w:hAnsi="AdvMyriadPro-R" w:cs="AdvMyriadPro-R"/>
          <w:color w:val="231F20"/>
          <w:sz w:val="17"/>
          <w:szCs w:val="17"/>
          <w:lang w:val="en-US"/>
        </w:rPr>
        <w:t>Published online 25 November 2014</w:t>
      </w:r>
    </w:p>
    <w:sectPr w:rsidR="003C0DD2" w:rsidRPr="00BD2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MyriadPro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yriadPro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5fcf1b2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2A1B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yriadPro-S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yriadPro-SB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79F8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yriadPro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i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F"/>
    <w:rsid w:val="003C0DD2"/>
    <w:rsid w:val="00BD24CF"/>
    <w:rsid w:val="00E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1276</Characters>
  <Application>Microsoft Office Word</Application>
  <DocSecurity>0</DocSecurity>
  <Lines>10</Lines>
  <Paragraphs>3</Paragraphs>
  <ScaleCrop>false</ScaleCrop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frei</cp:lastModifiedBy>
  <cp:revision>2</cp:revision>
  <dcterms:created xsi:type="dcterms:W3CDTF">2015-02-27T12:34:00Z</dcterms:created>
  <dcterms:modified xsi:type="dcterms:W3CDTF">2015-02-27T12:36:00Z</dcterms:modified>
</cp:coreProperties>
</file>