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AAE" w:rsidRPr="00B15272" w:rsidRDefault="003122F5" w:rsidP="00B15272">
      <w:pPr>
        <w:jc w:val="center"/>
        <w:rPr>
          <w:rFonts w:ascii="Book Antiqua" w:hAnsi="Book Antiqua"/>
          <w:i/>
          <w:sz w:val="28"/>
          <w:szCs w:val="28"/>
        </w:rPr>
      </w:pPr>
      <w:r w:rsidRPr="00B15272">
        <w:rPr>
          <w:rFonts w:ascii="Book Antiqua" w:hAnsi="Book Antiqua"/>
          <w:i/>
          <w:sz w:val="28"/>
          <w:szCs w:val="28"/>
        </w:rPr>
        <w:t xml:space="preserve">O contexto da didáctica instrumental no Portugal quinhentista </w:t>
      </w:r>
      <w:r w:rsidR="00B503D7">
        <w:rPr>
          <w:rFonts w:ascii="Book Antiqua" w:hAnsi="Book Antiqua"/>
          <w:i/>
          <w:sz w:val="28"/>
          <w:szCs w:val="28"/>
        </w:rPr>
        <w:t xml:space="preserve">e seiscentista </w:t>
      </w:r>
      <w:r w:rsidRPr="00B15272">
        <w:rPr>
          <w:rFonts w:ascii="Book Antiqua" w:hAnsi="Book Antiqua"/>
          <w:i/>
          <w:sz w:val="28"/>
          <w:szCs w:val="28"/>
        </w:rPr>
        <w:t>– o caso do</w:t>
      </w:r>
      <w:r w:rsidR="00B503D7">
        <w:rPr>
          <w:rFonts w:ascii="Book Antiqua" w:hAnsi="Book Antiqua"/>
          <w:i/>
          <w:sz w:val="28"/>
          <w:szCs w:val="28"/>
        </w:rPr>
        <w:t>s</w:t>
      </w:r>
      <w:r w:rsidRPr="00B15272">
        <w:rPr>
          <w:rFonts w:ascii="Book Antiqua" w:hAnsi="Book Antiqua"/>
          <w:i/>
          <w:sz w:val="28"/>
          <w:szCs w:val="28"/>
        </w:rPr>
        <w:t xml:space="preserve"> Mosteiro</w:t>
      </w:r>
      <w:r w:rsidR="00B503D7">
        <w:rPr>
          <w:rFonts w:ascii="Book Antiqua" w:hAnsi="Book Antiqua"/>
          <w:i/>
          <w:sz w:val="28"/>
          <w:szCs w:val="28"/>
        </w:rPr>
        <w:t>s</w:t>
      </w:r>
      <w:r w:rsidRPr="00B15272">
        <w:rPr>
          <w:rFonts w:ascii="Book Antiqua" w:hAnsi="Book Antiqua"/>
          <w:i/>
          <w:sz w:val="28"/>
          <w:szCs w:val="28"/>
        </w:rPr>
        <w:t xml:space="preserve"> de Santa Cruz de Coimbra</w:t>
      </w:r>
      <w:r w:rsidR="00B503D7">
        <w:rPr>
          <w:rFonts w:ascii="Book Antiqua" w:hAnsi="Book Antiqua"/>
          <w:i/>
          <w:sz w:val="28"/>
          <w:szCs w:val="28"/>
        </w:rPr>
        <w:t xml:space="preserve"> e de São Vicente de Fora de Lisboa</w:t>
      </w:r>
    </w:p>
    <w:p w:rsidR="00B15272" w:rsidRDefault="00B15272" w:rsidP="00B15272">
      <w:pPr>
        <w:jc w:val="center"/>
        <w:rPr>
          <w:rFonts w:ascii="Book Antiqua" w:hAnsi="Book Antiqua"/>
          <w:sz w:val="28"/>
          <w:szCs w:val="28"/>
        </w:rPr>
      </w:pPr>
    </w:p>
    <w:p w:rsidR="006F5AAE" w:rsidRDefault="00B15272" w:rsidP="00B15272">
      <w:pPr>
        <w:jc w:val="center"/>
        <w:rPr>
          <w:rFonts w:ascii="Book Antiqua" w:hAnsi="Book Antiqua"/>
          <w:sz w:val="28"/>
          <w:szCs w:val="28"/>
        </w:rPr>
      </w:pPr>
      <w:r>
        <w:rPr>
          <w:rFonts w:ascii="Book Antiqua" w:hAnsi="Book Antiqua"/>
          <w:sz w:val="28"/>
          <w:szCs w:val="28"/>
        </w:rPr>
        <w:t>Filipe Mesquita de Oliveira</w:t>
      </w:r>
    </w:p>
    <w:p w:rsidR="006F5AAE" w:rsidRDefault="006F5AAE">
      <w:pPr>
        <w:rPr>
          <w:rFonts w:ascii="Book Antiqua" w:hAnsi="Book Antiqua"/>
          <w:sz w:val="28"/>
          <w:szCs w:val="28"/>
        </w:rPr>
      </w:pPr>
    </w:p>
    <w:p w:rsidR="009B447E" w:rsidRDefault="006F5AAE" w:rsidP="006F5AAE">
      <w:pPr>
        <w:jc w:val="both"/>
        <w:rPr>
          <w:rFonts w:ascii="Book Antiqua" w:hAnsi="Book Antiqua"/>
          <w:sz w:val="28"/>
          <w:szCs w:val="28"/>
        </w:rPr>
      </w:pPr>
      <w:r>
        <w:rPr>
          <w:rFonts w:ascii="Book Antiqua" w:hAnsi="Book Antiqua"/>
          <w:sz w:val="28"/>
          <w:szCs w:val="28"/>
        </w:rPr>
        <w:tab/>
        <w:t xml:space="preserve">A voz humana sempre foi, e ainda é </w:t>
      </w:r>
      <w:r w:rsidR="009A3821">
        <w:rPr>
          <w:rFonts w:ascii="Book Antiqua" w:hAnsi="Book Antiqua"/>
          <w:sz w:val="28"/>
          <w:szCs w:val="28"/>
        </w:rPr>
        <w:t xml:space="preserve">em certa medida </w:t>
      </w:r>
      <w:bookmarkStart w:id="0" w:name="_GoBack"/>
      <w:bookmarkEnd w:id="0"/>
      <w:r>
        <w:rPr>
          <w:rFonts w:ascii="Book Antiqua" w:hAnsi="Book Antiqua"/>
          <w:sz w:val="28"/>
          <w:szCs w:val="28"/>
        </w:rPr>
        <w:t>hoje em dia, o mais excelso dos instrumentos musicais. Conta-nos a mitologia grega que Orfeu apaziguava as fúrias dos infernos através do seu canto. Mas ao fazê-lo acompanhava-se pela lira, que servia de suporte musical de fundo à sua voz. Desde tempos imemoriais na história o instrumento musical teve um lugar subalterno, «inferior à voz humana», cuja função era de acompanhá-la, ou tão só dobrá-la. Historicamente, tal situação começa a mudar de feição cerca de inícios do século XVI, com a afirmação gradual dos instrumentos musicais, que resultaria na sua autonomização progressiva relativamente à identidade vocal.</w:t>
      </w:r>
      <w:r w:rsidR="00CC2CB1">
        <w:rPr>
          <w:rFonts w:ascii="Book Antiqua" w:hAnsi="Book Antiqua"/>
          <w:sz w:val="28"/>
          <w:szCs w:val="28"/>
        </w:rPr>
        <w:t xml:space="preserve"> </w:t>
      </w:r>
      <w:r w:rsidR="00DE36AA">
        <w:rPr>
          <w:rFonts w:ascii="Book Antiqua" w:hAnsi="Book Antiqua"/>
          <w:sz w:val="28"/>
          <w:szCs w:val="28"/>
        </w:rPr>
        <w:t>Em Portugal, semelhante realidade histórica é objectivada pela actividade musical no</w:t>
      </w:r>
      <w:r w:rsidR="00B503D7">
        <w:rPr>
          <w:rFonts w:ascii="Book Antiqua" w:hAnsi="Book Antiqua"/>
          <w:sz w:val="28"/>
          <w:szCs w:val="28"/>
        </w:rPr>
        <w:t>s</w:t>
      </w:r>
      <w:r w:rsidR="00DE36AA">
        <w:rPr>
          <w:rFonts w:ascii="Book Antiqua" w:hAnsi="Book Antiqua"/>
          <w:sz w:val="28"/>
          <w:szCs w:val="28"/>
        </w:rPr>
        <w:t xml:space="preserve"> Mosteiro</w:t>
      </w:r>
      <w:r w:rsidR="00B503D7">
        <w:rPr>
          <w:rFonts w:ascii="Book Antiqua" w:hAnsi="Book Antiqua"/>
          <w:sz w:val="28"/>
          <w:szCs w:val="28"/>
        </w:rPr>
        <w:t>s</w:t>
      </w:r>
      <w:r w:rsidR="00DE36AA">
        <w:rPr>
          <w:rFonts w:ascii="Book Antiqua" w:hAnsi="Book Antiqua"/>
          <w:sz w:val="28"/>
          <w:szCs w:val="28"/>
        </w:rPr>
        <w:t xml:space="preserve"> de Santa Cruz de Coimbra, sobretudo de meados do século XVI em diante</w:t>
      </w:r>
      <w:r w:rsidR="00B503D7">
        <w:rPr>
          <w:rFonts w:ascii="Book Antiqua" w:hAnsi="Book Antiqua"/>
          <w:sz w:val="28"/>
          <w:szCs w:val="28"/>
        </w:rPr>
        <w:t>, e de S. Vicente de Fora de Lisboa.</w:t>
      </w:r>
      <w:r w:rsidR="00DE36AA">
        <w:rPr>
          <w:rFonts w:ascii="Book Antiqua" w:hAnsi="Book Antiqua"/>
          <w:sz w:val="28"/>
          <w:szCs w:val="28"/>
        </w:rPr>
        <w:t xml:space="preserve"> </w:t>
      </w:r>
    </w:p>
    <w:p w:rsidR="00E835ED" w:rsidRPr="00A23D0A" w:rsidRDefault="009B447E" w:rsidP="006F5AAE">
      <w:pPr>
        <w:jc w:val="both"/>
        <w:rPr>
          <w:rFonts w:ascii="Book Antiqua" w:hAnsi="Book Antiqua"/>
          <w:sz w:val="28"/>
          <w:szCs w:val="28"/>
        </w:rPr>
      </w:pPr>
      <w:r>
        <w:rPr>
          <w:rFonts w:ascii="Book Antiqua" w:hAnsi="Book Antiqua"/>
          <w:sz w:val="28"/>
          <w:szCs w:val="28"/>
        </w:rPr>
        <w:tab/>
        <w:t>A presente comunicação tem por finalidade ilustrar o que foi o panorama instrumental nesta</w:t>
      </w:r>
      <w:r w:rsidR="00B503D7">
        <w:rPr>
          <w:rFonts w:ascii="Book Antiqua" w:hAnsi="Book Antiqua"/>
          <w:sz w:val="28"/>
          <w:szCs w:val="28"/>
        </w:rPr>
        <w:t>s</w:t>
      </w:r>
      <w:r>
        <w:rPr>
          <w:rFonts w:ascii="Book Antiqua" w:hAnsi="Book Antiqua"/>
          <w:sz w:val="28"/>
          <w:szCs w:val="28"/>
        </w:rPr>
        <w:t xml:space="preserve"> instituiç</w:t>
      </w:r>
      <w:r w:rsidR="00B503D7">
        <w:rPr>
          <w:rFonts w:ascii="Book Antiqua" w:hAnsi="Book Antiqua"/>
          <w:sz w:val="28"/>
          <w:szCs w:val="28"/>
        </w:rPr>
        <w:t>ões</w:t>
      </w:r>
      <w:r>
        <w:rPr>
          <w:rFonts w:ascii="Book Antiqua" w:hAnsi="Book Antiqua"/>
          <w:sz w:val="28"/>
          <w:szCs w:val="28"/>
        </w:rPr>
        <w:t xml:space="preserve"> eclesiástica</w:t>
      </w:r>
      <w:r w:rsidR="00B503D7">
        <w:rPr>
          <w:rFonts w:ascii="Book Antiqua" w:hAnsi="Book Antiqua"/>
          <w:sz w:val="28"/>
          <w:szCs w:val="28"/>
        </w:rPr>
        <w:t>s</w:t>
      </w:r>
      <w:r>
        <w:rPr>
          <w:rFonts w:ascii="Book Antiqua" w:hAnsi="Book Antiqua"/>
          <w:sz w:val="28"/>
          <w:szCs w:val="28"/>
        </w:rPr>
        <w:t>, sobretudo no que diz respeito à didáctica utilizada pelos crúzios, que em muito explica o advento da execução instrumental em Portugal e a sua colagem, em termos de processo de aprendizagem, ao estudo e prática do contraponto imitativo.</w:t>
      </w:r>
      <w:r w:rsidR="001E5D0D">
        <w:rPr>
          <w:rFonts w:ascii="Book Antiqua" w:hAnsi="Book Antiqua"/>
          <w:sz w:val="28"/>
          <w:szCs w:val="28"/>
        </w:rPr>
        <w:t xml:space="preserve"> T</w:t>
      </w:r>
      <w:r w:rsidR="001E5D0D">
        <w:rPr>
          <w:rFonts w:ascii="Book Antiqua" w:hAnsi="Book Antiqua"/>
          <w:sz w:val="28"/>
          <w:szCs w:val="28"/>
        </w:rPr>
        <w:t>iveram a es</w:t>
      </w:r>
      <w:r w:rsidR="001E5D0D">
        <w:rPr>
          <w:rFonts w:ascii="Book Antiqua" w:hAnsi="Book Antiqua"/>
          <w:sz w:val="28"/>
          <w:szCs w:val="28"/>
        </w:rPr>
        <w:t>t</w:t>
      </w:r>
      <w:r w:rsidR="001E5D0D">
        <w:rPr>
          <w:rFonts w:ascii="Book Antiqua" w:hAnsi="Book Antiqua"/>
          <w:sz w:val="28"/>
          <w:szCs w:val="28"/>
        </w:rPr>
        <w:t>e propósito um papel de relevo</w:t>
      </w:r>
      <w:r w:rsidR="001E5D0D">
        <w:rPr>
          <w:rFonts w:ascii="Book Antiqua" w:hAnsi="Book Antiqua"/>
          <w:sz w:val="28"/>
          <w:szCs w:val="28"/>
        </w:rPr>
        <w:t xml:space="preserve"> figuras c</w:t>
      </w:r>
      <w:r w:rsidR="001E5D0D">
        <w:rPr>
          <w:rFonts w:ascii="Book Antiqua" w:hAnsi="Book Antiqua"/>
          <w:sz w:val="28"/>
          <w:szCs w:val="28"/>
        </w:rPr>
        <w:t xml:space="preserve">omo António Carreira (c. 1530-1594?) e Frei Teotónio da Cruz </w:t>
      </w:r>
      <w:r w:rsidR="001E5D0D" w:rsidRPr="00B503D7">
        <w:rPr>
          <w:rFonts w:ascii="Book Antiqua" w:hAnsi="Book Antiqua"/>
          <w:sz w:val="28"/>
          <w:szCs w:val="28"/>
        </w:rPr>
        <w:t>(† 1653)</w:t>
      </w:r>
      <w:r w:rsidR="001E5D0D">
        <w:rPr>
          <w:rFonts w:ascii="Book Antiqua" w:hAnsi="Book Antiqua"/>
          <w:sz w:val="28"/>
          <w:szCs w:val="28"/>
        </w:rPr>
        <w:t xml:space="preserve">, entre muitos outros compositores. </w:t>
      </w:r>
      <w:r w:rsidR="008B3284">
        <w:rPr>
          <w:rFonts w:ascii="Book Antiqua" w:hAnsi="Book Antiqua"/>
          <w:sz w:val="28"/>
          <w:szCs w:val="28"/>
        </w:rPr>
        <w:t>Através de uma série de testemunhos oriundos de alguns dos manuscritos musicais mais relevantes do espólio de Santa Cruz, que são hoje pertença da Biblioteca Geral da Universidade de Coimbra, com particular destaque para os manuscritos 48, 52, 236, 242 e 243</w:t>
      </w:r>
      <w:r w:rsidR="00B15272">
        <w:rPr>
          <w:rFonts w:ascii="Book Antiqua" w:hAnsi="Book Antiqua"/>
          <w:sz w:val="28"/>
          <w:szCs w:val="28"/>
        </w:rPr>
        <w:t>,</w:t>
      </w:r>
      <w:r w:rsidR="008B3284">
        <w:rPr>
          <w:rFonts w:ascii="Book Antiqua" w:hAnsi="Book Antiqua"/>
          <w:sz w:val="28"/>
          <w:szCs w:val="28"/>
        </w:rPr>
        <w:t xml:space="preserve"> </w:t>
      </w:r>
      <w:r w:rsidR="00B15272">
        <w:rPr>
          <w:rFonts w:ascii="Book Antiqua" w:hAnsi="Book Antiqua"/>
          <w:sz w:val="28"/>
          <w:szCs w:val="28"/>
        </w:rPr>
        <w:t>p</w:t>
      </w:r>
      <w:r w:rsidR="008B3284">
        <w:rPr>
          <w:rFonts w:ascii="Book Antiqua" w:hAnsi="Book Antiqua"/>
          <w:sz w:val="28"/>
          <w:szCs w:val="28"/>
        </w:rPr>
        <w:t>retende</w:t>
      </w:r>
      <w:r w:rsidR="00B15272">
        <w:rPr>
          <w:rFonts w:ascii="Book Antiqua" w:hAnsi="Book Antiqua"/>
          <w:sz w:val="28"/>
          <w:szCs w:val="28"/>
        </w:rPr>
        <w:t>mos</w:t>
      </w:r>
      <w:r w:rsidR="008B3284">
        <w:rPr>
          <w:rFonts w:ascii="Book Antiqua" w:hAnsi="Book Antiqua"/>
          <w:sz w:val="28"/>
          <w:szCs w:val="28"/>
        </w:rPr>
        <w:t xml:space="preserve"> numa análise musicológica apresentar esses tão valiosos testemunhos históricos</w:t>
      </w:r>
      <w:r w:rsidR="001E5D0D">
        <w:rPr>
          <w:rFonts w:ascii="Book Antiqua" w:hAnsi="Book Antiqua"/>
          <w:sz w:val="28"/>
          <w:szCs w:val="28"/>
        </w:rPr>
        <w:t xml:space="preserve">. </w:t>
      </w:r>
      <w:r w:rsidR="00B15272">
        <w:rPr>
          <w:rFonts w:ascii="Book Antiqua" w:hAnsi="Book Antiqua"/>
          <w:sz w:val="28"/>
          <w:szCs w:val="28"/>
        </w:rPr>
        <w:t xml:space="preserve">A sua </w:t>
      </w:r>
      <w:r w:rsidR="008B3284">
        <w:rPr>
          <w:rFonts w:ascii="Book Antiqua" w:hAnsi="Book Antiqua"/>
          <w:sz w:val="28"/>
          <w:szCs w:val="28"/>
        </w:rPr>
        <w:t xml:space="preserve">relevância nos dias </w:t>
      </w:r>
      <w:r w:rsidR="00B15272">
        <w:rPr>
          <w:rFonts w:ascii="Book Antiqua" w:hAnsi="Book Antiqua"/>
          <w:sz w:val="28"/>
          <w:szCs w:val="28"/>
        </w:rPr>
        <w:t>que correm</w:t>
      </w:r>
      <w:r w:rsidR="008B3284">
        <w:rPr>
          <w:rFonts w:ascii="Book Antiqua" w:hAnsi="Book Antiqua"/>
          <w:sz w:val="28"/>
          <w:szCs w:val="28"/>
        </w:rPr>
        <w:t xml:space="preserve"> resulta na consciência que devemos ter relativamente </w:t>
      </w:r>
      <w:r w:rsidR="00010E13">
        <w:rPr>
          <w:rFonts w:ascii="Book Antiqua" w:hAnsi="Book Antiqua"/>
          <w:sz w:val="28"/>
          <w:szCs w:val="28"/>
        </w:rPr>
        <w:t xml:space="preserve">aos processos de estudo teórico-musical e prática performativa de outrora e que aproveitamento </w:t>
      </w:r>
      <w:r w:rsidR="00B15272">
        <w:rPr>
          <w:rFonts w:ascii="Book Antiqua" w:hAnsi="Book Antiqua"/>
          <w:sz w:val="28"/>
          <w:szCs w:val="28"/>
        </w:rPr>
        <w:t xml:space="preserve">deles </w:t>
      </w:r>
      <w:r w:rsidR="00010E13">
        <w:rPr>
          <w:rFonts w:ascii="Book Antiqua" w:hAnsi="Book Antiqua"/>
          <w:sz w:val="28"/>
          <w:szCs w:val="28"/>
        </w:rPr>
        <w:t xml:space="preserve">hoje podemos fazer.   </w:t>
      </w:r>
      <w:r w:rsidR="008B3284">
        <w:rPr>
          <w:rFonts w:ascii="Book Antiqua" w:hAnsi="Book Antiqua"/>
          <w:sz w:val="28"/>
          <w:szCs w:val="28"/>
        </w:rPr>
        <w:t xml:space="preserve">          </w:t>
      </w:r>
      <w:r>
        <w:rPr>
          <w:rFonts w:ascii="Book Antiqua" w:hAnsi="Book Antiqua"/>
          <w:sz w:val="28"/>
          <w:szCs w:val="28"/>
        </w:rPr>
        <w:t xml:space="preserve">       </w:t>
      </w:r>
      <w:r w:rsidR="00DE36AA">
        <w:rPr>
          <w:rFonts w:ascii="Book Antiqua" w:hAnsi="Book Antiqua"/>
          <w:sz w:val="28"/>
          <w:szCs w:val="28"/>
        </w:rPr>
        <w:t xml:space="preserve">   </w:t>
      </w:r>
      <w:r w:rsidR="006F5AAE">
        <w:rPr>
          <w:rFonts w:ascii="Book Antiqua" w:hAnsi="Book Antiqua"/>
          <w:sz w:val="28"/>
          <w:szCs w:val="28"/>
        </w:rPr>
        <w:t xml:space="preserve">              </w:t>
      </w:r>
      <w:r w:rsidR="003122F5">
        <w:rPr>
          <w:rFonts w:ascii="Book Antiqua" w:hAnsi="Book Antiqua"/>
          <w:sz w:val="28"/>
          <w:szCs w:val="28"/>
        </w:rPr>
        <w:t xml:space="preserve"> </w:t>
      </w:r>
    </w:p>
    <w:sectPr w:rsidR="00E835ED" w:rsidRPr="00A23D0A" w:rsidSect="00EC54A8">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0A"/>
    <w:rsid w:val="00010E13"/>
    <w:rsid w:val="000D5D1F"/>
    <w:rsid w:val="001E5D0D"/>
    <w:rsid w:val="003122F5"/>
    <w:rsid w:val="006F5AAE"/>
    <w:rsid w:val="008B3284"/>
    <w:rsid w:val="009A3821"/>
    <w:rsid w:val="009B447E"/>
    <w:rsid w:val="00A23D0A"/>
    <w:rsid w:val="00A55DAF"/>
    <w:rsid w:val="00B15272"/>
    <w:rsid w:val="00B503D7"/>
    <w:rsid w:val="00CC2CB1"/>
    <w:rsid w:val="00DE36AA"/>
    <w:rsid w:val="00E835ED"/>
    <w:rsid w:val="00EC54A8"/>
    <w:rsid w:val="00FD09B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341</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dc:creator>
  <cp:lastModifiedBy>Filipe</cp:lastModifiedBy>
  <cp:revision>12</cp:revision>
  <dcterms:created xsi:type="dcterms:W3CDTF">2013-08-22T13:46:00Z</dcterms:created>
  <dcterms:modified xsi:type="dcterms:W3CDTF">2013-08-22T15:18:00Z</dcterms:modified>
</cp:coreProperties>
</file>