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56A" w:rsidRPr="00491954" w:rsidRDefault="00E41978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Garamond-Book"/>
          <w:sz w:val="24"/>
          <w:szCs w:val="20"/>
        </w:rPr>
      </w:pPr>
      <w:r>
        <w:rPr>
          <w:rFonts w:ascii="Times New Roman" w:hAnsi="Times New Roman" w:cs="Garamond-Book"/>
          <w:sz w:val="24"/>
          <w:szCs w:val="20"/>
        </w:rPr>
        <w:t xml:space="preserve">O prognóstico é fraco </w:t>
      </w:r>
      <w:r w:rsidR="00BA056A">
        <w:rPr>
          <w:rFonts w:ascii="Times New Roman" w:hAnsi="Times New Roman" w:cs="Garamond-Book"/>
          <w:sz w:val="24"/>
          <w:szCs w:val="20"/>
        </w:rPr>
        <w:t>com</w:t>
      </w:r>
      <w:r w:rsidR="00BA056A" w:rsidRPr="00407880">
        <w:rPr>
          <w:rFonts w:ascii="Times New Roman" w:hAnsi="Times New Roman" w:cs="Garamond-Book"/>
          <w:sz w:val="24"/>
          <w:szCs w:val="20"/>
        </w:rPr>
        <w:t xml:space="preserve"> difusa infiltração da medula óssea</w:t>
      </w:r>
      <w:r w:rsidR="00BA056A">
        <w:rPr>
          <w:rFonts w:ascii="Times New Roman" w:hAnsi="Times New Roman" w:cs="Garamond-Book"/>
          <w:sz w:val="24"/>
          <w:szCs w:val="20"/>
        </w:rPr>
        <w:t xml:space="preserve"> e</w:t>
      </w:r>
      <w:r w:rsidR="00BA056A" w:rsidRPr="00407880">
        <w:rPr>
          <w:rFonts w:ascii="Times New Roman" w:hAnsi="Times New Roman" w:cs="Garamond-Book"/>
          <w:sz w:val="24"/>
          <w:szCs w:val="20"/>
        </w:rPr>
        <w:t xml:space="preserve"> progredindo com insuficiência</w:t>
      </w:r>
      <w:r w:rsidR="00BA056A">
        <w:rPr>
          <w:rFonts w:ascii="Times New Roman" w:hAnsi="Times New Roman" w:cs="Garamond-Book"/>
          <w:sz w:val="24"/>
          <w:szCs w:val="20"/>
        </w:rPr>
        <w:t xml:space="preserve"> </w:t>
      </w:r>
      <w:r w:rsidR="00A27F2E">
        <w:rPr>
          <w:rFonts w:ascii="Times New Roman" w:hAnsi="Times New Roman" w:cs="Garamond-Book"/>
          <w:sz w:val="24"/>
          <w:szCs w:val="20"/>
        </w:rPr>
        <w:t>renal devido à hipercalcémia [48</w:t>
      </w:r>
      <w:r w:rsidR="00BA056A" w:rsidRPr="00407880">
        <w:rPr>
          <w:rFonts w:ascii="Times New Roman" w:hAnsi="Times New Roman" w:cs="Garamond-Book"/>
          <w:sz w:val="24"/>
          <w:szCs w:val="20"/>
        </w:rPr>
        <w:t>]</w:t>
      </w:r>
    </w:p>
    <w:p w:rsidR="00BA056A" w:rsidRPr="00935DEA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35DEA">
        <w:rPr>
          <w:rFonts w:ascii="Times New Roman" w:hAnsi="Times New Roman" w:cs="Times New Roman"/>
          <w:bCs/>
          <w:sz w:val="24"/>
          <w:szCs w:val="24"/>
        </w:rPr>
        <w:t xml:space="preserve">O </w:t>
      </w:r>
      <w:r>
        <w:rPr>
          <w:rFonts w:ascii="Times New Roman" w:hAnsi="Times New Roman" w:cs="Times New Roman"/>
          <w:bCs/>
          <w:sz w:val="24"/>
          <w:szCs w:val="24"/>
        </w:rPr>
        <w:t>LLB-T</w:t>
      </w:r>
      <w:r w:rsidRPr="00935DEA">
        <w:rPr>
          <w:rFonts w:ascii="Times New Roman" w:hAnsi="Times New Roman" w:cs="Times New Roman"/>
          <w:bCs/>
          <w:sz w:val="24"/>
          <w:szCs w:val="24"/>
        </w:rPr>
        <w:t xml:space="preserve"> pode ser distinguido do </w:t>
      </w:r>
      <w:r>
        <w:rPr>
          <w:rFonts w:ascii="Times New Roman" w:hAnsi="Times New Roman" w:cs="Times New Roman"/>
          <w:bCs/>
          <w:sz w:val="24"/>
          <w:szCs w:val="24"/>
        </w:rPr>
        <w:t>LPCT</w:t>
      </w:r>
      <w:r w:rsidRPr="00935DEA">
        <w:rPr>
          <w:rFonts w:ascii="Times New Roman" w:hAnsi="Times New Roman" w:cs="Times New Roman"/>
          <w:bCs/>
          <w:sz w:val="24"/>
          <w:szCs w:val="24"/>
        </w:rPr>
        <w:t xml:space="preserve"> de tamanho semelh</w:t>
      </w:r>
      <w:r>
        <w:rPr>
          <w:rFonts w:ascii="Times New Roman" w:hAnsi="Times New Roman" w:cs="Times New Roman"/>
          <w:bCs/>
          <w:sz w:val="24"/>
          <w:szCs w:val="24"/>
        </w:rPr>
        <w:t xml:space="preserve">ante pelo facto que o último apresenta </w:t>
      </w:r>
      <w:r w:rsidRPr="00935DEA">
        <w:rPr>
          <w:rFonts w:ascii="Times New Roman" w:hAnsi="Times New Roman" w:cs="Times New Roman"/>
          <w:bCs/>
          <w:sz w:val="24"/>
          <w:szCs w:val="24"/>
        </w:rPr>
        <w:t xml:space="preserve">mais mitoses </w:t>
      </w:r>
      <w:r>
        <w:rPr>
          <w:rFonts w:ascii="Times New Roman" w:hAnsi="Times New Roman" w:cs="Times New Roman"/>
          <w:bCs/>
          <w:sz w:val="24"/>
          <w:szCs w:val="24"/>
        </w:rPr>
        <w:t xml:space="preserve">e </w:t>
      </w:r>
      <w:r w:rsidRPr="00935DEA">
        <w:rPr>
          <w:rFonts w:ascii="Times New Roman" w:hAnsi="Times New Roman" w:cs="Times New Roman"/>
          <w:bCs/>
          <w:sz w:val="24"/>
          <w:szCs w:val="24"/>
        </w:rPr>
        <w:t>nucléolos</w:t>
      </w:r>
      <w:r>
        <w:rPr>
          <w:rFonts w:ascii="Times New Roman" w:hAnsi="Times New Roman" w:cs="Times New Roman"/>
          <w:bCs/>
          <w:sz w:val="24"/>
          <w:szCs w:val="24"/>
        </w:rPr>
        <w:t xml:space="preserve"> mais </w:t>
      </w:r>
      <w:r w:rsidRPr="00935DEA">
        <w:rPr>
          <w:rFonts w:ascii="Times New Roman" w:hAnsi="Times New Roman" w:cs="Times New Roman"/>
          <w:bCs/>
          <w:sz w:val="24"/>
          <w:szCs w:val="24"/>
        </w:rPr>
        <w:t>proeminente</w:t>
      </w:r>
      <w:r>
        <w:rPr>
          <w:rFonts w:ascii="Times New Roman" w:hAnsi="Times New Roman" w:cs="Times New Roman"/>
          <w:bCs/>
          <w:sz w:val="24"/>
          <w:szCs w:val="24"/>
        </w:rPr>
        <w:t>. Deve também ser distinguido</w:t>
      </w:r>
      <w:r w:rsidRPr="00935DEA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LLB-T de L</w:t>
      </w:r>
      <w:r w:rsidRPr="00935DEA">
        <w:rPr>
          <w:rFonts w:ascii="Times New Roman" w:hAnsi="Times New Roman" w:cs="Times New Roman"/>
          <w:bCs/>
          <w:sz w:val="24"/>
          <w:szCs w:val="24"/>
        </w:rPr>
        <w:t>L</w:t>
      </w:r>
      <w:r>
        <w:rPr>
          <w:rFonts w:ascii="Times New Roman" w:hAnsi="Times New Roman" w:cs="Times New Roman"/>
          <w:bCs/>
          <w:sz w:val="24"/>
          <w:szCs w:val="24"/>
        </w:rPr>
        <w:t>B-B</w:t>
      </w:r>
      <w:r w:rsidRPr="00935DEA">
        <w:rPr>
          <w:rFonts w:ascii="Times New Roman" w:hAnsi="Times New Roman" w:cs="Times New Roman"/>
          <w:bCs/>
          <w:sz w:val="24"/>
          <w:szCs w:val="24"/>
        </w:rPr>
        <w:t xml:space="preserve"> através de imunohistoquímica e de </w:t>
      </w:r>
      <w:r>
        <w:rPr>
          <w:rFonts w:ascii="Times New Roman" w:hAnsi="Times New Roman" w:cs="Times New Roman"/>
          <w:bCs/>
          <w:sz w:val="24"/>
          <w:szCs w:val="24"/>
        </w:rPr>
        <w:t>LLA-</w:t>
      </w:r>
      <w:r w:rsidRPr="00935DEA">
        <w:rPr>
          <w:rFonts w:ascii="Times New Roman" w:hAnsi="Times New Roman" w:cs="Times New Roman"/>
          <w:bCs/>
          <w:sz w:val="24"/>
          <w:szCs w:val="24"/>
        </w:rPr>
        <w:t>T com base no envolvimento topográfico</w:t>
      </w:r>
      <w:r>
        <w:rPr>
          <w:rFonts w:ascii="Times New Roman" w:hAnsi="Times New Roman" w:cs="Times New Roman"/>
          <w:bCs/>
          <w:sz w:val="24"/>
          <w:szCs w:val="24"/>
        </w:rPr>
        <w:t xml:space="preserve"> [5</w:t>
      </w:r>
      <w:r w:rsidR="00A27F2E">
        <w:rPr>
          <w:rFonts w:ascii="Times New Roman" w:hAnsi="Times New Roman" w:cs="Times New Roman"/>
          <w:bCs/>
          <w:sz w:val="24"/>
          <w:szCs w:val="24"/>
        </w:rPr>
        <w:t>3</w:t>
      </w:r>
      <w:r>
        <w:rPr>
          <w:rFonts w:ascii="Times New Roman" w:hAnsi="Times New Roman" w:cs="Times New Roman"/>
          <w:bCs/>
          <w:sz w:val="24"/>
          <w:szCs w:val="24"/>
        </w:rPr>
        <w:t>]</w:t>
      </w:r>
      <w:r w:rsidRPr="00935DEA">
        <w:rPr>
          <w:rFonts w:ascii="Times New Roman" w:hAnsi="Times New Roman" w:cs="Times New Roman"/>
          <w:bCs/>
          <w:sz w:val="24"/>
          <w:szCs w:val="24"/>
        </w:rPr>
        <w:t>.</w:t>
      </w:r>
    </w:p>
    <w:p w:rsidR="00BA056A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  <w:r>
        <w:rPr>
          <w:rFonts w:ascii="LegacySans-Bold" w:hAnsi="LegacySans-Bold" w:cs="LegacySans-Bold"/>
          <w:b/>
          <w:bCs/>
          <w:noProof/>
          <w:sz w:val="20"/>
          <w:szCs w:val="20"/>
          <w:lang w:eastAsia="pt-PT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2287905</wp:posOffset>
            </wp:positionH>
            <wp:positionV relativeFrom="paragraph">
              <wp:posOffset>131445</wp:posOffset>
            </wp:positionV>
            <wp:extent cx="3120390" cy="2083435"/>
            <wp:effectExtent l="19050" t="0" r="3810" b="0"/>
            <wp:wrapTight wrapText="bothSides">
              <wp:wrapPolygon edited="0">
                <wp:start x="-132" y="0"/>
                <wp:lineTo x="-132" y="21330"/>
                <wp:lineTo x="21626" y="21330"/>
                <wp:lineTo x="21626" y="0"/>
                <wp:lineTo x="-132" y="0"/>
              </wp:wrapPolygon>
            </wp:wrapTight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50265" b="55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208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056A" w:rsidRPr="00911AE2" w:rsidRDefault="00BA056A" w:rsidP="00BA056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Fig. 3</w:t>
      </w:r>
      <w:r w:rsidR="00E41978">
        <w:rPr>
          <w:rFonts w:ascii="Times New Roman" w:hAnsi="Times New Roman" w:cs="Times New Roman"/>
          <w:b/>
          <w:sz w:val="20"/>
          <w:szCs w:val="20"/>
        </w:rPr>
        <w:t>1</w:t>
      </w:r>
      <w:r w:rsidRPr="00935DEA">
        <w:rPr>
          <w:rFonts w:ascii="Times New Roman" w:hAnsi="Times New Roman" w:cs="Times New Roman"/>
          <w:sz w:val="20"/>
          <w:szCs w:val="20"/>
        </w:rPr>
        <w:t xml:space="preserve"> </w:t>
      </w:r>
      <w:r w:rsidRPr="00911AE2">
        <w:rPr>
          <w:rFonts w:ascii="Times New Roman" w:hAnsi="Times New Roman" w:cs="Times New Roman"/>
          <w:sz w:val="20"/>
          <w:szCs w:val="20"/>
        </w:rPr>
        <w:t>Corte histológico de linfonodo com linfoma linfo</w:t>
      </w:r>
      <w:r>
        <w:rPr>
          <w:rFonts w:ascii="Times New Roman" w:hAnsi="Times New Roman" w:cs="Times New Roman"/>
          <w:sz w:val="20"/>
          <w:szCs w:val="20"/>
        </w:rPr>
        <w:t xml:space="preserve">blástico (LLB). </w:t>
      </w:r>
      <w:r w:rsidRPr="00911AE2">
        <w:rPr>
          <w:rFonts w:ascii="Times New Roman" w:hAnsi="Times New Roman" w:cs="Times New Roman"/>
          <w:sz w:val="20"/>
          <w:szCs w:val="20"/>
        </w:rPr>
        <w:t>Os núcleos das células neoplásicas são de tamanho intermédio</w:t>
      </w:r>
      <w:r>
        <w:rPr>
          <w:rFonts w:ascii="Times New Roman" w:hAnsi="Times New Roman" w:cs="Times New Roman"/>
          <w:sz w:val="20"/>
          <w:szCs w:val="20"/>
        </w:rPr>
        <w:t xml:space="preserve"> com a</w:t>
      </w:r>
      <w:r w:rsidRPr="00911AE2">
        <w:rPr>
          <w:rFonts w:ascii="Times New Roman" w:hAnsi="Times New Roman" w:cs="Times New Roman"/>
          <w:sz w:val="20"/>
          <w:szCs w:val="20"/>
        </w:rPr>
        <w:t>nisocariose moderada e a cromatina é finamente dispersa. Os nucléolos estão presentes mas não facilmente visíveis</w:t>
      </w:r>
      <w:r>
        <w:rPr>
          <w:rFonts w:ascii="Times New Roman" w:hAnsi="Times New Roman" w:cs="Times New Roman"/>
          <w:sz w:val="20"/>
          <w:szCs w:val="20"/>
        </w:rPr>
        <w:t>,</w:t>
      </w:r>
      <w:r w:rsidRPr="00911AE2">
        <w:rPr>
          <w:rFonts w:ascii="Times New Roman" w:hAnsi="Times New Roman" w:cs="Times New Roman"/>
          <w:sz w:val="20"/>
          <w:szCs w:val="20"/>
        </w:rPr>
        <w:t xml:space="preserve"> obscurecidos pela cromatina dispersa</w:t>
      </w:r>
      <w:r w:rsidR="00A27F2E">
        <w:rPr>
          <w:rFonts w:ascii="Times New Roman" w:hAnsi="Times New Roman" w:cs="Times New Roman"/>
          <w:sz w:val="20"/>
          <w:szCs w:val="20"/>
        </w:rPr>
        <w:t>. Coloração H&amp;E. [Adaptado de 53</w:t>
      </w:r>
      <w:r>
        <w:rPr>
          <w:rFonts w:ascii="Times New Roman" w:hAnsi="Times New Roman" w:cs="Times New Roman"/>
          <w:sz w:val="20"/>
          <w:szCs w:val="20"/>
        </w:rPr>
        <w:t xml:space="preserve">] </w:t>
      </w:r>
      <w:r w:rsidRPr="00911AE2">
        <w:rPr>
          <w:rFonts w:ascii="Times New Roman" w:hAnsi="Times New Roman" w:cs="Times New Roman"/>
          <w:sz w:val="20"/>
          <w:szCs w:val="20"/>
        </w:rPr>
        <w:t xml:space="preserve"> </w:t>
      </w:r>
    </w:p>
    <w:p w:rsidR="00BA056A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BA056A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BA056A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BA056A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BA056A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pt-PT"/>
        </w:rPr>
        <w:drawing>
          <wp:inline distT="0" distB="0" distL="0" distR="0">
            <wp:extent cx="3521592" cy="2310418"/>
            <wp:effectExtent l="19050" t="0" r="2658" b="0"/>
            <wp:docPr id="37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075" cy="2317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56A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BA056A" w:rsidRDefault="00E41978" w:rsidP="00BA056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Fig. 32</w:t>
      </w:r>
      <w:r w:rsidR="00BA056A" w:rsidRPr="00471590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BA056A">
        <w:rPr>
          <w:rFonts w:ascii="Times New Roman" w:hAnsi="Times New Roman" w:cs="Times New Roman"/>
          <w:bCs/>
          <w:sz w:val="20"/>
          <w:szCs w:val="20"/>
        </w:rPr>
        <w:t>Amostra citológica de PAAF de linfonodo canino com linfoma linfoblástico de células T. O número de figuras mitóticas pode exceder 5 por campo de objectiva de 40X ou 50X. As células têm citoplasma escasso e sem nucléolos distintos. Coloração Wrigh</w:t>
      </w:r>
      <w:r w:rsidR="00A27F2E">
        <w:rPr>
          <w:rFonts w:ascii="Times New Roman" w:hAnsi="Times New Roman" w:cs="Times New Roman"/>
          <w:bCs/>
          <w:sz w:val="20"/>
          <w:szCs w:val="20"/>
        </w:rPr>
        <w:t>t- Giemsa, 500X. [Adaptado de 48</w:t>
      </w:r>
      <w:r w:rsidR="00BA056A">
        <w:rPr>
          <w:rFonts w:ascii="Times New Roman" w:hAnsi="Times New Roman" w:cs="Times New Roman"/>
          <w:bCs/>
          <w:sz w:val="20"/>
          <w:szCs w:val="20"/>
        </w:rPr>
        <w:t>]</w:t>
      </w:r>
    </w:p>
    <w:p w:rsidR="00BA056A" w:rsidRPr="00CC0EF3" w:rsidRDefault="00BA056A" w:rsidP="00BA056A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sz w:val="20"/>
          <w:szCs w:val="20"/>
        </w:rPr>
      </w:pPr>
    </w:p>
    <w:p w:rsidR="00BA056A" w:rsidRPr="00911733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5150D">
        <w:rPr>
          <w:rFonts w:ascii="Times New Roman" w:hAnsi="Times New Roman" w:cs="Times New Roman"/>
          <w:bCs/>
          <w:sz w:val="24"/>
          <w:szCs w:val="24"/>
        </w:rPr>
        <w:t>O linfoma folicular</w:t>
      </w:r>
      <w:r>
        <w:rPr>
          <w:rFonts w:ascii="Times New Roman" w:hAnsi="Times New Roman" w:cs="Times New Roman"/>
          <w:bCs/>
          <w:sz w:val="24"/>
          <w:szCs w:val="24"/>
        </w:rPr>
        <w:t xml:space="preserve"> (FL) em humanos constitui mai</w:t>
      </w:r>
      <w:r w:rsidR="00A3297A">
        <w:rPr>
          <w:rFonts w:ascii="Times New Roman" w:hAnsi="Times New Roman" w:cs="Times New Roman"/>
          <w:bCs/>
          <w:sz w:val="24"/>
          <w:szCs w:val="24"/>
        </w:rPr>
        <w:t>s de 30% dos casos de linfoma na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3297A">
        <w:rPr>
          <w:rFonts w:ascii="Times New Roman" w:hAnsi="Times New Roman" w:cs="Times New Roman"/>
          <w:bCs/>
          <w:sz w:val="24"/>
          <w:szCs w:val="24"/>
        </w:rPr>
        <w:t xml:space="preserve">América do </w:t>
      </w:r>
      <w:r>
        <w:rPr>
          <w:rFonts w:ascii="Times New Roman" w:hAnsi="Times New Roman" w:cs="Times New Roman"/>
          <w:bCs/>
          <w:sz w:val="24"/>
          <w:szCs w:val="24"/>
        </w:rPr>
        <w:t xml:space="preserve">Norte, mas </w:t>
      </w:r>
      <w:r w:rsidR="00A27F2E">
        <w:rPr>
          <w:rFonts w:ascii="Times New Roman" w:hAnsi="Times New Roman" w:cs="Times New Roman"/>
          <w:bCs/>
          <w:sz w:val="24"/>
          <w:szCs w:val="24"/>
        </w:rPr>
        <w:t>representa apenas 1% em cães [53</w:t>
      </w:r>
      <w:r>
        <w:rPr>
          <w:rFonts w:ascii="Times New Roman" w:hAnsi="Times New Roman" w:cs="Times New Roman"/>
          <w:bCs/>
          <w:sz w:val="24"/>
          <w:szCs w:val="24"/>
        </w:rPr>
        <w:t>]. As suas características morfológicas são suficientemente bem definidas de modo a serem identificados em colorações H&amp;E: um</w:t>
      </w:r>
      <w:r w:rsidR="002A34FF">
        <w:rPr>
          <w:rFonts w:ascii="Times New Roman" w:hAnsi="Times New Roman" w:cs="Times New Roman"/>
          <w:bCs/>
          <w:sz w:val="24"/>
          <w:szCs w:val="24"/>
        </w:rPr>
        <w:t>a arquite</w:t>
      </w:r>
      <w:r>
        <w:rPr>
          <w:rFonts w:ascii="Times New Roman" w:hAnsi="Times New Roman" w:cs="Times New Roman"/>
          <w:bCs/>
          <w:sz w:val="24"/>
          <w:szCs w:val="24"/>
        </w:rPr>
        <w:t xml:space="preserve">tura folicular com uma população mista </w:t>
      </w:r>
      <w:r>
        <w:rPr>
          <w:rFonts w:ascii="Times New Roman" w:hAnsi="Times New Roman" w:cs="Times New Roman"/>
          <w:bCs/>
          <w:sz w:val="24"/>
          <w:szCs w:val="24"/>
        </w:rPr>
        <w:lastRenderedPageBreak/>
        <w:t>de centrócitos e centroblastos nos folículos</w:t>
      </w:r>
      <w:r w:rsidR="002A34FF">
        <w:rPr>
          <w:rFonts w:ascii="Times New Roman" w:hAnsi="Times New Roman" w:cs="Times New Roman"/>
          <w:bCs/>
          <w:sz w:val="24"/>
          <w:szCs w:val="24"/>
        </w:rPr>
        <w:t xml:space="preserve"> (figura 33)</w:t>
      </w:r>
      <w:r>
        <w:rPr>
          <w:rFonts w:ascii="Times New Roman" w:hAnsi="Times New Roman" w:cs="Times New Roman"/>
          <w:bCs/>
          <w:sz w:val="24"/>
          <w:szCs w:val="24"/>
        </w:rPr>
        <w:t>, perda da zona do manto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e ausência da polaridad</w:t>
      </w:r>
      <w:r w:rsidR="00A27F2E">
        <w:rPr>
          <w:rFonts w:ascii="Times New Roman" w:hAnsi="Times New Roman" w:cs="Times New Roman"/>
          <w:bCs/>
          <w:sz w:val="24"/>
          <w:szCs w:val="24"/>
        </w:rPr>
        <w:t>e relacionada aos antigénios [53</w:t>
      </w:r>
      <w:r>
        <w:rPr>
          <w:rFonts w:ascii="Times New Roman" w:hAnsi="Times New Roman" w:cs="Times New Roman"/>
          <w:bCs/>
          <w:sz w:val="24"/>
          <w:szCs w:val="24"/>
        </w:rPr>
        <w:t>]. A proporção de centrócitos e centroblastos é a base segundo a qual o FL é classificado em grau I a III, no qual com o passar do tempo a proporção de células grandes centroblásticas aumenta e a de células pe</w:t>
      </w:r>
      <w:r w:rsidR="00A27F2E">
        <w:rPr>
          <w:rFonts w:ascii="Times New Roman" w:hAnsi="Times New Roman" w:cs="Times New Roman"/>
          <w:bCs/>
          <w:sz w:val="24"/>
          <w:szCs w:val="24"/>
        </w:rPr>
        <w:t>quenas centrocíticas diminui [53</w:t>
      </w:r>
      <w:r>
        <w:rPr>
          <w:rFonts w:ascii="Times New Roman" w:hAnsi="Times New Roman" w:cs="Times New Roman"/>
          <w:bCs/>
          <w:sz w:val="24"/>
          <w:szCs w:val="24"/>
        </w:rPr>
        <w:t>]. Diversos estudos em humanos têm demonstrado que a quantidade de centro</w:t>
      </w:r>
      <w:r w:rsidR="005C1A6D">
        <w:rPr>
          <w:rFonts w:ascii="Times New Roman" w:hAnsi="Times New Roman" w:cs="Times New Roman"/>
          <w:bCs/>
          <w:sz w:val="24"/>
          <w:szCs w:val="24"/>
        </w:rPr>
        <w:t>b</w:t>
      </w:r>
      <w:r>
        <w:rPr>
          <w:rFonts w:ascii="Times New Roman" w:hAnsi="Times New Roman" w:cs="Times New Roman"/>
          <w:bCs/>
          <w:sz w:val="24"/>
          <w:szCs w:val="24"/>
        </w:rPr>
        <w:t xml:space="preserve">lastos prediz o prognóstico, na medida em que quanto maior </w:t>
      </w:r>
      <w:r w:rsidR="00A3297A">
        <w:rPr>
          <w:rFonts w:ascii="Times New Roman" w:hAnsi="Times New Roman" w:cs="Times New Roman"/>
          <w:bCs/>
          <w:sz w:val="24"/>
          <w:szCs w:val="24"/>
        </w:rPr>
        <w:t xml:space="preserve">é </w:t>
      </w:r>
      <w:r>
        <w:rPr>
          <w:rFonts w:ascii="Times New Roman" w:hAnsi="Times New Roman" w:cs="Times New Roman"/>
          <w:bCs/>
          <w:sz w:val="24"/>
          <w:szCs w:val="24"/>
        </w:rPr>
        <w:t>a quantidade de centroblastos mais agressivo é o comporta</w:t>
      </w:r>
      <w:r w:rsidR="00A27F2E">
        <w:rPr>
          <w:rFonts w:ascii="Times New Roman" w:hAnsi="Times New Roman" w:cs="Times New Roman"/>
          <w:bCs/>
          <w:sz w:val="24"/>
          <w:szCs w:val="24"/>
        </w:rPr>
        <w:t>mento biológico da neoplasia [55</w:t>
      </w:r>
      <w:r>
        <w:rPr>
          <w:rFonts w:ascii="Times New Roman" w:hAnsi="Times New Roman" w:cs="Times New Roman"/>
          <w:bCs/>
          <w:sz w:val="24"/>
          <w:szCs w:val="24"/>
        </w:rPr>
        <w:t>]</w:t>
      </w:r>
      <w:r w:rsidR="00A3297A">
        <w:rPr>
          <w:rFonts w:ascii="Times New Roman" w:hAnsi="Times New Roman" w:cs="Times New Roman"/>
          <w:bCs/>
          <w:sz w:val="24"/>
          <w:szCs w:val="24"/>
        </w:rPr>
        <w:t>. Contudo, na conferência da OMS</w:t>
      </w:r>
      <w:r>
        <w:rPr>
          <w:rFonts w:ascii="Times New Roman" w:hAnsi="Times New Roman" w:cs="Times New Roman"/>
          <w:bCs/>
          <w:sz w:val="24"/>
          <w:szCs w:val="24"/>
        </w:rPr>
        <w:t xml:space="preserve"> em 2007</w:t>
      </w:r>
      <w:r w:rsidR="00A3297A">
        <w:rPr>
          <w:rFonts w:ascii="Times New Roman" w:hAnsi="Times New Roman" w:cs="Times New Roman"/>
          <w:bCs/>
          <w:sz w:val="24"/>
          <w:szCs w:val="24"/>
        </w:rPr>
        <w:t>,</w:t>
      </w:r>
      <w:r>
        <w:rPr>
          <w:rFonts w:ascii="Times New Roman" w:hAnsi="Times New Roman" w:cs="Times New Roman"/>
          <w:bCs/>
          <w:sz w:val="24"/>
          <w:szCs w:val="24"/>
        </w:rPr>
        <w:t xml:space="preserve"> os participantes concordaram que há div</w:t>
      </w:r>
      <w:r w:rsidR="00A27F2E">
        <w:rPr>
          <w:rFonts w:ascii="Times New Roman" w:hAnsi="Times New Roman" w:cs="Times New Roman"/>
          <w:bCs/>
          <w:sz w:val="24"/>
          <w:szCs w:val="24"/>
        </w:rPr>
        <w:t>ersos problemas nesta teoria [55</w:t>
      </w:r>
      <w:r>
        <w:rPr>
          <w:rFonts w:ascii="Times New Roman" w:hAnsi="Times New Roman" w:cs="Times New Roman"/>
          <w:bCs/>
          <w:sz w:val="24"/>
          <w:szCs w:val="24"/>
        </w:rPr>
        <w:t>] e novas propostas de classificação estão a ser revistas, demonstrando que este tema está em constante mudança e evolução.</w:t>
      </w:r>
    </w:p>
    <w:p w:rsidR="00BA056A" w:rsidRPr="00911733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color w:val="FF0000"/>
          <w:sz w:val="20"/>
          <w:szCs w:val="20"/>
        </w:rPr>
      </w:pPr>
    </w:p>
    <w:p w:rsidR="00BA056A" w:rsidRDefault="00BA056A" w:rsidP="00BA056A">
      <w:pPr>
        <w:autoSpaceDE w:val="0"/>
        <w:autoSpaceDN w:val="0"/>
        <w:adjustRightInd w:val="0"/>
        <w:spacing w:after="0" w:line="240" w:lineRule="auto"/>
        <w:jc w:val="both"/>
        <w:rPr>
          <w:rFonts w:ascii="LegacySans-Bold" w:hAnsi="LegacySans-Bold" w:cs="LegacySans-Bold"/>
          <w:b/>
          <w:bCs/>
          <w:sz w:val="20"/>
          <w:szCs w:val="20"/>
        </w:rPr>
      </w:pPr>
      <w:r>
        <w:rPr>
          <w:rFonts w:ascii="LegacySans-Bold" w:hAnsi="LegacySans-Bold" w:cs="LegacySans-Bold"/>
          <w:b/>
          <w:bCs/>
          <w:noProof/>
          <w:sz w:val="20"/>
          <w:szCs w:val="20"/>
          <w:lang w:eastAsia="pt-PT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-1270</wp:posOffset>
            </wp:positionV>
            <wp:extent cx="3032760" cy="2486660"/>
            <wp:effectExtent l="19050" t="0" r="0" b="0"/>
            <wp:wrapTight wrapText="bothSides">
              <wp:wrapPolygon edited="0">
                <wp:start x="-136" y="0"/>
                <wp:lineTo x="-136" y="21512"/>
                <wp:lineTo x="21573" y="21512"/>
                <wp:lineTo x="21573" y="0"/>
                <wp:lineTo x="-136" y="0"/>
              </wp:wrapPolygon>
            </wp:wrapTight>
            <wp:docPr id="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54850" b="67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248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056A" w:rsidRPr="00F6396E" w:rsidRDefault="00BA056A" w:rsidP="00BA056A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Fig</w:t>
      </w:r>
      <w:r w:rsidRPr="00AC49B1">
        <w:rPr>
          <w:rFonts w:ascii="Times New Roman" w:hAnsi="Times New Roman" w:cs="Times New Roman"/>
          <w:b/>
          <w:sz w:val="20"/>
          <w:szCs w:val="20"/>
        </w:rPr>
        <w:t>.</w:t>
      </w:r>
      <w:r>
        <w:rPr>
          <w:rFonts w:ascii="Times New Roman" w:hAnsi="Times New Roman" w:cs="Times New Roman"/>
          <w:b/>
          <w:sz w:val="20"/>
          <w:szCs w:val="20"/>
        </w:rPr>
        <w:t xml:space="preserve"> 3</w:t>
      </w:r>
      <w:r w:rsidR="00E41978">
        <w:rPr>
          <w:rFonts w:ascii="Times New Roman" w:hAnsi="Times New Roman" w:cs="Times New Roman"/>
          <w:b/>
          <w:sz w:val="20"/>
          <w:szCs w:val="20"/>
        </w:rPr>
        <w:t>3</w:t>
      </w:r>
      <w:r w:rsidRPr="00AC49B1">
        <w:rPr>
          <w:rFonts w:ascii="Times New Roman" w:hAnsi="Times New Roman" w:cs="Times New Roman"/>
          <w:sz w:val="20"/>
          <w:szCs w:val="20"/>
        </w:rPr>
        <w:t xml:space="preserve"> Corte histológico de linfonodo de cão co</w:t>
      </w:r>
      <w:r>
        <w:rPr>
          <w:rFonts w:ascii="Times New Roman" w:hAnsi="Times New Roman" w:cs="Times New Roman"/>
          <w:sz w:val="20"/>
          <w:szCs w:val="20"/>
        </w:rPr>
        <w:t>m linfoma folicular (FL). O</w:t>
      </w:r>
      <w:r w:rsidRPr="00AC49B1">
        <w:rPr>
          <w:rFonts w:ascii="Times New Roman" w:hAnsi="Times New Roman" w:cs="Times New Roman"/>
          <w:sz w:val="20"/>
          <w:szCs w:val="20"/>
        </w:rPr>
        <w:t>s folículos são compostos por centrócitos de tamanho intermédio e centroblastos de tamanho grande com nucléolos grandes</w:t>
      </w:r>
      <w:r>
        <w:rPr>
          <w:rFonts w:ascii="Times New Roman" w:hAnsi="Times New Roman" w:cs="Times New Roman"/>
          <w:sz w:val="20"/>
          <w:szCs w:val="20"/>
        </w:rPr>
        <w:t xml:space="preserve"> em contacto com a membrana nuclear</w:t>
      </w:r>
      <w:r w:rsidR="00A27F2E">
        <w:rPr>
          <w:rFonts w:ascii="Times New Roman" w:hAnsi="Times New Roman" w:cs="Times New Roman"/>
          <w:sz w:val="20"/>
          <w:szCs w:val="20"/>
        </w:rPr>
        <w:t>. Coloração H&amp;E. [Adaptado de 53</w:t>
      </w:r>
      <w:r>
        <w:rPr>
          <w:rFonts w:ascii="Times New Roman" w:hAnsi="Times New Roman" w:cs="Times New Roman"/>
          <w:sz w:val="20"/>
          <w:szCs w:val="20"/>
        </w:rPr>
        <w:t>]</w:t>
      </w:r>
    </w:p>
    <w:p w:rsidR="00BA056A" w:rsidRPr="00F6396E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BA056A" w:rsidRPr="00F6396E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BA056A" w:rsidRPr="00F6396E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BA056A" w:rsidRPr="00F6396E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BA056A" w:rsidRPr="00F6396E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BA056A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BA056A" w:rsidRPr="00F6396E" w:rsidRDefault="00BA056A" w:rsidP="00BA056A">
      <w:pPr>
        <w:autoSpaceDE w:val="0"/>
        <w:autoSpaceDN w:val="0"/>
        <w:adjustRightInd w:val="0"/>
        <w:spacing w:after="0" w:line="240" w:lineRule="auto"/>
        <w:rPr>
          <w:rFonts w:ascii="LegacySans-Bold" w:hAnsi="LegacySans-Bold" w:cs="LegacySans-Bold"/>
          <w:b/>
          <w:bCs/>
          <w:sz w:val="20"/>
          <w:szCs w:val="20"/>
        </w:rPr>
      </w:pPr>
    </w:p>
    <w:p w:rsidR="00BA056A" w:rsidRPr="00980DEB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32515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lguns autores referem que a</w:t>
      </w:r>
      <w:r w:rsidRPr="00732515">
        <w:rPr>
          <w:rFonts w:ascii="Times New Roman" w:hAnsi="Times New Roman" w:cs="Times New Roman"/>
          <w:sz w:val="24"/>
          <w:szCs w:val="24"/>
        </w:rPr>
        <w:t xml:space="preserve"> significância do prognóstico de cada entidade morfológi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732515">
        <w:rPr>
          <w:rFonts w:ascii="Times New Roman" w:hAnsi="Times New Roman" w:cs="Times New Roman"/>
          <w:sz w:val="24"/>
          <w:szCs w:val="24"/>
        </w:rPr>
        <w:t>a ser</w:t>
      </w:r>
      <w:r w:rsidR="00A27F2E">
        <w:rPr>
          <w:rFonts w:ascii="Times New Roman" w:hAnsi="Times New Roman" w:cs="Times New Roman"/>
          <w:sz w:val="24"/>
          <w:szCs w:val="24"/>
        </w:rPr>
        <w:t>á revista em futuros artigos [53</w:t>
      </w:r>
      <w:r w:rsidRPr="0073251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>, mas</w:t>
      </w:r>
      <w:r w:rsidR="00A3297A">
        <w:rPr>
          <w:rFonts w:ascii="Times New Roman" w:hAnsi="Times New Roman" w:cs="Times New Roman"/>
          <w:sz w:val="24"/>
          <w:szCs w:val="24"/>
        </w:rPr>
        <w:t xml:space="preserve"> as</w:t>
      </w:r>
      <w:r>
        <w:rPr>
          <w:rFonts w:ascii="Times New Roman" w:hAnsi="Times New Roman" w:cs="Times New Roman"/>
          <w:sz w:val="24"/>
          <w:szCs w:val="24"/>
        </w:rPr>
        <w:t xml:space="preserve"> evidências </w:t>
      </w:r>
      <w:r w:rsidRPr="00732515">
        <w:rPr>
          <w:rFonts w:ascii="Times New Roman" w:hAnsi="Times New Roman" w:cs="Times New Roman"/>
          <w:sz w:val="24"/>
          <w:szCs w:val="24"/>
        </w:rPr>
        <w:t>preliminares deste estudo</w:t>
      </w:r>
      <w:r>
        <w:rPr>
          <w:rFonts w:ascii="Times New Roman" w:hAnsi="Times New Roman" w:cs="Times New Roman"/>
          <w:sz w:val="24"/>
          <w:szCs w:val="24"/>
        </w:rPr>
        <w:t xml:space="preserve"> indicam</w:t>
      </w:r>
      <w:r w:rsidRPr="00732515">
        <w:rPr>
          <w:rFonts w:ascii="Times New Roman" w:hAnsi="Times New Roman" w:cs="Times New Roman"/>
          <w:sz w:val="24"/>
          <w:szCs w:val="24"/>
        </w:rPr>
        <w:t xml:space="preserve"> que cães com linfomas indolentes (linfoma de zona marginal nodal ou esplénico, linfoma folicular, linfoma de células pequenas B ou T, linfoma de grandes células B enriquecido com células T e linfoma da zona T) mantêm um apetite e actividade normais, mesmo quando em</w:t>
      </w:r>
      <w:r>
        <w:rPr>
          <w:rFonts w:ascii="Times New Roman" w:hAnsi="Times New Roman" w:cs="Times New Roman"/>
          <w:sz w:val="24"/>
          <w:szCs w:val="24"/>
        </w:rPr>
        <w:t xml:space="preserve"> estados avançados da doença [5</w:t>
      </w:r>
      <w:r w:rsidR="00A27F2E">
        <w:rPr>
          <w:rFonts w:ascii="Times New Roman" w:hAnsi="Times New Roman" w:cs="Times New Roman"/>
          <w:sz w:val="24"/>
          <w:szCs w:val="24"/>
        </w:rPr>
        <w:t>3</w:t>
      </w:r>
      <w:r w:rsidRPr="00732515">
        <w:rPr>
          <w:rFonts w:ascii="Times New Roman" w:hAnsi="Times New Roman" w:cs="Times New Roman"/>
          <w:sz w:val="24"/>
          <w:szCs w:val="24"/>
        </w:rPr>
        <w:t>].</w:t>
      </w:r>
    </w:p>
    <w:p w:rsidR="00BA056A" w:rsidRPr="001A7D1C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F67ED">
        <w:rPr>
          <w:rFonts w:ascii="Times New Roman" w:hAnsi="Times New Roman" w:cs="Times New Roman"/>
          <w:sz w:val="24"/>
          <w:szCs w:val="24"/>
        </w:rPr>
        <w:t>Segundo a WHO todos os aspectos da doença devem ser t</w:t>
      </w:r>
      <w:r>
        <w:rPr>
          <w:rFonts w:ascii="Times New Roman" w:hAnsi="Times New Roman" w:cs="Times New Roman"/>
          <w:sz w:val="24"/>
          <w:szCs w:val="24"/>
        </w:rPr>
        <w:t xml:space="preserve">idos em conta: topografia, características clínicas, morfologia </w:t>
      </w:r>
      <w:r w:rsidRPr="009F67ED">
        <w:rPr>
          <w:rFonts w:ascii="Times New Roman" w:hAnsi="Times New Roman" w:cs="Times New Roman"/>
          <w:sz w:val="24"/>
          <w:szCs w:val="24"/>
        </w:rPr>
        <w:t>celular, imunofenótipo, citogenética e análise molecular</w:t>
      </w:r>
      <w:r>
        <w:rPr>
          <w:rFonts w:ascii="Times New Roman" w:hAnsi="Times New Roman" w:cs="Times New Roman"/>
          <w:sz w:val="24"/>
          <w:szCs w:val="24"/>
        </w:rPr>
        <w:t xml:space="preserve"> [5</w:t>
      </w:r>
      <w:r w:rsidR="00A27F2E">
        <w:rPr>
          <w:rFonts w:ascii="Times New Roman" w:hAnsi="Times New Roman" w:cs="Times New Roman"/>
          <w:sz w:val="24"/>
          <w:szCs w:val="24"/>
        </w:rPr>
        <w:t>3, 55</w:t>
      </w:r>
      <w:r>
        <w:rPr>
          <w:rFonts w:ascii="Times New Roman" w:hAnsi="Times New Roman" w:cs="Times New Roman"/>
          <w:sz w:val="24"/>
          <w:szCs w:val="24"/>
        </w:rPr>
        <w:t>]</w:t>
      </w:r>
      <w:r w:rsidRPr="009F67ED">
        <w:rPr>
          <w:rFonts w:ascii="Times New Roman" w:hAnsi="Times New Roman" w:cs="Times New Roman"/>
          <w:sz w:val="24"/>
          <w:szCs w:val="24"/>
        </w:rPr>
        <w:t xml:space="preserve">. Felizmente, os 3 primeiros critérios fornecem a informação necessária para chegar a um diagnóstico </w:t>
      </w:r>
      <w:r w:rsidR="00A27F2E">
        <w:rPr>
          <w:rFonts w:ascii="Times New Roman" w:hAnsi="Times New Roman" w:cs="Times New Roman"/>
          <w:sz w:val="24"/>
          <w:szCs w:val="24"/>
        </w:rPr>
        <w:t>específico de linfoma no cão [53</w:t>
      </w:r>
      <w:r w:rsidRPr="009F67ED">
        <w:rPr>
          <w:rFonts w:ascii="Times New Roman" w:hAnsi="Times New Roman" w:cs="Times New Roman"/>
          <w:sz w:val="24"/>
          <w:szCs w:val="24"/>
        </w:rPr>
        <w:t xml:space="preserve">]. Segundo o </w:t>
      </w:r>
      <w:r w:rsidRPr="009F67ED">
        <w:rPr>
          <w:rFonts w:ascii="Times New Roman" w:hAnsi="Times New Roman" w:cs="Times New Roman"/>
          <w:sz w:val="24"/>
          <w:szCs w:val="24"/>
        </w:rPr>
        <w:lastRenderedPageBreak/>
        <w:t>estudo, é praticável para os patologistas veterinários utilizarem em cães a classificação da WHO para neoplasias linfóide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9F67ED">
        <w:rPr>
          <w:rFonts w:ascii="Times New Roman" w:hAnsi="Times New Roman" w:cs="Times New Roman"/>
          <w:sz w:val="24"/>
          <w:szCs w:val="24"/>
        </w:rPr>
        <w:t xml:space="preserve"> em humanos, re</w:t>
      </w:r>
      <w:r w:rsidR="007F0E60">
        <w:rPr>
          <w:rFonts w:ascii="Times New Roman" w:hAnsi="Times New Roman" w:cs="Times New Roman"/>
          <w:sz w:val="24"/>
          <w:szCs w:val="24"/>
        </w:rPr>
        <w:t>conhecendo que este é um projet</w:t>
      </w:r>
      <w:r w:rsidRPr="009F67ED">
        <w:rPr>
          <w:rFonts w:ascii="Times New Roman" w:hAnsi="Times New Roman" w:cs="Times New Roman"/>
          <w:sz w:val="24"/>
          <w:szCs w:val="24"/>
        </w:rPr>
        <w:t>o em desenvolvi</w:t>
      </w:r>
      <w:r w:rsidR="00A3297A">
        <w:rPr>
          <w:rFonts w:ascii="Times New Roman" w:hAnsi="Times New Roman" w:cs="Times New Roman"/>
          <w:sz w:val="24"/>
          <w:szCs w:val="24"/>
        </w:rPr>
        <w:t>mento que irá progredir à medida que</w:t>
      </w:r>
      <w:r w:rsidRPr="009F67ED">
        <w:rPr>
          <w:rFonts w:ascii="Times New Roman" w:hAnsi="Times New Roman" w:cs="Times New Roman"/>
          <w:sz w:val="24"/>
          <w:szCs w:val="24"/>
        </w:rPr>
        <w:t xml:space="preserve"> mais informação for recolhida </w:t>
      </w:r>
      <w:r>
        <w:rPr>
          <w:rFonts w:ascii="Times New Roman" w:hAnsi="Times New Roman" w:cs="Times New Roman"/>
          <w:sz w:val="24"/>
          <w:szCs w:val="24"/>
        </w:rPr>
        <w:t>e disponibilizada [5</w:t>
      </w:r>
      <w:r w:rsidR="00A27F2E">
        <w:rPr>
          <w:rFonts w:ascii="Times New Roman" w:hAnsi="Times New Roman" w:cs="Times New Roman"/>
          <w:sz w:val="24"/>
          <w:szCs w:val="24"/>
        </w:rPr>
        <w:t>3</w:t>
      </w:r>
      <w:r w:rsidRPr="009F67ED">
        <w:rPr>
          <w:rFonts w:ascii="Times New Roman" w:hAnsi="Times New Roman" w:cs="Times New Roman"/>
          <w:sz w:val="24"/>
          <w:szCs w:val="24"/>
        </w:rPr>
        <w:t>].</w:t>
      </w:r>
    </w:p>
    <w:p w:rsidR="00BA056A" w:rsidRPr="00C254F3" w:rsidRDefault="00BA056A" w:rsidP="00BA056A">
      <w:pPr>
        <w:autoSpaceDE w:val="0"/>
        <w:autoSpaceDN w:val="0"/>
        <w:adjustRightInd w:val="0"/>
        <w:spacing w:after="0" w:line="240" w:lineRule="auto"/>
        <w:rPr>
          <w:rFonts w:ascii="Garamond-Book" w:hAnsi="Garamond-Book" w:cs="Garamond-Book"/>
          <w:sz w:val="20"/>
          <w:szCs w:val="20"/>
        </w:rPr>
      </w:pPr>
    </w:p>
    <w:p w:rsidR="00BA056A" w:rsidRPr="00A27F2E" w:rsidRDefault="00BA056A" w:rsidP="00A27F2E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A27F2E">
        <w:rPr>
          <w:rFonts w:ascii="Times New Roman" w:hAnsi="Times New Roman" w:cs="Times New Roman"/>
          <w:bCs/>
          <w:sz w:val="24"/>
          <w:szCs w:val="24"/>
          <w:u w:val="single"/>
        </w:rPr>
        <w:t>2.3.3.3.4 Plasmacitoma</w:t>
      </w:r>
    </w:p>
    <w:p w:rsidR="00BA056A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Os plasmacitomas são considerados uma variante de doença linfoproliferativa, com uma apresentação diferente do linfoma [</w:t>
      </w:r>
      <w:r w:rsidR="00C931F1">
        <w:rPr>
          <w:rFonts w:ascii="Times New Roman" w:hAnsi="Times New Roman" w:cs="Times New Roman"/>
          <w:bCs/>
          <w:sz w:val="24"/>
          <w:szCs w:val="24"/>
        </w:rPr>
        <w:t>47</w:t>
      </w:r>
      <w:r>
        <w:rPr>
          <w:rFonts w:ascii="Times New Roman" w:hAnsi="Times New Roman" w:cs="Times New Roman"/>
          <w:bCs/>
          <w:sz w:val="24"/>
          <w:szCs w:val="24"/>
        </w:rPr>
        <w:t>]. São formados por uma proliferação monoclonal de plasmócitos, que são células de diferenciação terminal</w:t>
      </w:r>
      <w:r w:rsidR="00C931F1">
        <w:rPr>
          <w:rFonts w:ascii="Times New Roman" w:hAnsi="Times New Roman" w:cs="Times New Roman"/>
          <w:bCs/>
          <w:sz w:val="24"/>
          <w:szCs w:val="24"/>
        </w:rPr>
        <w:t xml:space="preserve"> da linhagem de linfócitos B [56</w:t>
      </w:r>
      <w:r>
        <w:rPr>
          <w:rFonts w:ascii="Times New Roman" w:hAnsi="Times New Roman" w:cs="Times New Roman"/>
          <w:bCs/>
          <w:sz w:val="24"/>
          <w:szCs w:val="24"/>
        </w:rPr>
        <w:t>].</w:t>
      </w:r>
    </w:p>
    <w:p w:rsidR="00BA056A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A sua forma cutânea e extramedular são consideradas doenças linfoproliferativas benignas em que a completa excisão cirúrgica geralmente é curativa. Contudo, a sua forma com origem na medula óssea (Mieloma Múltiplo) tem uma evolução diferente, na qual no decurso do tempo a medula é afectada com lesões isoladas ou, mais comummente, múltiplas lesões com lesões ósseas líticas que podem ser observadas radiograficamente [</w:t>
      </w:r>
      <w:r w:rsidR="00C931F1">
        <w:rPr>
          <w:rFonts w:ascii="Times New Roman" w:hAnsi="Times New Roman" w:cs="Times New Roman"/>
          <w:bCs/>
          <w:sz w:val="24"/>
          <w:szCs w:val="24"/>
        </w:rPr>
        <w:t>47</w:t>
      </w:r>
      <w:r>
        <w:rPr>
          <w:rFonts w:ascii="Times New Roman" w:hAnsi="Times New Roman" w:cs="Times New Roman"/>
          <w:bCs/>
          <w:sz w:val="24"/>
          <w:szCs w:val="24"/>
        </w:rPr>
        <w:t>]. Todas as formas apresentam características de plasmócitos bem diferenciados, células mononucleares redondas a ovais, misturadas com pequeno número de células binucleadas. Os núcleos são redondos com cromatina espumosa mas regular e estão posicionados perifericamente e, ao contrário das outras células linfóides, os plasmócitos contêm moderada quantidade de citoplasma com moderado rácio núcleo: citoplasma. O citoplasma é muito basofílico devido ao RNA citoplasmático e com uma proeminente zona clara perinuclear, que representa o aparelho de Golgi dos organelos citoplasmáticos [</w:t>
      </w:r>
      <w:r w:rsidR="00975A76">
        <w:rPr>
          <w:rFonts w:ascii="Times New Roman" w:hAnsi="Times New Roman" w:cs="Times New Roman"/>
          <w:bCs/>
          <w:sz w:val="24"/>
          <w:szCs w:val="24"/>
        </w:rPr>
        <w:t>4</w:t>
      </w:r>
      <w:r w:rsidR="00C931F1">
        <w:rPr>
          <w:rFonts w:ascii="Times New Roman" w:hAnsi="Times New Roman" w:cs="Times New Roman"/>
          <w:bCs/>
          <w:sz w:val="24"/>
          <w:szCs w:val="24"/>
        </w:rPr>
        <w:t>7</w:t>
      </w:r>
      <w:r>
        <w:rPr>
          <w:rFonts w:ascii="Times New Roman" w:hAnsi="Times New Roman" w:cs="Times New Roman"/>
          <w:bCs/>
          <w:sz w:val="24"/>
          <w:szCs w:val="24"/>
        </w:rPr>
        <w:t>]. O Mieloma Múltiplo e as formas extramedulares podem apresentar-se com uma população de plasmócitos uniformes e bem diferenciados ou células neoplásicas com alguma diferenciação plasmocitária e atipia celular, ou ainda uma população mista das duas últimas. A morfologia celular não é preditiva do comportamento biológico mas, quanto maior o grau de atipia presente, maior deve ser a desconfiança e investigação de uma possível disseminação [</w:t>
      </w:r>
      <w:r w:rsidR="00C931F1">
        <w:rPr>
          <w:rFonts w:ascii="Times New Roman" w:hAnsi="Times New Roman" w:cs="Times New Roman"/>
          <w:bCs/>
          <w:sz w:val="24"/>
          <w:szCs w:val="24"/>
        </w:rPr>
        <w:t>47</w:t>
      </w:r>
      <w:r>
        <w:rPr>
          <w:rFonts w:ascii="Times New Roman" w:hAnsi="Times New Roman" w:cs="Times New Roman"/>
          <w:bCs/>
          <w:sz w:val="24"/>
          <w:szCs w:val="24"/>
        </w:rPr>
        <w:t xml:space="preserve">].  </w:t>
      </w:r>
    </w:p>
    <w:p w:rsidR="00F83355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3273A">
        <w:rPr>
          <w:rFonts w:ascii="Times New Roman" w:hAnsi="Times New Roman" w:cs="Times New Roman"/>
          <w:sz w:val="24"/>
          <w:szCs w:val="24"/>
        </w:rPr>
        <w:t>O plasmacitoma extramedular</w:t>
      </w:r>
      <w:r>
        <w:rPr>
          <w:rFonts w:ascii="Times New Roman" w:hAnsi="Times New Roman" w:cs="Times New Roman"/>
          <w:sz w:val="24"/>
          <w:szCs w:val="24"/>
        </w:rPr>
        <w:t xml:space="preserve"> (PEM)</w:t>
      </w:r>
      <w:r w:rsidRPr="0033273A">
        <w:rPr>
          <w:rFonts w:ascii="Times New Roman" w:hAnsi="Times New Roman" w:cs="Times New Roman"/>
          <w:sz w:val="24"/>
          <w:szCs w:val="24"/>
        </w:rPr>
        <w:t xml:space="preserve"> é um tumor relativamente comum em cães de idade avançada, constituindo num recente estudo 2,4% do total dos tumores. Raças como</w:t>
      </w:r>
      <w:r w:rsidR="00EA104B">
        <w:rPr>
          <w:rFonts w:ascii="Times New Roman" w:hAnsi="Times New Roman" w:cs="Times New Roman"/>
          <w:sz w:val="24"/>
          <w:szCs w:val="24"/>
        </w:rPr>
        <w:t xml:space="preserve"> o</w:t>
      </w:r>
      <w:r w:rsidRPr="0033273A">
        <w:rPr>
          <w:rFonts w:ascii="Times New Roman" w:hAnsi="Times New Roman" w:cs="Times New Roman"/>
          <w:sz w:val="24"/>
          <w:szCs w:val="24"/>
        </w:rPr>
        <w:t xml:space="preserve"> </w:t>
      </w:r>
      <w:r w:rsidRPr="00EA104B">
        <w:rPr>
          <w:rFonts w:ascii="Times New Roman" w:hAnsi="Times New Roman" w:cs="Times New Roman"/>
          <w:i/>
          <w:sz w:val="24"/>
          <w:szCs w:val="24"/>
        </w:rPr>
        <w:t>English</w:t>
      </w:r>
      <w:r>
        <w:rPr>
          <w:rFonts w:ascii="Times New Roman" w:hAnsi="Times New Roman" w:cs="Times New Roman"/>
          <w:sz w:val="24"/>
          <w:szCs w:val="24"/>
        </w:rPr>
        <w:t xml:space="preserve"> e</w:t>
      </w:r>
      <w:r w:rsidR="00EA104B">
        <w:rPr>
          <w:rFonts w:ascii="Times New Roman" w:hAnsi="Times New Roman" w:cs="Times New Roman"/>
          <w:sz w:val="24"/>
          <w:szCs w:val="24"/>
        </w:rPr>
        <w:t xml:space="preserve"> 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A104B">
        <w:rPr>
          <w:rFonts w:ascii="Times New Roman" w:hAnsi="Times New Roman" w:cs="Times New Roman"/>
          <w:i/>
          <w:sz w:val="24"/>
          <w:szCs w:val="24"/>
        </w:rPr>
        <w:t>American Cocker Spaniel</w:t>
      </w:r>
      <w:r>
        <w:rPr>
          <w:rFonts w:ascii="Times New Roman" w:hAnsi="Times New Roman" w:cs="Times New Roman"/>
          <w:sz w:val="24"/>
          <w:szCs w:val="24"/>
        </w:rPr>
        <w:t xml:space="preserve"> e </w:t>
      </w:r>
      <w:r w:rsidR="00EA104B">
        <w:rPr>
          <w:rFonts w:ascii="Times New Roman" w:hAnsi="Times New Roman" w:cs="Times New Roman"/>
          <w:sz w:val="24"/>
          <w:szCs w:val="24"/>
        </w:rPr>
        <w:t xml:space="preserve">o </w:t>
      </w:r>
      <w:r w:rsidRPr="00EA104B">
        <w:rPr>
          <w:rFonts w:ascii="Times New Roman" w:hAnsi="Times New Roman" w:cs="Times New Roman"/>
          <w:i/>
          <w:sz w:val="24"/>
          <w:szCs w:val="24"/>
        </w:rPr>
        <w:t>West Highland White Terrier</w:t>
      </w:r>
      <w:r w:rsidRPr="0033273A">
        <w:rPr>
          <w:rFonts w:ascii="Times New Roman" w:hAnsi="Times New Roman" w:cs="Times New Roman"/>
          <w:sz w:val="24"/>
          <w:szCs w:val="24"/>
        </w:rPr>
        <w:t xml:space="preserve"> têm maior risco de desenvolver o tumor. O plasmacitoma ocorre mais frequentemente na pele e membranas mucosas mas t</w:t>
      </w:r>
      <w:r>
        <w:rPr>
          <w:rFonts w:ascii="Times New Roman" w:hAnsi="Times New Roman" w:cs="Times New Roman"/>
          <w:sz w:val="24"/>
          <w:szCs w:val="24"/>
        </w:rPr>
        <w:t xml:space="preserve">em sido </w:t>
      </w:r>
      <w:r w:rsidR="00444949">
        <w:rPr>
          <w:rFonts w:ascii="Times New Roman" w:hAnsi="Times New Roman" w:cs="Times New Roman"/>
          <w:sz w:val="24"/>
          <w:szCs w:val="24"/>
        </w:rPr>
        <w:t>referi</w:t>
      </w:r>
      <w:r>
        <w:rPr>
          <w:rFonts w:ascii="Times New Roman" w:hAnsi="Times New Roman" w:cs="Times New Roman"/>
          <w:sz w:val="24"/>
          <w:szCs w:val="24"/>
        </w:rPr>
        <w:t>do em outras localizações</w:t>
      </w:r>
      <w:r w:rsidRPr="0033273A">
        <w:rPr>
          <w:rFonts w:ascii="Times New Roman" w:hAnsi="Times New Roman" w:cs="Times New Roman"/>
          <w:sz w:val="24"/>
          <w:szCs w:val="24"/>
        </w:rPr>
        <w:t xml:space="preserve"> como cérebro, </w:t>
      </w:r>
      <w:r w:rsidRPr="0033273A">
        <w:rPr>
          <w:rFonts w:ascii="Times New Roman" w:hAnsi="Times New Roman" w:cs="Times New Roman"/>
          <w:sz w:val="24"/>
          <w:szCs w:val="24"/>
        </w:rPr>
        <w:lastRenderedPageBreak/>
        <w:t>espinal medula, linfonodos e víscer</w:t>
      </w:r>
      <w:r w:rsidR="007F0E60">
        <w:rPr>
          <w:rFonts w:ascii="Times New Roman" w:hAnsi="Times New Roman" w:cs="Times New Roman"/>
          <w:sz w:val="24"/>
          <w:szCs w:val="24"/>
        </w:rPr>
        <w:t xml:space="preserve">as abdominais. </w:t>
      </w:r>
      <w:r w:rsidR="00EA104B">
        <w:rPr>
          <w:rFonts w:ascii="Times New Roman" w:hAnsi="Times New Roman" w:cs="Times New Roman"/>
          <w:sz w:val="24"/>
          <w:szCs w:val="24"/>
        </w:rPr>
        <w:t>Os p</w:t>
      </w:r>
      <w:r w:rsidR="007F0E60">
        <w:rPr>
          <w:rFonts w:ascii="Times New Roman" w:hAnsi="Times New Roman" w:cs="Times New Roman"/>
          <w:sz w:val="24"/>
          <w:szCs w:val="24"/>
        </w:rPr>
        <w:t>lasmacitomas do reto</w:t>
      </w:r>
      <w:r w:rsidRPr="0033273A">
        <w:rPr>
          <w:rFonts w:ascii="Times New Roman" w:hAnsi="Times New Roman" w:cs="Times New Roman"/>
          <w:sz w:val="24"/>
          <w:szCs w:val="24"/>
        </w:rPr>
        <w:t xml:space="preserve"> e do cólon representam 4% dos </w:t>
      </w:r>
      <w:r w:rsidR="00C931F1">
        <w:rPr>
          <w:rFonts w:ascii="Times New Roman" w:hAnsi="Times New Roman" w:cs="Times New Roman"/>
          <w:sz w:val="24"/>
          <w:szCs w:val="24"/>
        </w:rPr>
        <w:t>plasmacitomas extramedulares [57</w:t>
      </w:r>
      <w:r w:rsidRPr="0033273A">
        <w:rPr>
          <w:rFonts w:ascii="Times New Roman" w:hAnsi="Times New Roman" w:cs="Times New Roman"/>
          <w:sz w:val="24"/>
          <w:szCs w:val="24"/>
        </w:rPr>
        <w:t>].</w:t>
      </w:r>
      <w:r w:rsidRPr="00057E04">
        <w:rPr>
          <w:rFonts w:ascii="Times New Roman" w:hAnsi="Times New Roman" w:cs="Times New Roman"/>
          <w:sz w:val="24"/>
          <w:szCs w:val="24"/>
        </w:rPr>
        <w:t xml:space="preserve"> Num estudo </w:t>
      </w:r>
      <w:r>
        <w:rPr>
          <w:rFonts w:ascii="Times New Roman" w:hAnsi="Times New Roman" w:cs="Times New Roman"/>
          <w:sz w:val="24"/>
          <w:szCs w:val="24"/>
        </w:rPr>
        <w:t>de Ramos-Vara et al.</w:t>
      </w:r>
      <w:r w:rsidRPr="00057E0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057E04">
        <w:rPr>
          <w:rFonts w:ascii="Times New Roman" w:hAnsi="Times New Roman" w:cs="Times New Roman"/>
          <w:sz w:val="24"/>
          <w:szCs w:val="24"/>
        </w:rPr>
        <w:t>2007) foram estudados 109 plasmacit</w:t>
      </w:r>
      <w:r>
        <w:rPr>
          <w:rFonts w:ascii="Times New Roman" w:hAnsi="Times New Roman" w:cs="Times New Roman"/>
          <w:sz w:val="24"/>
          <w:szCs w:val="24"/>
        </w:rPr>
        <w:t>omas oriundos de 107 cães, dos quais</w:t>
      </w:r>
      <w:r w:rsidRPr="00057E04">
        <w:rPr>
          <w:rFonts w:ascii="Times New Roman" w:hAnsi="Times New Roman" w:cs="Times New Roman"/>
          <w:sz w:val="24"/>
          <w:szCs w:val="24"/>
        </w:rPr>
        <w:t xml:space="preserve"> 80</w:t>
      </w:r>
      <w:r>
        <w:rPr>
          <w:rFonts w:ascii="Times New Roman" w:hAnsi="Times New Roman" w:cs="Times New Roman"/>
          <w:sz w:val="24"/>
          <w:szCs w:val="24"/>
        </w:rPr>
        <w:t xml:space="preserve"> eram</w:t>
      </w:r>
      <w:r w:rsidRPr="00057E04">
        <w:rPr>
          <w:rFonts w:ascii="Times New Roman" w:hAnsi="Times New Roman" w:cs="Times New Roman"/>
          <w:sz w:val="24"/>
          <w:szCs w:val="24"/>
        </w:rPr>
        <w:t xml:space="preserve"> cutâne</w:t>
      </w:r>
      <w:r>
        <w:rPr>
          <w:rFonts w:ascii="Times New Roman" w:hAnsi="Times New Roman" w:cs="Times New Roman"/>
          <w:sz w:val="24"/>
          <w:szCs w:val="24"/>
        </w:rPr>
        <w:t>os, 18 orais, 5 intestinais (re</w:t>
      </w:r>
      <w:r w:rsidRPr="00057E04">
        <w:rPr>
          <w:rFonts w:ascii="Times New Roman" w:hAnsi="Times New Roman" w:cs="Times New Roman"/>
          <w:sz w:val="24"/>
          <w:szCs w:val="24"/>
        </w:rPr>
        <w:t>to), 2 e</w:t>
      </w:r>
      <w:r>
        <w:rPr>
          <w:rFonts w:ascii="Times New Roman" w:hAnsi="Times New Roman" w:cs="Times New Roman"/>
          <w:sz w:val="24"/>
          <w:szCs w:val="24"/>
        </w:rPr>
        <w:t>splénicos e 1 da medula óssea (M</w:t>
      </w:r>
      <w:r w:rsidRPr="00057E04">
        <w:rPr>
          <w:rFonts w:ascii="Times New Roman" w:hAnsi="Times New Roman" w:cs="Times New Roman"/>
          <w:sz w:val="24"/>
          <w:szCs w:val="24"/>
        </w:rPr>
        <w:t>ieloma</w:t>
      </w:r>
      <w:r>
        <w:rPr>
          <w:rFonts w:ascii="Times New Roman" w:hAnsi="Times New Roman" w:cs="Times New Roman"/>
          <w:sz w:val="24"/>
          <w:szCs w:val="24"/>
        </w:rPr>
        <w:t xml:space="preserve"> Múltiplo</w:t>
      </w:r>
      <w:r w:rsidRPr="00F268FB">
        <w:rPr>
          <w:rFonts w:ascii="Times New Roman" w:hAnsi="Times New Roman" w:cs="Times New Roman"/>
          <w:sz w:val="24"/>
          <w:szCs w:val="24"/>
        </w:rPr>
        <w:t>) assim c</w:t>
      </w:r>
      <w:r w:rsidR="00C931F1">
        <w:rPr>
          <w:rFonts w:ascii="Times New Roman" w:hAnsi="Times New Roman" w:cs="Times New Roman"/>
          <w:sz w:val="24"/>
          <w:szCs w:val="24"/>
        </w:rPr>
        <w:t>omo cérebro, fígado e pulmão [58</w:t>
      </w:r>
      <w:r w:rsidRPr="00F268FB">
        <w:rPr>
          <w:rFonts w:ascii="Times New Roman" w:hAnsi="Times New Roman" w:cs="Times New Roman"/>
          <w:sz w:val="24"/>
          <w:szCs w:val="24"/>
        </w:rPr>
        <w:t xml:space="preserve">]. Os plasmacitomas cutâneos foram mais comuns nas extremidades dos membros (17), </w:t>
      </w:r>
      <w:r w:rsidR="00EA104B" w:rsidRPr="00F268FB">
        <w:rPr>
          <w:rFonts w:ascii="Times New Roman" w:hAnsi="Times New Roman" w:cs="Times New Roman"/>
          <w:sz w:val="24"/>
          <w:szCs w:val="24"/>
        </w:rPr>
        <w:t xml:space="preserve">nos </w:t>
      </w:r>
      <w:r w:rsidRPr="00F268FB">
        <w:rPr>
          <w:rFonts w:ascii="Times New Roman" w:hAnsi="Times New Roman" w:cs="Times New Roman"/>
          <w:sz w:val="24"/>
          <w:szCs w:val="24"/>
        </w:rPr>
        <w:t xml:space="preserve">membros (13), </w:t>
      </w:r>
      <w:r w:rsidR="00EA104B" w:rsidRPr="00F268FB">
        <w:rPr>
          <w:rFonts w:ascii="Times New Roman" w:hAnsi="Times New Roman" w:cs="Times New Roman"/>
          <w:sz w:val="24"/>
          <w:szCs w:val="24"/>
        </w:rPr>
        <w:t xml:space="preserve">no </w:t>
      </w:r>
      <w:r w:rsidRPr="00F268FB">
        <w:rPr>
          <w:rFonts w:ascii="Times New Roman" w:hAnsi="Times New Roman" w:cs="Times New Roman"/>
          <w:sz w:val="24"/>
          <w:szCs w:val="24"/>
        </w:rPr>
        <w:t xml:space="preserve">tronco (14), </w:t>
      </w:r>
      <w:r w:rsidR="00EA104B" w:rsidRPr="00F268FB">
        <w:rPr>
          <w:rFonts w:ascii="Times New Roman" w:hAnsi="Times New Roman" w:cs="Times New Roman"/>
          <w:sz w:val="24"/>
          <w:szCs w:val="24"/>
        </w:rPr>
        <w:t xml:space="preserve">nos </w:t>
      </w:r>
      <w:r w:rsidRPr="00F268FB">
        <w:rPr>
          <w:rFonts w:ascii="Times New Roman" w:hAnsi="Times New Roman" w:cs="Times New Roman"/>
          <w:sz w:val="24"/>
          <w:szCs w:val="24"/>
        </w:rPr>
        <w:t xml:space="preserve">lábios (10), </w:t>
      </w:r>
      <w:r w:rsidR="00EA104B" w:rsidRPr="00F268FB">
        <w:rPr>
          <w:rFonts w:ascii="Times New Roman" w:hAnsi="Times New Roman" w:cs="Times New Roman"/>
          <w:sz w:val="24"/>
          <w:szCs w:val="24"/>
        </w:rPr>
        <w:t xml:space="preserve">nas </w:t>
      </w:r>
      <w:r w:rsidRPr="00F268FB">
        <w:rPr>
          <w:rFonts w:ascii="Times New Roman" w:hAnsi="Times New Roman" w:cs="Times New Roman"/>
          <w:sz w:val="24"/>
          <w:szCs w:val="24"/>
        </w:rPr>
        <w:t>orelhas (10),</w:t>
      </w:r>
      <w:r w:rsidR="00EA104B" w:rsidRPr="00F268FB">
        <w:rPr>
          <w:rFonts w:ascii="Times New Roman" w:hAnsi="Times New Roman" w:cs="Times New Roman"/>
          <w:sz w:val="24"/>
          <w:szCs w:val="24"/>
        </w:rPr>
        <w:t xml:space="preserve"> na</w:t>
      </w:r>
      <w:r w:rsidRPr="00F268FB">
        <w:rPr>
          <w:rFonts w:ascii="Times New Roman" w:hAnsi="Times New Roman" w:cs="Times New Roman"/>
          <w:sz w:val="24"/>
          <w:szCs w:val="24"/>
        </w:rPr>
        <w:t xml:space="preserve"> cabeça (7), </w:t>
      </w:r>
      <w:r w:rsidR="00EA104B" w:rsidRPr="00F268FB">
        <w:rPr>
          <w:rFonts w:ascii="Times New Roman" w:hAnsi="Times New Roman" w:cs="Times New Roman"/>
          <w:sz w:val="24"/>
          <w:szCs w:val="24"/>
        </w:rPr>
        <w:t xml:space="preserve">no </w:t>
      </w:r>
      <w:r w:rsidRPr="00F268FB">
        <w:rPr>
          <w:rFonts w:ascii="Times New Roman" w:hAnsi="Times New Roman" w:cs="Times New Roman"/>
          <w:sz w:val="24"/>
          <w:szCs w:val="24"/>
        </w:rPr>
        <w:t xml:space="preserve">pescoço (5) e </w:t>
      </w:r>
      <w:r w:rsidR="00EA104B" w:rsidRPr="00F268FB">
        <w:rPr>
          <w:rFonts w:ascii="Times New Roman" w:hAnsi="Times New Roman" w:cs="Times New Roman"/>
          <w:sz w:val="24"/>
          <w:szCs w:val="24"/>
        </w:rPr>
        <w:t xml:space="preserve">no </w:t>
      </w:r>
      <w:r w:rsidRPr="00F268FB">
        <w:rPr>
          <w:rFonts w:ascii="Times New Roman" w:hAnsi="Times New Roman" w:cs="Times New Roman"/>
          <w:sz w:val="24"/>
          <w:szCs w:val="24"/>
        </w:rPr>
        <w:t>períneo (4)</w:t>
      </w:r>
      <w:r w:rsidR="00C931F1">
        <w:rPr>
          <w:rFonts w:ascii="Times New Roman" w:hAnsi="Times New Roman" w:cs="Times New Roman"/>
          <w:sz w:val="24"/>
          <w:szCs w:val="24"/>
        </w:rPr>
        <w:t xml:space="preserve"> [58</w:t>
      </w:r>
      <w:r w:rsidR="00F268FB">
        <w:rPr>
          <w:rFonts w:ascii="Times New Roman" w:hAnsi="Times New Roman" w:cs="Times New Roman"/>
          <w:sz w:val="24"/>
          <w:szCs w:val="24"/>
        </w:rPr>
        <w:t>]</w:t>
      </w:r>
      <w:r w:rsidRPr="00F268FB">
        <w:rPr>
          <w:rFonts w:ascii="Times New Roman" w:hAnsi="Times New Roman" w:cs="Times New Roman"/>
          <w:sz w:val="24"/>
          <w:szCs w:val="24"/>
        </w:rPr>
        <w:t>. Dos 107 cães, 9 (8,4%) apresentaram abundante deposição de amilóide</w:t>
      </w:r>
      <w:r w:rsidR="00F268FB">
        <w:rPr>
          <w:rFonts w:ascii="Times New Roman" w:hAnsi="Times New Roman" w:cs="Times New Roman"/>
          <w:sz w:val="24"/>
          <w:szCs w:val="24"/>
        </w:rPr>
        <w:t xml:space="preserve"> localizada nas extremidades dos membros (2) e 1 nas orelhas, no membro pélvico, na gengiva, na língua e nas tonsilas. Esta percentagem está de acordo com a referida na literatura (10%) e é possível a existência de reações de corpo estranho com células gigantes multinucleadas associ</w:t>
      </w:r>
      <w:r w:rsidR="00C931F1">
        <w:rPr>
          <w:rFonts w:ascii="Times New Roman" w:hAnsi="Times New Roman" w:cs="Times New Roman"/>
          <w:sz w:val="24"/>
          <w:szCs w:val="24"/>
        </w:rPr>
        <w:t>adas à deposição de amilóide [58</w:t>
      </w:r>
      <w:r w:rsidR="00F268FB">
        <w:rPr>
          <w:rFonts w:ascii="Times New Roman" w:hAnsi="Times New Roman" w:cs="Times New Roman"/>
          <w:sz w:val="24"/>
          <w:szCs w:val="24"/>
        </w:rPr>
        <w:t>]. A quantidade de amilóide presente variou e, em alguns casos, contribuiu mais para o volume da neoplasia do que as células neoplásicas [5</w:t>
      </w:r>
      <w:r w:rsidR="00C931F1">
        <w:rPr>
          <w:rFonts w:ascii="Times New Roman" w:hAnsi="Times New Roman" w:cs="Times New Roman"/>
          <w:sz w:val="24"/>
          <w:szCs w:val="24"/>
        </w:rPr>
        <w:t>8</w:t>
      </w:r>
      <w:r w:rsidR="00F268FB">
        <w:rPr>
          <w:rFonts w:ascii="Times New Roman" w:hAnsi="Times New Roman" w:cs="Times New Roman"/>
          <w:sz w:val="24"/>
          <w:szCs w:val="24"/>
        </w:rPr>
        <w:t>].</w:t>
      </w:r>
      <w:r w:rsidR="00D04553">
        <w:rPr>
          <w:rFonts w:ascii="Times New Roman" w:hAnsi="Times New Roman" w:cs="Times New Roman"/>
          <w:sz w:val="24"/>
          <w:szCs w:val="24"/>
        </w:rPr>
        <w:t xml:space="preserve"> </w:t>
      </w:r>
      <w:r w:rsidR="00564328" w:rsidRPr="00F268FB">
        <w:rPr>
          <w:rFonts w:ascii="Times New Roman" w:hAnsi="Times New Roman" w:cs="Times New Roman"/>
          <w:sz w:val="24"/>
          <w:szCs w:val="24"/>
        </w:rPr>
        <w:t>A amilóide é um derivado das imunoglobulinas de cadeia leve lambda e pode ser encontrada em grandes ou pequenos depósitos entre as células tumorais ou, ocasionalmente, nas paredes dos vasos sanguíneos</w:t>
      </w:r>
      <w:r w:rsidR="00C931F1">
        <w:rPr>
          <w:rFonts w:ascii="Times New Roman" w:hAnsi="Times New Roman" w:cs="Times New Roman"/>
          <w:sz w:val="24"/>
          <w:szCs w:val="24"/>
        </w:rPr>
        <w:t xml:space="preserve"> [70</w:t>
      </w:r>
      <w:r w:rsidR="0057531F" w:rsidRPr="00F268FB">
        <w:rPr>
          <w:rFonts w:ascii="Times New Roman" w:hAnsi="Times New Roman" w:cs="Times New Roman"/>
          <w:sz w:val="24"/>
          <w:szCs w:val="24"/>
        </w:rPr>
        <w:t>]</w:t>
      </w:r>
      <w:r w:rsidR="00564328" w:rsidRPr="00F268FB">
        <w:rPr>
          <w:rFonts w:ascii="Times New Roman" w:hAnsi="Times New Roman" w:cs="Times New Roman"/>
          <w:sz w:val="24"/>
          <w:szCs w:val="24"/>
        </w:rPr>
        <w:t>.</w:t>
      </w:r>
      <w:r w:rsidR="0057531F" w:rsidRPr="00F268FB">
        <w:rPr>
          <w:rFonts w:ascii="Times New Roman" w:hAnsi="Times New Roman" w:cs="Times New Roman"/>
          <w:sz w:val="24"/>
          <w:szCs w:val="24"/>
        </w:rPr>
        <w:t xml:space="preserve"> A amilóide originária de cadeias leves lambda, demonstrada através de colorações tioflavina T ou Congo vermelho, tem sido descrita em associação a plasmacitomas cutân</w:t>
      </w:r>
      <w:r w:rsidR="00C931F1">
        <w:rPr>
          <w:rFonts w:ascii="Times New Roman" w:hAnsi="Times New Roman" w:cs="Times New Roman"/>
          <w:sz w:val="24"/>
          <w:szCs w:val="24"/>
        </w:rPr>
        <w:t>eos em cães, gatos e equinos [70</w:t>
      </w:r>
      <w:r w:rsidR="0057531F" w:rsidRPr="00F268FB">
        <w:rPr>
          <w:rFonts w:ascii="Times New Roman" w:hAnsi="Times New Roman" w:cs="Times New Roman"/>
          <w:sz w:val="24"/>
          <w:szCs w:val="24"/>
        </w:rPr>
        <w:t>].</w:t>
      </w:r>
    </w:p>
    <w:p w:rsidR="00BA056A" w:rsidRPr="0033273A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Em humanos</w:t>
      </w:r>
      <w:r w:rsidR="00D04553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a maioria dos PEM ocorrem no trato respiratório superior, cavidade oral ou trato gastrointestinal, sendo raros os plasmacitomas cutâneos e metástases viscerais ou progressão para mieloma múltiplo, ocorrendo em cerca de 1/3 dos casos [5</w:t>
      </w:r>
      <w:r w:rsidR="00C931F1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].</w:t>
      </w:r>
    </w:p>
    <w:p w:rsidR="00BA056A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 plasmacitoma é um tumor de células produtoras de imunoglobulinas monoclonais [5</w:t>
      </w:r>
      <w:r w:rsidR="00C931F1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]</w:t>
      </w:r>
      <w:r w:rsidR="002A34FF">
        <w:rPr>
          <w:rFonts w:ascii="Times New Roman" w:hAnsi="Times New Roman" w:cs="Times New Roman"/>
          <w:sz w:val="24"/>
          <w:szCs w:val="24"/>
        </w:rPr>
        <w:t>.  C</w:t>
      </w:r>
      <w:r>
        <w:rPr>
          <w:rFonts w:ascii="Times New Roman" w:hAnsi="Times New Roman" w:cs="Times New Roman"/>
          <w:sz w:val="24"/>
          <w:szCs w:val="24"/>
        </w:rPr>
        <w:t>aso o animal evidencie várias lesões ós</w:t>
      </w:r>
      <w:r w:rsidR="002A34FF">
        <w:rPr>
          <w:rFonts w:ascii="Times New Roman" w:hAnsi="Times New Roman" w:cs="Times New Roman"/>
          <w:sz w:val="24"/>
          <w:szCs w:val="24"/>
        </w:rPr>
        <w:t>seas disseminadas e</w:t>
      </w:r>
      <w:r>
        <w:rPr>
          <w:rFonts w:ascii="Times New Roman" w:hAnsi="Times New Roman" w:cs="Times New Roman"/>
          <w:sz w:val="24"/>
          <w:szCs w:val="24"/>
        </w:rPr>
        <w:t xml:space="preserve"> uma elevada concentração de proteínas totais séricas, especialmente com gamopatia monoclonal, então a apresentação clínica é muito sugestiva de Mieloma Múltipl</w:t>
      </w:r>
      <w:r w:rsidR="007F0E60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 e o recurso a aspiração e exame citológico pode não ser necessário a fim de estabelecer um </w:t>
      </w:r>
      <w:r w:rsidR="00C931F1">
        <w:rPr>
          <w:rFonts w:ascii="Times New Roman" w:hAnsi="Times New Roman" w:cs="Times New Roman"/>
          <w:sz w:val="24"/>
          <w:szCs w:val="24"/>
        </w:rPr>
        <w:t>diagnóstico [10</w:t>
      </w:r>
      <w:r>
        <w:rPr>
          <w:rFonts w:ascii="Times New Roman" w:hAnsi="Times New Roman" w:cs="Times New Roman"/>
          <w:sz w:val="24"/>
          <w:szCs w:val="24"/>
        </w:rPr>
        <w:t xml:space="preserve">]. </w:t>
      </w:r>
    </w:p>
    <w:p w:rsidR="00BA056A" w:rsidRPr="00D04553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F93605">
        <w:rPr>
          <w:rFonts w:ascii="Times New Roman" w:hAnsi="Times New Roman" w:cs="Times New Roman"/>
          <w:sz w:val="24"/>
          <w:szCs w:val="24"/>
        </w:rPr>
        <w:t>deteção imunohistoquímica de imunoglobulinas de cadeias leves e pesadas tem sido o teste padrão para a d</w:t>
      </w:r>
      <w:r w:rsidR="00C931F1">
        <w:rPr>
          <w:rFonts w:ascii="Times New Roman" w:hAnsi="Times New Roman" w:cs="Times New Roman"/>
          <w:sz w:val="24"/>
          <w:szCs w:val="24"/>
        </w:rPr>
        <w:t>iferenciação dos plasmócitos [58</w:t>
      </w:r>
      <w:r w:rsidRPr="00F93605">
        <w:rPr>
          <w:rFonts w:ascii="Times New Roman" w:hAnsi="Times New Roman" w:cs="Times New Roman"/>
          <w:sz w:val="24"/>
          <w:szCs w:val="24"/>
        </w:rPr>
        <w:t>]. Apesar de no referido</w:t>
      </w:r>
      <w:r w:rsidR="00087FF5" w:rsidRPr="00F93605">
        <w:rPr>
          <w:rFonts w:ascii="Times New Roman" w:hAnsi="Times New Roman" w:cs="Times New Roman"/>
          <w:sz w:val="24"/>
          <w:szCs w:val="24"/>
        </w:rPr>
        <w:t xml:space="preserve"> estudo (Ramos-Vara</w:t>
      </w:r>
      <w:r w:rsidRPr="00F93605">
        <w:rPr>
          <w:rFonts w:ascii="Times New Roman" w:hAnsi="Times New Roman" w:cs="Times New Roman"/>
          <w:sz w:val="24"/>
          <w:szCs w:val="24"/>
        </w:rPr>
        <w:t>) não terem sido examinados outros tumores não leucocitários</w:t>
      </w:r>
      <w:r w:rsidR="00D04553" w:rsidRPr="00F93605">
        <w:rPr>
          <w:rFonts w:ascii="Times New Roman" w:hAnsi="Times New Roman" w:cs="Times New Roman"/>
          <w:sz w:val="24"/>
          <w:szCs w:val="24"/>
        </w:rPr>
        <w:t>,</w:t>
      </w:r>
      <w:r w:rsidRPr="00F93605">
        <w:rPr>
          <w:rFonts w:ascii="Times New Roman" w:hAnsi="Times New Roman" w:cs="Times New Roman"/>
          <w:sz w:val="24"/>
          <w:szCs w:val="24"/>
        </w:rPr>
        <w:t xml:space="preserve"> </w:t>
      </w:r>
      <w:r w:rsidR="00F93605" w:rsidRPr="00F93605">
        <w:rPr>
          <w:rFonts w:ascii="Times New Roman" w:hAnsi="Times New Roman" w:cs="Times New Roman"/>
          <w:sz w:val="24"/>
          <w:szCs w:val="24"/>
        </w:rPr>
        <w:t xml:space="preserve">foram obtidos vários resultados. Em primeiro lugar, </w:t>
      </w:r>
      <w:r w:rsidRPr="00F93605">
        <w:rPr>
          <w:rFonts w:ascii="Times New Roman" w:hAnsi="Times New Roman" w:cs="Times New Roman"/>
          <w:sz w:val="24"/>
          <w:szCs w:val="24"/>
        </w:rPr>
        <w:t xml:space="preserve">que o anticorpo Mum-1p é muito </w:t>
      </w:r>
      <w:r w:rsidRPr="00F93605">
        <w:rPr>
          <w:rFonts w:ascii="Times New Roman" w:hAnsi="Times New Roman" w:cs="Times New Roman"/>
          <w:sz w:val="24"/>
          <w:szCs w:val="24"/>
        </w:rPr>
        <w:lastRenderedPageBreak/>
        <w:t xml:space="preserve">específico para plasmacitomas caninos e mais específico e sensível </w:t>
      </w:r>
      <w:r w:rsidR="00087FF5" w:rsidRPr="00F93605">
        <w:rPr>
          <w:rFonts w:ascii="Times New Roman" w:hAnsi="Times New Roman" w:cs="Times New Roman"/>
          <w:sz w:val="24"/>
          <w:szCs w:val="24"/>
        </w:rPr>
        <w:t xml:space="preserve">do </w:t>
      </w:r>
      <w:r w:rsidRPr="00F93605">
        <w:rPr>
          <w:rFonts w:ascii="Times New Roman" w:hAnsi="Times New Roman" w:cs="Times New Roman"/>
          <w:sz w:val="24"/>
          <w:szCs w:val="24"/>
        </w:rPr>
        <w:t>que o CD79a e CD20</w:t>
      </w:r>
      <w:r w:rsidR="00F93605" w:rsidRPr="00F93605">
        <w:rPr>
          <w:rFonts w:ascii="Times New Roman" w:hAnsi="Times New Roman" w:cs="Times New Roman"/>
          <w:sz w:val="24"/>
          <w:szCs w:val="24"/>
        </w:rPr>
        <w:t>,</w:t>
      </w:r>
      <w:r w:rsidRPr="00F93605">
        <w:rPr>
          <w:rFonts w:ascii="Times New Roman" w:hAnsi="Times New Roman" w:cs="Times New Roman"/>
          <w:sz w:val="24"/>
          <w:szCs w:val="24"/>
        </w:rPr>
        <w:t xml:space="preserve"> no que respeita a deteção de plasmacitomas caninos em cortes </w:t>
      </w:r>
      <w:r w:rsidR="00F93605" w:rsidRPr="00F93605">
        <w:rPr>
          <w:rFonts w:ascii="Times New Roman" w:hAnsi="Times New Roman" w:cs="Times New Roman"/>
          <w:sz w:val="24"/>
          <w:szCs w:val="24"/>
        </w:rPr>
        <w:t>de tecidos fixados em formalina.  Por outro lado, foi também concluído que</w:t>
      </w:r>
      <w:r w:rsidRPr="00F93605">
        <w:rPr>
          <w:rFonts w:ascii="Times New Roman" w:hAnsi="Times New Roman" w:cs="Times New Roman"/>
          <w:sz w:val="24"/>
          <w:szCs w:val="24"/>
        </w:rPr>
        <w:t xml:space="preserve"> o uso do Mum-1p possui</w:t>
      </w:r>
      <w:r w:rsidR="00F93605" w:rsidRPr="00F93605">
        <w:rPr>
          <w:rFonts w:ascii="Times New Roman" w:hAnsi="Times New Roman" w:cs="Times New Roman"/>
          <w:sz w:val="24"/>
          <w:szCs w:val="24"/>
        </w:rPr>
        <w:t xml:space="preserve"> uma sensibilidade de</w:t>
      </w:r>
      <w:r w:rsidRPr="00F93605">
        <w:rPr>
          <w:rFonts w:ascii="Times New Roman" w:hAnsi="Times New Roman" w:cs="Times New Roman"/>
          <w:sz w:val="24"/>
          <w:szCs w:val="24"/>
        </w:rPr>
        <w:t xml:space="preserve"> 93,5% </w:t>
      </w:r>
      <w:r w:rsidR="002A34FF">
        <w:rPr>
          <w:rFonts w:ascii="Times New Roman" w:hAnsi="Times New Roman" w:cs="Times New Roman"/>
          <w:sz w:val="24"/>
          <w:szCs w:val="24"/>
        </w:rPr>
        <w:t>para deteção de p</w:t>
      </w:r>
      <w:r w:rsidR="00F93605" w:rsidRPr="00F93605">
        <w:rPr>
          <w:rFonts w:ascii="Times New Roman" w:hAnsi="Times New Roman" w:cs="Times New Roman"/>
          <w:sz w:val="24"/>
          <w:szCs w:val="24"/>
        </w:rPr>
        <w:t>l</w:t>
      </w:r>
      <w:r w:rsidR="002A34FF">
        <w:rPr>
          <w:rFonts w:ascii="Times New Roman" w:hAnsi="Times New Roman" w:cs="Times New Roman"/>
          <w:sz w:val="24"/>
          <w:szCs w:val="24"/>
        </w:rPr>
        <w:t>a</w:t>
      </w:r>
      <w:r w:rsidR="00F93605" w:rsidRPr="00F93605">
        <w:rPr>
          <w:rFonts w:ascii="Times New Roman" w:hAnsi="Times New Roman" w:cs="Times New Roman"/>
          <w:sz w:val="24"/>
          <w:szCs w:val="24"/>
        </w:rPr>
        <w:t xml:space="preserve">smocitomas </w:t>
      </w:r>
      <w:r w:rsidRPr="00F93605">
        <w:rPr>
          <w:rFonts w:ascii="Times New Roman" w:hAnsi="Times New Roman" w:cs="Times New Roman"/>
          <w:sz w:val="24"/>
          <w:szCs w:val="24"/>
        </w:rPr>
        <w:t>e, quando combinado</w:t>
      </w:r>
      <w:r w:rsidR="00F93605" w:rsidRPr="00F93605">
        <w:rPr>
          <w:rFonts w:ascii="Times New Roman" w:hAnsi="Times New Roman" w:cs="Times New Roman"/>
          <w:sz w:val="24"/>
          <w:szCs w:val="24"/>
        </w:rPr>
        <w:t xml:space="preserve"> com CD79a, esta sobe para 95,5%.</w:t>
      </w:r>
      <w:r w:rsidRPr="00F93605">
        <w:rPr>
          <w:rFonts w:ascii="Times New Roman" w:hAnsi="Times New Roman" w:cs="Times New Roman"/>
          <w:sz w:val="24"/>
          <w:szCs w:val="24"/>
        </w:rPr>
        <w:t xml:space="preserve"> </w:t>
      </w:r>
      <w:r w:rsidR="00F93605" w:rsidRPr="00F93605">
        <w:rPr>
          <w:rFonts w:ascii="Times New Roman" w:hAnsi="Times New Roman" w:cs="Times New Roman"/>
          <w:sz w:val="24"/>
          <w:szCs w:val="24"/>
        </w:rPr>
        <w:t xml:space="preserve">Por fim, foi sugerido que </w:t>
      </w:r>
      <w:r w:rsidRPr="00F93605">
        <w:rPr>
          <w:rFonts w:ascii="Times New Roman" w:hAnsi="Times New Roman" w:cs="Times New Roman"/>
          <w:sz w:val="24"/>
          <w:szCs w:val="24"/>
        </w:rPr>
        <w:t>alguns linfomas caninos d</w:t>
      </w:r>
      <w:r w:rsidR="00F93605" w:rsidRPr="00F93605">
        <w:rPr>
          <w:rFonts w:ascii="Times New Roman" w:hAnsi="Times New Roman" w:cs="Times New Roman"/>
          <w:sz w:val="24"/>
          <w:szCs w:val="24"/>
        </w:rPr>
        <w:t>e células B expressam Mum-1/Irf4, que</w:t>
      </w:r>
      <w:r w:rsidRPr="00F93605">
        <w:rPr>
          <w:rFonts w:ascii="Times New Roman" w:hAnsi="Times New Roman" w:cs="Times New Roman"/>
          <w:sz w:val="24"/>
          <w:szCs w:val="24"/>
        </w:rPr>
        <w:t xml:space="preserve"> melanomas e outros tumores leucoc</w:t>
      </w:r>
      <w:r w:rsidR="00F93605" w:rsidRPr="00F93605">
        <w:rPr>
          <w:rFonts w:ascii="Times New Roman" w:hAnsi="Times New Roman" w:cs="Times New Roman"/>
          <w:sz w:val="24"/>
          <w:szCs w:val="24"/>
        </w:rPr>
        <w:t>itários não expressam Mum1/Irf4 e que</w:t>
      </w:r>
      <w:r w:rsidRPr="00F93605">
        <w:rPr>
          <w:rFonts w:ascii="Times New Roman" w:hAnsi="Times New Roman" w:cs="Times New Roman"/>
          <w:sz w:val="24"/>
          <w:szCs w:val="24"/>
        </w:rPr>
        <w:t xml:space="preserve"> existe uma necessidade de futuros estudos no que respeita à significância de Mum</w:t>
      </w:r>
      <w:r w:rsidR="00F93605" w:rsidRPr="00F93605">
        <w:rPr>
          <w:rFonts w:ascii="Times New Roman" w:hAnsi="Times New Roman" w:cs="Times New Roman"/>
          <w:sz w:val="24"/>
          <w:szCs w:val="24"/>
        </w:rPr>
        <w:t>-</w:t>
      </w:r>
      <w:r w:rsidRPr="00F93605">
        <w:rPr>
          <w:rFonts w:ascii="Times New Roman" w:hAnsi="Times New Roman" w:cs="Times New Roman"/>
          <w:sz w:val="24"/>
          <w:szCs w:val="24"/>
        </w:rPr>
        <w:t>1 como factor de pro</w:t>
      </w:r>
      <w:r w:rsidR="00C931F1">
        <w:rPr>
          <w:rFonts w:ascii="Times New Roman" w:hAnsi="Times New Roman" w:cs="Times New Roman"/>
          <w:sz w:val="24"/>
          <w:szCs w:val="24"/>
        </w:rPr>
        <w:t>gnóstico em linfomas caninos [58</w:t>
      </w:r>
      <w:r w:rsidRPr="00F93605">
        <w:rPr>
          <w:rFonts w:ascii="Times New Roman" w:hAnsi="Times New Roman" w:cs="Times New Roman"/>
          <w:sz w:val="24"/>
          <w:szCs w:val="24"/>
        </w:rPr>
        <w:t>].</w:t>
      </w:r>
      <w:r>
        <w:rPr>
          <w:rFonts w:ascii="Times New Roman" w:hAnsi="Times New Roman" w:cs="Times New Roman"/>
          <w:sz w:val="24"/>
          <w:szCs w:val="24"/>
        </w:rPr>
        <w:t xml:space="preserve"> No Homem os plasmacitomas têm tipicamente um imunofenótipo Mum</w:t>
      </w:r>
      <w:r w:rsidR="00F93605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1/IRF4 positivo, CD/79a positivo e CD20 negativo, com expressão de outros marcadores como CD138 e VS38c [5</w:t>
      </w:r>
      <w:r w:rsidR="00C931F1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].</w:t>
      </w:r>
    </w:p>
    <w:p w:rsidR="00884DFA" w:rsidRDefault="00884DFA" w:rsidP="00884DF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A056A" w:rsidRPr="00884DFA" w:rsidRDefault="00BA056A" w:rsidP="00884DF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884DFA">
        <w:rPr>
          <w:rFonts w:ascii="Times New Roman" w:hAnsi="Times New Roman" w:cs="Times New Roman"/>
          <w:bCs/>
          <w:sz w:val="24"/>
          <w:szCs w:val="24"/>
          <w:u w:val="single"/>
        </w:rPr>
        <w:t>2.3.3.3.5 Melanomas</w:t>
      </w:r>
    </w:p>
    <w:p w:rsidR="00BA056A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84DFA">
        <w:rPr>
          <w:rFonts w:ascii="Times New Roman" w:hAnsi="Times New Roman" w:cs="Times New Roman"/>
          <w:bCs/>
          <w:sz w:val="24"/>
          <w:szCs w:val="24"/>
        </w:rPr>
        <w:t xml:space="preserve">Ambas </w:t>
      </w:r>
      <w:r>
        <w:rPr>
          <w:rFonts w:ascii="Times New Roman" w:hAnsi="Times New Roman" w:cs="Times New Roman"/>
          <w:bCs/>
          <w:sz w:val="24"/>
          <w:szCs w:val="24"/>
        </w:rPr>
        <w:t>formas maligna e benigna são comuns, constituindo cerca de 5% dos tumores de p</w:t>
      </w:r>
      <w:r w:rsidR="00884DFA">
        <w:rPr>
          <w:rFonts w:ascii="Times New Roman" w:hAnsi="Times New Roman" w:cs="Times New Roman"/>
          <w:bCs/>
          <w:sz w:val="24"/>
          <w:szCs w:val="24"/>
        </w:rPr>
        <w:t>ele caninos e 3% dos felinos [39</w:t>
      </w:r>
      <w:r>
        <w:rPr>
          <w:rFonts w:ascii="Times New Roman" w:hAnsi="Times New Roman" w:cs="Times New Roman"/>
          <w:bCs/>
          <w:sz w:val="24"/>
          <w:szCs w:val="24"/>
        </w:rPr>
        <w:t xml:space="preserve">]. </w:t>
      </w:r>
      <w:r w:rsidR="00087FF5">
        <w:rPr>
          <w:rFonts w:ascii="Times New Roman" w:hAnsi="Times New Roman" w:cs="Times New Roman"/>
          <w:bCs/>
          <w:sz w:val="24"/>
          <w:szCs w:val="24"/>
        </w:rPr>
        <w:t>Os a</w:t>
      </w:r>
      <w:r>
        <w:rPr>
          <w:rFonts w:ascii="Times New Roman" w:hAnsi="Times New Roman" w:cs="Times New Roman"/>
          <w:bCs/>
          <w:sz w:val="24"/>
          <w:szCs w:val="24"/>
        </w:rPr>
        <w:t>nimais de idade mais avançada são mais afectados uma vez que possuem pele mais pigmentada. Cerca de 70% das lesões melanocíticas são benignas, aparecendo como elevações pretas a castanhas, circunscritas, cobe</w:t>
      </w:r>
      <w:r w:rsidR="00884DFA">
        <w:rPr>
          <w:rFonts w:ascii="Times New Roman" w:hAnsi="Times New Roman" w:cs="Times New Roman"/>
          <w:bCs/>
          <w:sz w:val="24"/>
          <w:szCs w:val="24"/>
        </w:rPr>
        <w:t>rtas por pele fina alopécica [39</w:t>
      </w:r>
      <w:r>
        <w:rPr>
          <w:rFonts w:ascii="Times New Roman" w:hAnsi="Times New Roman" w:cs="Times New Roman"/>
          <w:bCs/>
          <w:sz w:val="24"/>
          <w:szCs w:val="24"/>
        </w:rPr>
        <w:t xml:space="preserve">]. Por outro lado, </w:t>
      </w:r>
      <w:r w:rsidR="00087FF5">
        <w:rPr>
          <w:rFonts w:ascii="Times New Roman" w:hAnsi="Times New Roman" w:cs="Times New Roman"/>
          <w:bCs/>
          <w:sz w:val="24"/>
          <w:szCs w:val="24"/>
        </w:rPr>
        <w:t>os melanomas d</w:t>
      </w:r>
      <w:r>
        <w:rPr>
          <w:rFonts w:ascii="Times New Roman" w:hAnsi="Times New Roman" w:cs="Times New Roman"/>
          <w:bCs/>
          <w:sz w:val="24"/>
          <w:szCs w:val="24"/>
        </w:rPr>
        <w:t>os lábios,</w:t>
      </w:r>
      <w:r w:rsidR="00087FF5">
        <w:rPr>
          <w:rFonts w:ascii="Times New Roman" w:hAnsi="Times New Roman" w:cs="Times New Roman"/>
          <w:bCs/>
          <w:sz w:val="24"/>
          <w:szCs w:val="24"/>
        </w:rPr>
        <w:t xml:space="preserve"> da</w:t>
      </w:r>
      <w:r>
        <w:rPr>
          <w:rFonts w:ascii="Times New Roman" w:hAnsi="Times New Roman" w:cs="Times New Roman"/>
          <w:bCs/>
          <w:sz w:val="24"/>
          <w:szCs w:val="24"/>
        </w:rPr>
        <w:t xml:space="preserve"> cavidade oral e </w:t>
      </w:r>
      <w:r w:rsidR="00087FF5">
        <w:rPr>
          <w:rFonts w:ascii="Times New Roman" w:hAnsi="Times New Roman" w:cs="Times New Roman"/>
          <w:bCs/>
          <w:sz w:val="24"/>
          <w:szCs w:val="24"/>
        </w:rPr>
        <w:t xml:space="preserve">dos </w:t>
      </w:r>
      <w:r>
        <w:rPr>
          <w:rFonts w:ascii="Times New Roman" w:hAnsi="Times New Roman" w:cs="Times New Roman"/>
          <w:bCs/>
          <w:sz w:val="24"/>
          <w:szCs w:val="24"/>
        </w:rPr>
        <w:t>dígitos são frequentemente malignos [</w:t>
      </w:r>
      <w:r w:rsidR="00884DFA">
        <w:rPr>
          <w:rFonts w:ascii="Times New Roman" w:hAnsi="Times New Roman" w:cs="Times New Roman"/>
          <w:bCs/>
          <w:sz w:val="24"/>
          <w:szCs w:val="24"/>
        </w:rPr>
        <w:t>9</w:t>
      </w:r>
      <w:r>
        <w:rPr>
          <w:rFonts w:ascii="Times New Roman" w:hAnsi="Times New Roman" w:cs="Times New Roman"/>
          <w:bCs/>
          <w:sz w:val="24"/>
          <w:szCs w:val="24"/>
        </w:rPr>
        <w:t>]</w:t>
      </w:r>
      <w:r w:rsidR="00087FF5">
        <w:rPr>
          <w:rFonts w:ascii="Times New Roman" w:hAnsi="Times New Roman" w:cs="Times New Roman"/>
          <w:bCs/>
          <w:sz w:val="24"/>
          <w:szCs w:val="24"/>
        </w:rPr>
        <w:t>, sendo variavelmente pigmentados, infiltrativos e frequentemente ulcerados e infetado</w:t>
      </w:r>
      <w:r w:rsidR="00884DFA">
        <w:rPr>
          <w:rFonts w:ascii="Times New Roman" w:hAnsi="Times New Roman" w:cs="Times New Roman"/>
          <w:bCs/>
          <w:sz w:val="24"/>
          <w:szCs w:val="24"/>
        </w:rPr>
        <w:t>s [39</w:t>
      </w:r>
      <w:r>
        <w:rPr>
          <w:rFonts w:ascii="Times New Roman" w:hAnsi="Times New Roman" w:cs="Times New Roman"/>
          <w:bCs/>
          <w:sz w:val="24"/>
          <w:szCs w:val="24"/>
        </w:rPr>
        <w:t xml:space="preserve">]. Citologicamente as formas benignas e malignas são pleomórficas, desde aspecto epitelial a fusiforme ou redondo (este último semelhante a plasmacitoma cutâneo). Em melanomas bem diferenciados estão presentes numerosos grânulos citoplasmáticos pretos esverdeados </w:t>
      </w:r>
      <w:r w:rsidR="00884DFA">
        <w:rPr>
          <w:rFonts w:ascii="Times New Roman" w:hAnsi="Times New Roman" w:cs="Times New Roman"/>
          <w:bCs/>
          <w:sz w:val="24"/>
          <w:szCs w:val="24"/>
        </w:rPr>
        <w:t>que podem mascarar o núcleo [39]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BA056A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Em casos benignos os núcleos são pequenos e uniformes, em comparação com a típica anisocitose, anisocariose, cromatina espumosa e nucléolos proeminentes encontrados em melanomas malignos. Melanomas pouco diferenciados podem conter poucos a nenh</w:t>
      </w:r>
      <w:r w:rsidR="00884DFA">
        <w:rPr>
          <w:rFonts w:ascii="Times New Roman" w:hAnsi="Times New Roman" w:cs="Times New Roman"/>
          <w:bCs/>
          <w:sz w:val="24"/>
          <w:szCs w:val="24"/>
        </w:rPr>
        <w:t>uns grânulos citoplasmáticos [39</w:t>
      </w:r>
      <w:r>
        <w:rPr>
          <w:rFonts w:ascii="Times New Roman" w:hAnsi="Times New Roman" w:cs="Times New Roman"/>
          <w:bCs/>
          <w:sz w:val="24"/>
          <w:szCs w:val="24"/>
        </w:rPr>
        <w:t xml:space="preserve">]. </w:t>
      </w:r>
    </w:p>
    <w:p w:rsidR="00BA056A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O tratamento inclui </w:t>
      </w:r>
      <w:r w:rsidR="00087FF5">
        <w:rPr>
          <w:rFonts w:ascii="Times New Roman" w:hAnsi="Times New Roman" w:cs="Times New Roman"/>
          <w:bCs/>
          <w:sz w:val="24"/>
          <w:szCs w:val="24"/>
        </w:rPr>
        <w:t xml:space="preserve">uma </w:t>
      </w:r>
      <w:r>
        <w:rPr>
          <w:rFonts w:ascii="Times New Roman" w:hAnsi="Times New Roman" w:cs="Times New Roman"/>
          <w:bCs/>
          <w:sz w:val="24"/>
          <w:szCs w:val="24"/>
        </w:rPr>
        <w:t>larga excisão cirúrgica e o prognóstico depende da localização do tumor e características histológicas.</w:t>
      </w:r>
      <w:r w:rsidR="00087FF5">
        <w:rPr>
          <w:rFonts w:ascii="Times New Roman" w:hAnsi="Times New Roman" w:cs="Times New Roman"/>
          <w:bCs/>
          <w:sz w:val="24"/>
          <w:szCs w:val="24"/>
        </w:rPr>
        <w:t xml:space="preserve"> Os m</w:t>
      </w:r>
      <w:r>
        <w:rPr>
          <w:rFonts w:ascii="Times New Roman" w:hAnsi="Times New Roman" w:cs="Times New Roman"/>
          <w:bCs/>
          <w:sz w:val="24"/>
          <w:szCs w:val="24"/>
        </w:rPr>
        <w:t>elanomas benignos têm baixas taxas mitóticas e têm frequentemente um bom prognóstico</w:t>
      </w:r>
      <w:r w:rsidR="00884DFA">
        <w:rPr>
          <w:rFonts w:ascii="Times New Roman" w:hAnsi="Times New Roman" w:cs="Times New Roman"/>
          <w:bCs/>
          <w:sz w:val="24"/>
          <w:szCs w:val="24"/>
        </w:rPr>
        <w:t xml:space="preserve"> [39]</w:t>
      </w:r>
      <w:r>
        <w:rPr>
          <w:rFonts w:ascii="Times New Roman" w:hAnsi="Times New Roman" w:cs="Times New Roman"/>
          <w:bCs/>
          <w:sz w:val="24"/>
          <w:szCs w:val="24"/>
        </w:rPr>
        <w:t xml:space="preserve">. Citologicamente, os diagnósticos diferenciais para melanomas benignos incluem melanócitos normais, células basais pigmentadas, melanófagos e macrófagos pós fagocitose de hemosiderina; </w:t>
      </w:r>
      <w:r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por outro lado, para melanomas malignos </w:t>
      </w:r>
      <w:r w:rsidR="007F0E60">
        <w:rPr>
          <w:rFonts w:ascii="Times New Roman" w:hAnsi="Times New Roman" w:cs="Times New Roman"/>
          <w:bCs/>
          <w:sz w:val="24"/>
          <w:szCs w:val="24"/>
        </w:rPr>
        <w:t>incluem-se fibrossarcoma, plasma</w:t>
      </w:r>
      <w:r>
        <w:rPr>
          <w:rFonts w:ascii="Times New Roman" w:hAnsi="Times New Roman" w:cs="Times New Roman"/>
          <w:bCs/>
          <w:sz w:val="24"/>
          <w:szCs w:val="24"/>
        </w:rPr>
        <w:t>citoma, sarcoma indiferenciado ou outros tumor</w:t>
      </w:r>
      <w:r w:rsidR="00884DFA">
        <w:rPr>
          <w:rFonts w:ascii="Times New Roman" w:hAnsi="Times New Roman" w:cs="Times New Roman"/>
          <w:bCs/>
          <w:sz w:val="24"/>
          <w:szCs w:val="24"/>
        </w:rPr>
        <w:t>es de pele fusiformes [39</w:t>
      </w:r>
      <w:r>
        <w:rPr>
          <w:rFonts w:ascii="Times New Roman" w:hAnsi="Times New Roman" w:cs="Times New Roman"/>
          <w:bCs/>
          <w:sz w:val="24"/>
          <w:szCs w:val="24"/>
        </w:rPr>
        <w:t>].</w:t>
      </w:r>
    </w:p>
    <w:p w:rsidR="00BA056A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Num estudo de Bergin et al. (2011) de 79 casos de melanoma oral em cães, 48 sobreviveram no mínimo um ano após diagnóstico e 32 morreram ou foram eutanasiados até um ano após diagnóstico, devido a causas relacionadas com o melan</w:t>
      </w:r>
      <w:r w:rsidR="00884DFA">
        <w:rPr>
          <w:rFonts w:ascii="Times New Roman" w:hAnsi="Times New Roman" w:cs="Times New Roman"/>
          <w:bCs/>
          <w:sz w:val="24"/>
          <w:szCs w:val="24"/>
        </w:rPr>
        <w:t>oma [59</w:t>
      </w:r>
      <w:r>
        <w:rPr>
          <w:rFonts w:ascii="Times New Roman" w:hAnsi="Times New Roman" w:cs="Times New Roman"/>
          <w:bCs/>
          <w:sz w:val="24"/>
          <w:szCs w:val="24"/>
        </w:rPr>
        <w:t>]. O TSM dos cães que morreram</w:t>
      </w:r>
      <w:r w:rsidRPr="00904C82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antes de um ano pós diagnóstico, devido a causas relacionadas com melanomas, foi de 118 dias. Para cães que sobreviveram pelo menos </w:t>
      </w:r>
      <w:r w:rsidR="00884DFA">
        <w:rPr>
          <w:rFonts w:ascii="Times New Roman" w:hAnsi="Times New Roman" w:cs="Times New Roman"/>
          <w:bCs/>
          <w:sz w:val="24"/>
          <w:szCs w:val="24"/>
        </w:rPr>
        <w:t>um ano o TSM foi de 753 dias [59</w:t>
      </w:r>
      <w:r>
        <w:rPr>
          <w:rFonts w:ascii="Times New Roman" w:hAnsi="Times New Roman" w:cs="Times New Roman"/>
          <w:bCs/>
          <w:sz w:val="24"/>
          <w:szCs w:val="24"/>
        </w:rPr>
        <w:t xml:space="preserve">]. </w:t>
      </w:r>
    </w:p>
    <w:p w:rsidR="00BA056A" w:rsidRPr="00B963CD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963CD">
        <w:rPr>
          <w:rFonts w:ascii="Times New Roman" w:hAnsi="Times New Roman" w:cs="Times New Roman"/>
          <w:sz w:val="24"/>
          <w:szCs w:val="24"/>
        </w:rPr>
        <w:t>O índice Ki-67 tem sido usado como factor de prognóstico em oncologia humana e em mastocitomas caninos. Em melanomas caninos a expressão de Ki-67 tem sido avaliada apenas em peq</w:t>
      </w:r>
      <w:r w:rsidR="00884DFA">
        <w:rPr>
          <w:rFonts w:ascii="Times New Roman" w:hAnsi="Times New Roman" w:cs="Times New Roman"/>
          <w:sz w:val="24"/>
          <w:szCs w:val="24"/>
        </w:rPr>
        <w:t>uena escala [59</w:t>
      </w:r>
      <w:r>
        <w:rPr>
          <w:rFonts w:ascii="Times New Roman" w:hAnsi="Times New Roman" w:cs="Times New Roman"/>
          <w:sz w:val="24"/>
          <w:szCs w:val="24"/>
        </w:rPr>
        <w:t xml:space="preserve">]. Num estudo de </w:t>
      </w:r>
      <w:r w:rsidRPr="00B963CD">
        <w:rPr>
          <w:rFonts w:ascii="Times New Roman" w:hAnsi="Times New Roman" w:cs="Times New Roman"/>
          <w:sz w:val="24"/>
          <w:szCs w:val="24"/>
        </w:rPr>
        <w:t>Laprie e</w:t>
      </w:r>
      <w:r>
        <w:rPr>
          <w:rFonts w:ascii="Times New Roman" w:hAnsi="Times New Roman" w:cs="Times New Roman"/>
          <w:sz w:val="24"/>
          <w:szCs w:val="24"/>
        </w:rPr>
        <w:t>t al.</w:t>
      </w:r>
      <w:r w:rsidRPr="00B963C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B963CD">
        <w:rPr>
          <w:rFonts w:ascii="Times New Roman" w:hAnsi="Times New Roman" w:cs="Times New Roman"/>
          <w:sz w:val="24"/>
          <w:szCs w:val="24"/>
        </w:rPr>
        <w:t>2001) um índice mitótico de pelo menos 15% em 500 células neoplásicas foi preditivo de fraco prognóstico em melanomas c</w:t>
      </w:r>
      <w:r>
        <w:rPr>
          <w:rFonts w:ascii="Times New Roman" w:hAnsi="Times New Roman" w:cs="Times New Roman"/>
          <w:sz w:val="24"/>
          <w:szCs w:val="24"/>
        </w:rPr>
        <w:t xml:space="preserve">utâneos caninos. Noutro estudo de </w:t>
      </w:r>
      <w:r w:rsidRPr="00B963CD">
        <w:rPr>
          <w:rFonts w:ascii="Times New Roman" w:hAnsi="Times New Roman" w:cs="Times New Roman"/>
          <w:sz w:val="24"/>
          <w:szCs w:val="24"/>
        </w:rPr>
        <w:t>Millanta e</w:t>
      </w:r>
      <w:r>
        <w:rPr>
          <w:rFonts w:ascii="Times New Roman" w:hAnsi="Times New Roman" w:cs="Times New Roman"/>
          <w:sz w:val="24"/>
          <w:szCs w:val="24"/>
        </w:rPr>
        <w:t>t al.</w:t>
      </w:r>
      <w:r w:rsidRPr="00B963C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B963CD">
        <w:rPr>
          <w:rFonts w:ascii="Times New Roman" w:hAnsi="Times New Roman" w:cs="Times New Roman"/>
          <w:sz w:val="24"/>
          <w:szCs w:val="24"/>
        </w:rPr>
        <w:t xml:space="preserve">2002), </w:t>
      </w:r>
      <w:r w:rsidR="00087FF5">
        <w:rPr>
          <w:rFonts w:ascii="Times New Roman" w:hAnsi="Times New Roman" w:cs="Times New Roman"/>
          <w:sz w:val="24"/>
          <w:szCs w:val="24"/>
        </w:rPr>
        <w:t xml:space="preserve">os </w:t>
      </w:r>
      <w:r w:rsidRPr="00B963CD">
        <w:rPr>
          <w:rFonts w:ascii="Times New Roman" w:hAnsi="Times New Roman" w:cs="Times New Roman"/>
          <w:sz w:val="24"/>
          <w:szCs w:val="24"/>
        </w:rPr>
        <w:t>valores de Ki-67 maiores que a mediana</w:t>
      </w:r>
      <w:r>
        <w:rPr>
          <w:rFonts w:ascii="Times New Roman" w:hAnsi="Times New Roman" w:cs="Times New Roman"/>
          <w:sz w:val="24"/>
          <w:szCs w:val="24"/>
        </w:rPr>
        <w:t xml:space="preserve"> estiveram associados a maior nú</w:t>
      </w:r>
      <w:r w:rsidRPr="00B963CD">
        <w:rPr>
          <w:rFonts w:ascii="Times New Roman" w:hAnsi="Times New Roman" w:cs="Times New Roman"/>
          <w:sz w:val="24"/>
          <w:szCs w:val="24"/>
        </w:rPr>
        <w:t>mero de mortes até um ano após excisão cirúrgica e</w:t>
      </w:r>
      <w:r>
        <w:rPr>
          <w:rFonts w:ascii="Times New Roman" w:hAnsi="Times New Roman" w:cs="Times New Roman"/>
          <w:sz w:val="24"/>
          <w:szCs w:val="24"/>
        </w:rPr>
        <w:t>m</w:t>
      </w:r>
      <w:r w:rsidRPr="00B963CD">
        <w:rPr>
          <w:rFonts w:ascii="Times New Roman" w:hAnsi="Times New Roman" w:cs="Times New Roman"/>
          <w:sz w:val="24"/>
          <w:szCs w:val="24"/>
        </w:rPr>
        <w:t xml:space="preserve"> melanomas orais e cutâneos e</w:t>
      </w:r>
      <w:r>
        <w:rPr>
          <w:rFonts w:ascii="Times New Roman" w:hAnsi="Times New Roman" w:cs="Times New Roman"/>
          <w:sz w:val="24"/>
          <w:szCs w:val="24"/>
        </w:rPr>
        <w:t>m c</w:t>
      </w:r>
      <w:r w:rsidR="00884DFA">
        <w:rPr>
          <w:rFonts w:ascii="Times New Roman" w:hAnsi="Times New Roman" w:cs="Times New Roman"/>
          <w:sz w:val="24"/>
          <w:szCs w:val="24"/>
        </w:rPr>
        <w:t>ães [59</w:t>
      </w:r>
      <w:r w:rsidRPr="00B963CD">
        <w:rPr>
          <w:rFonts w:ascii="Times New Roman" w:hAnsi="Times New Roman" w:cs="Times New Roman"/>
          <w:sz w:val="24"/>
          <w:szCs w:val="24"/>
        </w:rPr>
        <w:t xml:space="preserve">]. Um estudo semelhante </w:t>
      </w:r>
      <w:r>
        <w:rPr>
          <w:rFonts w:ascii="Times New Roman" w:hAnsi="Times New Roman" w:cs="Times New Roman"/>
          <w:sz w:val="24"/>
          <w:szCs w:val="24"/>
        </w:rPr>
        <w:t>de Roels e Tilmant (</w:t>
      </w:r>
      <w:r w:rsidRPr="00B963CD">
        <w:rPr>
          <w:rFonts w:ascii="Times New Roman" w:hAnsi="Times New Roman" w:cs="Times New Roman"/>
          <w:sz w:val="24"/>
          <w:szCs w:val="24"/>
        </w:rPr>
        <w:t>1999)</w:t>
      </w:r>
      <w:r>
        <w:rPr>
          <w:rFonts w:ascii="Times New Roman" w:hAnsi="Times New Roman" w:cs="Times New Roman"/>
          <w:sz w:val="24"/>
          <w:szCs w:val="24"/>
        </w:rPr>
        <w:t xml:space="preserve"> demonstrou também</w:t>
      </w:r>
      <w:r w:rsidRPr="00B963CD">
        <w:rPr>
          <w:rFonts w:ascii="Times New Roman" w:hAnsi="Times New Roman" w:cs="Times New Roman"/>
          <w:sz w:val="24"/>
          <w:szCs w:val="24"/>
        </w:rPr>
        <w:t xml:space="preserve"> que </w:t>
      </w:r>
      <w:r w:rsidR="00087FF5">
        <w:rPr>
          <w:rFonts w:ascii="Times New Roman" w:hAnsi="Times New Roman" w:cs="Times New Roman"/>
          <w:sz w:val="24"/>
          <w:szCs w:val="24"/>
        </w:rPr>
        <w:t>valores de Ki-67 mais elevados</w:t>
      </w:r>
      <w:r w:rsidRPr="00B963CD">
        <w:rPr>
          <w:rFonts w:ascii="Times New Roman" w:hAnsi="Times New Roman" w:cs="Times New Roman"/>
          <w:sz w:val="24"/>
          <w:szCs w:val="24"/>
        </w:rPr>
        <w:t xml:space="preserve"> estavam re</w:t>
      </w:r>
      <w:r>
        <w:rPr>
          <w:rFonts w:ascii="Times New Roman" w:hAnsi="Times New Roman" w:cs="Times New Roman"/>
          <w:sz w:val="24"/>
          <w:szCs w:val="24"/>
        </w:rPr>
        <w:t xml:space="preserve">lacionados com menores TSM </w:t>
      </w:r>
      <w:r w:rsidRPr="00B963CD">
        <w:rPr>
          <w:rFonts w:ascii="Times New Roman" w:hAnsi="Times New Roman" w:cs="Times New Roman"/>
          <w:sz w:val="24"/>
          <w:szCs w:val="24"/>
        </w:rPr>
        <w:t xml:space="preserve">6 meses </w:t>
      </w:r>
      <w:r>
        <w:rPr>
          <w:rFonts w:ascii="Times New Roman" w:hAnsi="Times New Roman" w:cs="Times New Roman"/>
          <w:sz w:val="24"/>
          <w:szCs w:val="24"/>
        </w:rPr>
        <w:t>após</w:t>
      </w:r>
      <w:r w:rsidRPr="00B963CD">
        <w:rPr>
          <w:rFonts w:ascii="Times New Roman" w:hAnsi="Times New Roman" w:cs="Times New Roman"/>
          <w:sz w:val="24"/>
          <w:szCs w:val="24"/>
        </w:rPr>
        <w:t xml:space="preserve"> diagnóstico. </w:t>
      </w:r>
      <w:r>
        <w:rPr>
          <w:rFonts w:ascii="Times New Roman" w:hAnsi="Times New Roman" w:cs="Times New Roman"/>
          <w:sz w:val="24"/>
          <w:szCs w:val="24"/>
        </w:rPr>
        <w:t>Por fim, Sanchez et al. (</w:t>
      </w:r>
      <w:r w:rsidRPr="00B963CD">
        <w:rPr>
          <w:rFonts w:ascii="Times New Roman" w:hAnsi="Times New Roman" w:cs="Times New Roman"/>
          <w:sz w:val="24"/>
          <w:szCs w:val="24"/>
        </w:rPr>
        <w:t xml:space="preserve">2007) </w:t>
      </w:r>
      <w:r>
        <w:rPr>
          <w:rFonts w:ascii="Times New Roman" w:hAnsi="Times New Roman" w:cs="Times New Roman"/>
          <w:sz w:val="24"/>
          <w:szCs w:val="24"/>
        </w:rPr>
        <w:t>verificou que</w:t>
      </w:r>
      <w:r w:rsidRPr="00B963CD">
        <w:rPr>
          <w:rFonts w:ascii="Times New Roman" w:hAnsi="Times New Roman" w:cs="Times New Roman"/>
          <w:sz w:val="24"/>
          <w:szCs w:val="24"/>
        </w:rPr>
        <w:t xml:space="preserve"> um Ki-6</w:t>
      </w:r>
      <w:r>
        <w:rPr>
          <w:rFonts w:ascii="Times New Roman" w:hAnsi="Times New Roman" w:cs="Times New Roman"/>
          <w:sz w:val="24"/>
          <w:szCs w:val="24"/>
        </w:rPr>
        <w:t>7 de pelo menos 30%</w:t>
      </w:r>
      <w:r w:rsidRPr="00B963C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se relacionava com recorrência e metástases</w:t>
      </w:r>
      <w:r w:rsidRPr="00B963CD">
        <w:rPr>
          <w:rFonts w:ascii="Times New Roman" w:hAnsi="Times New Roman" w:cs="Times New Roman"/>
          <w:sz w:val="24"/>
          <w:szCs w:val="24"/>
        </w:rPr>
        <w:t xml:space="preserve"> 6 meses após diagnóstico em melanomas com dif</w:t>
      </w:r>
      <w:r w:rsidR="00884DFA">
        <w:rPr>
          <w:rFonts w:ascii="Times New Roman" w:hAnsi="Times New Roman" w:cs="Times New Roman"/>
          <w:sz w:val="24"/>
          <w:szCs w:val="24"/>
        </w:rPr>
        <w:t>erenciação osteocartilagínea [59</w:t>
      </w:r>
      <w:r w:rsidRPr="00B963CD">
        <w:rPr>
          <w:rFonts w:ascii="Times New Roman" w:hAnsi="Times New Roman" w:cs="Times New Roman"/>
          <w:sz w:val="24"/>
          <w:szCs w:val="24"/>
        </w:rPr>
        <w:t>].</w:t>
      </w:r>
    </w:p>
    <w:p w:rsidR="00F93605" w:rsidRPr="00D04553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963CD">
        <w:rPr>
          <w:rFonts w:ascii="Times New Roman" w:hAnsi="Times New Roman" w:cs="Times New Roman"/>
          <w:sz w:val="24"/>
          <w:szCs w:val="24"/>
        </w:rPr>
        <w:t xml:space="preserve"> Assim, </w:t>
      </w:r>
      <w:r>
        <w:rPr>
          <w:rFonts w:ascii="Times New Roman" w:hAnsi="Times New Roman" w:cs="Times New Roman"/>
          <w:sz w:val="24"/>
          <w:szCs w:val="24"/>
        </w:rPr>
        <w:t>não tendo sido</w:t>
      </w:r>
      <w:r w:rsidRPr="00B963CD">
        <w:rPr>
          <w:rFonts w:ascii="Times New Roman" w:hAnsi="Times New Roman" w:cs="Times New Roman"/>
          <w:sz w:val="24"/>
          <w:szCs w:val="24"/>
        </w:rPr>
        <w:t xml:space="preserve"> estabelecido</w:t>
      </w:r>
      <w:r>
        <w:rPr>
          <w:rFonts w:ascii="Times New Roman" w:hAnsi="Times New Roman" w:cs="Times New Roman"/>
          <w:sz w:val="24"/>
          <w:szCs w:val="24"/>
        </w:rPr>
        <w:t xml:space="preserve"> até então um</w:t>
      </w:r>
      <w:r w:rsidRPr="00B963CD">
        <w:rPr>
          <w:rFonts w:ascii="Times New Roman" w:hAnsi="Times New Roman" w:cs="Times New Roman"/>
          <w:sz w:val="24"/>
          <w:szCs w:val="24"/>
        </w:rPr>
        <w:t xml:space="preserve"> valor limite de Ki-67 específico vá</w:t>
      </w:r>
      <w:r>
        <w:rPr>
          <w:rFonts w:ascii="Times New Roman" w:hAnsi="Times New Roman" w:cs="Times New Roman"/>
          <w:sz w:val="24"/>
          <w:szCs w:val="24"/>
        </w:rPr>
        <w:t>lido</w:t>
      </w:r>
      <w:r w:rsidRPr="00B963C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foi este </w:t>
      </w:r>
      <w:r w:rsidR="002A34FF">
        <w:rPr>
          <w:rFonts w:ascii="Times New Roman" w:hAnsi="Times New Roman" w:cs="Times New Roman"/>
          <w:sz w:val="24"/>
          <w:szCs w:val="24"/>
        </w:rPr>
        <w:t>o obje</w:t>
      </w:r>
      <w:r w:rsidRPr="00B963CD">
        <w:rPr>
          <w:rFonts w:ascii="Times New Roman" w:hAnsi="Times New Roman" w:cs="Times New Roman"/>
          <w:sz w:val="24"/>
          <w:szCs w:val="24"/>
        </w:rPr>
        <w:t xml:space="preserve">tivo do estudo de </w:t>
      </w:r>
      <w:r w:rsidRPr="00B963CD">
        <w:rPr>
          <w:rFonts w:ascii="Times New Roman" w:hAnsi="Times New Roman" w:cs="Times New Roman"/>
          <w:bCs/>
          <w:sz w:val="24"/>
          <w:szCs w:val="24"/>
        </w:rPr>
        <w:t xml:space="preserve">Bergin </w:t>
      </w:r>
      <w:r>
        <w:rPr>
          <w:rFonts w:ascii="Times New Roman" w:hAnsi="Times New Roman" w:cs="Times New Roman"/>
          <w:bCs/>
          <w:sz w:val="24"/>
          <w:szCs w:val="24"/>
        </w:rPr>
        <w:t>et al</w:t>
      </w:r>
      <w:r w:rsidR="002A34FF">
        <w:rPr>
          <w:rFonts w:ascii="Times New Roman" w:hAnsi="Times New Roman" w:cs="Times New Roman"/>
          <w:bCs/>
          <w:sz w:val="24"/>
          <w:szCs w:val="24"/>
        </w:rPr>
        <w:t>.</w:t>
      </w:r>
      <w:r w:rsidRPr="00B963C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A34FF">
        <w:rPr>
          <w:rFonts w:ascii="Times New Roman" w:hAnsi="Times New Roman" w:cs="Times New Roman"/>
          <w:bCs/>
          <w:sz w:val="24"/>
          <w:szCs w:val="24"/>
        </w:rPr>
        <w:t>(</w:t>
      </w:r>
      <w:r w:rsidRPr="00B963CD">
        <w:rPr>
          <w:rFonts w:ascii="Times New Roman" w:hAnsi="Times New Roman" w:cs="Times New Roman"/>
          <w:bCs/>
          <w:sz w:val="24"/>
          <w:szCs w:val="24"/>
        </w:rPr>
        <w:t>2011</w:t>
      </w:r>
      <w:r w:rsidR="002A34FF">
        <w:rPr>
          <w:rFonts w:ascii="Times New Roman" w:hAnsi="Times New Roman" w:cs="Times New Roman"/>
          <w:bCs/>
          <w:sz w:val="24"/>
          <w:szCs w:val="24"/>
        </w:rPr>
        <w:t>)</w:t>
      </w:r>
      <w:r w:rsidR="00884DFA">
        <w:rPr>
          <w:rFonts w:ascii="Times New Roman" w:hAnsi="Times New Roman" w:cs="Times New Roman"/>
          <w:bCs/>
          <w:sz w:val="24"/>
          <w:szCs w:val="24"/>
        </w:rPr>
        <w:t xml:space="preserve"> [59</w:t>
      </w:r>
      <w:r>
        <w:rPr>
          <w:rFonts w:ascii="Times New Roman" w:hAnsi="Times New Roman" w:cs="Times New Roman"/>
          <w:bCs/>
          <w:sz w:val="24"/>
          <w:szCs w:val="24"/>
        </w:rPr>
        <w:t>]</w:t>
      </w:r>
      <w:r w:rsidRPr="00B963CD">
        <w:rPr>
          <w:rFonts w:ascii="Times New Roman" w:hAnsi="Times New Roman" w:cs="Times New Roman"/>
          <w:bCs/>
          <w:sz w:val="24"/>
          <w:szCs w:val="24"/>
        </w:rPr>
        <w:t>. Neste estudo foi avaliado o índice Ki-67 imunohistoquímico</w:t>
      </w:r>
      <w:r w:rsidR="002A34FF">
        <w:rPr>
          <w:rFonts w:ascii="Times New Roman" w:hAnsi="Times New Roman" w:cs="Times New Roman"/>
          <w:bCs/>
          <w:sz w:val="24"/>
          <w:szCs w:val="24"/>
        </w:rPr>
        <w:t>,</w:t>
      </w:r>
      <w:r w:rsidRPr="00B963CD">
        <w:rPr>
          <w:rFonts w:ascii="Times New Roman" w:hAnsi="Times New Roman" w:cs="Times New Roman"/>
          <w:bCs/>
          <w:sz w:val="24"/>
          <w:szCs w:val="24"/>
        </w:rPr>
        <w:t xml:space="preserve"> juntamente com a atipia nuclear, índice mitótico e pigmentação de </w:t>
      </w:r>
      <w:r>
        <w:rPr>
          <w:rFonts w:ascii="Times New Roman" w:hAnsi="Times New Roman" w:cs="Times New Roman"/>
          <w:bCs/>
          <w:sz w:val="24"/>
          <w:szCs w:val="24"/>
        </w:rPr>
        <w:t>79 melanomas orais caninos. Os resultados obtidos divergiram em comparação com estudos prévios: foi obtida uma relação entre um pior prognóstico e</w:t>
      </w:r>
      <w:r w:rsidR="00087FF5">
        <w:rPr>
          <w:rFonts w:ascii="Times New Roman" w:hAnsi="Times New Roman" w:cs="Times New Roman"/>
          <w:bCs/>
          <w:sz w:val="24"/>
          <w:szCs w:val="24"/>
        </w:rPr>
        <w:t xml:space="preserve"> o</w:t>
      </w:r>
      <w:r>
        <w:rPr>
          <w:rFonts w:ascii="Times New Roman" w:hAnsi="Times New Roman" w:cs="Times New Roman"/>
          <w:bCs/>
          <w:sz w:val="24"/>
          <w:szCs w:val="24"/>
        </w:rPr>
        <w:t xml:space="preserve"> valor de atipia nuclear de &gt; 30%  da população celular e</w:t>
      </w:r>
      <w:r w:rsidR="00087FF5">
        <w:rPr>
          <w:rFonts w:ascii="Times New Roman" w:hAnsi="Times New Roman" w:cs="Times New Roman"/>
          <w:bCs/>
          <w:sz w:val="24"/>
          <w:szCs w:val="24"/>
        </w:rPr>
        <w:t xml:space="preserve"> um</w:t>
      </w:r>
      <w:r>
        <w:rPr>
          <w:rFonts w:ascii="Times New Roman" w:hAnsi="Times New Roman" w:cs="Times New Roman"/>
          <w:bCs/>
          <w:sz w:val="24"/>
          <w:szCs w:val="24"/>
        </w:rPr>
        <w:t xml:space="preserve"> índice mitótico de &gt; 4/10 hpf </w:t>
      </w:r>
      <w:r w:rsidR="002A34FF">
        <w:rPr>
          <w:rFonts w:ascii="Times New Roman" w:hAnsi="Times New Roman" w:cs="Times New Roman"/>
          <w:bCs/>
          <w:sz w:val="24"/>
          <w:szCs w:val="24"/>
        </w:rPr>
        <w:t xml:space="preserve"> (no estudo de Spangler e Kass em </w:t>
      </w:r>
      <w:r>
        <w:rPr>
          <w:rFonts w:ascii="Times New Roman" w:hAnsi="Times New Roman" w:cs="Times New Roman"/>
          <w:bCs/>
          <w:sz w:val="24"/>
          <w:szCs w:val="24"/>
        </w:rPr>
        <w:t>2006 o resultado foi de &gt; que 40% e &gt;</w:t>
      </w:r>
      <w:r w:rsidR="002A34FF">
        <w:rPr>
          <w:rFonts w:ascii="Times New Roman" w:hAnsi="Times New Roman" w:cs="Times New Roman"/>
          <w:bCs/>
          <w:sz w:val="24"/>
          <w:szCs w:val="24"/>
        </w:rPr>
        <w:t xml:space="preserve"> 14/10 hpf, respe</w:t>
      </w:r>
      <w:r w:rsidR="00884DFA">
        <w:rPr>
          <w:rFonts w:ascii="Times New Roman" w:hAnsi="Times New Roman" w:cs="Times New Roman"/>
          <w:bCs/>
          <w:sz w:val="24"/>
          <w:szCs w:val="24"/>
        </w:rPr>
        <w:t>tivamente) [59</w:t>
      </w:r>
      <w:r>
        <w:rPr>
          <w:rFonts w:ascii="Times New Roman" w:hAnsi="Times New Roman" w:cs="Times New Roman"/>
          <w:bCs/>
          <w:sz w:val="24"/>
          <w:szCs w:val="24"/>
        </w:rPr>
        <w:t>]. Quanto ao índice de Ki-67 foi obtido um valor limite de 19,5/ grelha de 125 células (que equivale a um índice de 15,6%), tendo este sido o valor com maior sensibilidade e especificidade na predição do prognóstico como morte ou sobrevivênc</w:t>
      </w:r>
      <w:r w:rsidR="00884DFA">
        <w:rPr>
          <w:rFonts w:ascii="Times New Roman" w:hAnsi="Times New Roman" w:cs="Times New Roman"/>
          <w:bCs/>
          <w:sz w:val="24"/>
          <w:szCs w:val="24"/>
        </w:rPr>
        <w:t>ia um ano após o diagnóstico [59</w:t>
      </w:r>
      <w:r>
        <w:rPr>
          <w:rFonts w:ascii="Times New Roman" w:hAnsi="Times New Roman" w:cs="Times New Roman"/>
          <w:bCs/>
          <w:sz w:val="24"/>
          <w:szCs w:val="24"/>
        </w:rPr>
        <w:t xml:space="preserve">]. Segundo os autores do estudo é aconselhado que o valor de índice Ki-67 de 19,5 seja usado como valor limite, em correlação com os outros achados clínicos e histológicos. </w:t>
      </w:r>
      <w:r>
        <w:rPr>
          <w:rFonts w:ascii="Times New Roman" w:hAnsi="Times New Roman" w:cs="Times New Roman"/>
          <w:sz w:val="24"/>
          <w:szCs w:val="24"/>
        </w:rPr>
        <w:t xml:space="preserve">Por fim, em relação ao </w:t>
      </w:r>
      <w:r w:rsidRPr="00B963CD">
        <w:rPr>
          <w:rFonts w:ascii="Times New Roman" w:hAnsi="Times New Roman" w:cs="Times New Roman"/>
          <w:bCs/>
          <w:sz w:val="24"/>
          <w:szCs w:val="24"/>
        </w:rPr>
        <w:lastRenderedPageBreak/>
        <w:t>pigmento</w:t>
      </w:r>
      <w:r>
        <w:rPr>
          <w:rFonts w:ascii="Times New Roman" w:hAnsi="Times New Roman" w:cs="Times New Roman"/>
          <w:bCs/>
          <w:sz w:val="24"/>
          <w:szCs w:val="24"/>
        </w:rPr>
        <w:t xml:space="preserve"> de melanina, a sua presença</w:t>
      </w:r>
      <w:r w:rsidRPr="00B963CD">
        <w:rPr>
          <w:rFonts w:ascii="Times New Roman" w:hAnsi="Times New Roman" w:cs="Times New Roman"/>
          <w:bCs/>
          <w:sz w:val="24"/>
          <w:szCs w:val="24"/>
        </w:rPr>
        <w:t xml:space="preserve"> em altas quantidades demonstrou estar relacionada com maiores TSM</w:t>
      </w:r>
      <w:r w:rsidR="00884DFA">
        <w:rPr>
          <w:rFonts w:ascii="Times New Roman" w:hAnsi="Times New Roman" w:cs="Times New Roman"/>
          <w:bCs/>
          <w:sz w:val="24"/>
          <w:szCs w:val="24"/>
        </w:rPr>
        <w:t xml:space="preserve"> [59</w:t>
      </w:r>
      <w:r>
        <w:rPr>
          <w:rFonts w:ascii="Times New Roman" w:hAnsi="Times New Roman" w:cs="Times New Roman"/>
          <w:bCs/>
          <w:sz w:val="24"/>
          <w:szCs w:val="24"/>
        </w:rPr>
        <w:t>]</w:t>
      </w:r>
      <w:r w:rsidRPr="00B963CD">
        <w:rPr>
          <w:rFonts w:ascii="Times New Roman" w:hAnsi="Times New Roman" w:cs="Times New Roman"/>
          <w:bCs/>
          <w:sz w:val="24"/>
          <w:szCs w:val="24"/>
        </w:rPr>
        <w:t>.</w:t>
      </w:r>
    </w:p>
    <w:p w:rsidR="00BA056A" w:rsidRPr="00884DFA" w:rsidRDefault="00BA056A" w:rsidP="00884DF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884DFA">
        <w:rPr>
          <w:rFonts w:ascii="Times New Roman" w:hAnsi="Times New Roman" w:cs="Times New Roman"/>
          <w:bCs/>
          <w:sz w:val="24"/>
          <w:szCs w:val="24"/>
          <w:u w:val="single"/>
        </w:rPr>
        <w:t>2.3.3.3.6 Tumor venéreo transmissível (TVT)</w:t>
      </w:r>
    </w:p>
    <w:p w:rsidR="00BA056A" w:rsidRPr="006563FC" w:rsidRDefault="00BA056A" w:rsidP="00C5613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Com excepção de algumas áreas geográficas é encontrado menos frequentemente quando em comparação com os outros</w:t>
      </w:r>
      <w:r w:rsidR="00884DFA">
        <w:rPr>
          <w:rFonts w:ascii="Times New Roman" w:hAnsi="Times New Roman" w:cs="Times New Roman"/>
          <w:bCs/>
          <w:sz w:val="24"/>
          <w:szCs w:val="24"/>
        </w:rPr>
        <w:t xml:space="preserve"> tumores de células redondas [44</w:t>
      </w:r>
      <w:r>
        <w:rPr>
          <w:rFonts w:ascii="Times New Roman" w:hAnsi="Times New Roman" w:cs="Times New Roman"/>
          <w:bCs/>
          <w:sz w:val="24"/>
          <w:szCs w:val="24"/>
        </w:rPr>
        <w:t>]. Estas neoplasias encontram-se geralmente nos órgãos genitais, mas podem também ser enco</w:t>
      </w:r>
      <w:r w:rsidR="00884DFA">
        <w:rPr>
          <w:rFonts w:ascii="Times New Roman" w:hAnsi="Times New Roman" w:cs="Times New Roman"/>
          <w:bCs/>
          <w:sz w:val="24"/>
          <w:szCs w:val="24"/>
        </w:rPr>
        <w:t>ntrados noutras localizações [44</w:t>
      </w:r>
      <w:r>
        <w:rPr>
          <w:rFonts w:ascii="Times New Roman" w:hAnsi="Times New Roman" w:cs="Times New Roman"/>
          <w:bCs/>
          <w:sz w:val="24"/>
          <w:szCs w:val="24"/>
        </w:rPr>
        <w:t>]. Uma característica distintiva é a presença de vacúolos citoplasmáticos bem definidos que podem também ser encontrados extracelularmente evidenciados</w:t>
      </w:r>
      <w:r w:rsidR="00884DFA">
        <w:rPr>
          <w:rFonts w:ascii="Times New Roman" w:hAnsi="Times New Roman" w:cs="Times New Roman"/>
          <w:bCs/>
          <w:sz w:val="24"/>
          <w:szCs w:val="24"/>
        </w:rPr>
        <w:t xml:space="preserve"> num fundo proteináceo [44</w:t>
      </w:r>
      <w:r>
        <w:rPr>
          <w:rFonts w:ascii="Times New Roman" w:hAnsi="Times New Roman" w:cs="Times New Roman"/>
          <w:bCs/>
          <w:sz w:val="24"/>
          <w:szCs w:val="24"/>
        </w:rPr>
        <w:t>]. Os núcleos podem apresentar moderada a marcada anisoc</w:t>
      </w:r>
      <w:r w:rsidR="002A34FF">
        <w:rPr>
          <w:rFonts w:ascii="Times New Roman" w:hAnsi="Times New Roman" w:cs="Times New Roman"/>
          <w:bCs/>
          <w:sz w:val="24"/>
          <w:szCs w:val="24"/>
        </w:rPr>
        <w:t xml:space="preserve">ariose, com cromatina espumosa, </w:t>
      </w:r>
      <w:r>
        <w:rPr>
          <w:rFonts w:ascii="Times New Roman" w:hAnsi="Times New Roman" w:cs="Times New Roman"/>
          <w:bCs/>
          <w:sz w:val="24"/>
          <w:szCs w:val="24"/>
        </w:rPr>
        <w:t xml:space="preserve"> n</w:t>
      </w:r>
      <w:r w:rsidR="005C1A6D">
        <w:rPr>
          <w:rFonts w:ascii="Times New Roman" w:hAnsi="Times New Roman" w:cs="Times New Roman"/>
          <w:bCs/>
          <w:sz w:val="24"/>
          <w:szCs w:val="24"/>
        </w:rPr>
        <w:t>ucléolos proeminentes e figura</w:t>
      </w:r>
      <w:r>
        <w:rPr>
          <w:rFonts w:ascii="Times New Roman" w:hAnsi="Times New Roman" w:cs="Times New Roman"/>
          <w:bCs/>
          <w:sz w:val="24"/>
          <w:szCs w:val="24"/>
        </w:rPr>
        <w:t>s mitóti</w:t>
      </w:r>
      <w:r w:rsidR="00884DFA">
        <w:rPr>
          <w:rFonts w:ascii="Times New Roman" w:hAnsi="Times New Roman" w:cs="Times New Roman"/>
          <w:bCs/>
          <w:sz w:val="24"/>
          <w:szCs w:val="24"/>
        </w:rPr>
        <w:t>cas muitas vezes encontradas [44</w:t>
      </w:r>
      <w:r>
        <w:rPr>
          <w:rFonts w:ascii="Times New Roman" w:hAnsi="Times New Roman" w:cs="Times New Roman"/>
          <w:bCs/>
          <w:sz w:val="24"/>
          <w:szCs w:val="24"/>
        </w:rPr>
        <w:t xml:space="preserve">]. </w:t>
      </w:r>
    </w:p>
    <w:sectPr w:rsidR="00BA056A" w:rsidRPr="006563FC" w:rsidSect="00A27F2E">
      <w:headerReference w:type="default" r:id="rId10"/>
      <w:footerReference w:type="default" r:id="rId11"/>
      <w:pgSz w:w="11906" w:h="16838"/>
      <w:pgMar w:top="1417" w:right="1701" w:bottom="1417" w:left="1701" w:header="708" w:footer="708" w:gutter="0"/>
      <w:pgNumType w:start="64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3384B" w:rsidRDefault="00D3384B" w:rsidP="00B47B8E">
      <w:pPr>
        <w:spacing w:after="0" w:line="240" w:lineRule="auto"/>
      </w:pPr>
      <w:r>
        <w:separator/>
      </w:r>
    </w:p>
  </w:endnote>
  <w:endnote w:type="continuationSeparator" w:id="0">
    <w:p w:rsidR="00D3384B" w:rsidRDefault="00D3384B" w:rsidP="00B47B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-Book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LegacySans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90123"/>
      <w:docPartObj>
        <w:docPartGallery w:val="Page Numbers (Bottom of Page)"/>
        <w:docPartUnique/>
      </w:docPartObj>
    </w:sdtPr>
    <w:sdtContent>
      <w:p w:rsidR="00B47B8E" w:rsidRDefault="00F963ED">
        <w:pPr>
          <w:pStyle w:val="Footer"/>
          <w:jc w:val="right"/>
        </w:pPr>
        <w:fldSimple w:instr=" PAGE   \* MERGEFORMAT ">
          <w:r w:rsidR="005C1A6D">
            <w:rPr>
              <w:noProof/>
            </w:rPr>
            <w:t>70</w:t>
          </w:r>
        </w:fldSimple>
      </w:p>
    </w:sdtContent>
  </w:sdt>
  <w:p w:rsidR="00B47B8E" w:rsidRDefault="00B47B8E">
    <w:pPr>
      <w:pStyle w:val="Footer"/>
    </w:pPr>
  </w:p>
  <w:p w:rsidR="00F63827" w:rsidRDefault="00F63827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3384B" w:rsidRDefault="00D3384B" w:rsidP="00B47B8E">
      <w:pPr>
        <w:spacing w:after="0" w:line="240" w:lineRule="auto"/>
      </w:pPr>
      <w:r>
        <w:separator/>
      </w:r>
    </w:p>
  </w:footnote>
  <w:footnote w:type="continuationSeparator" w:id="0">
    <w:p w:rsidR="00D3384B" w:rsidRDefault="00D3384B" w:rsidP="00B47B8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bottom w:val="single" w:sz="18" w:space="0" w:color="808080" w:themeColor="background1" w:themeShade="80"/>
        <w:insideV w:val="single" w:sz="18" w:space="0" w:color="808080" w:themeColor="background1" w:themeShade="80"/>
      </w:tblBorders>
      <w:tblCellMar>
        <w:top w:w="72" w:type="dxa"/>
        <w:left w:w="115" w:type="dxa"/>
        <w:bottom w:w="72" w:type="dxa"/>
        <w:right w:w="115" w:type="dxa"/>
      </w:tblCellMar>
      <w:tblLook w:val="04A0"/>
    </w:tblPr>
    <w:tblGrid>
      <w:gridCol w:w="7637"/>
      <w:gridCol w:w="1097"/>
    </w:tblGrid>
    <w:tr w:rsidR="00B47B8E" w:rsidRPr="00B47B8E">
      <w:trPr>
        <w:trHeight w:val="288"/>
      </w:trPr>
      <w:sdt>
        <w:sdtPr>
          <w:rPr>
            <w:rFonts w:ascii="Times New Roman" w:eastAsiaTheme="majorEastAsia" w:hAnsi="Times New Roman" w:cs="Times New Roman"/>
            <w:sz w:val="24"/>
            <w:szCs w:val="24"/>
          </w:rPr>
          <w:alias w:val="Título"/>
          <w:id w:val="77761602"/>
          <w:placeholder>
            <w:docPart w:val="BD982F74E5E64187B373EE5ED9F385A5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Content>
          <w:tc>
            <w:tcPr>
              <w:tcW w:w="7765" w:type="dxa"/>
            </w:tcPr>
            <w:p w:rsidR="00B47B8E" w:rsidRPr="00B47B8E" w:rsidRDefault="00B47B8E" w:rsidP="00B47B8E">
              <w:pPr>
                <w:pStyle w:val="Header"/>
                <w:jc w:val="right"/>
                <w:rPr>
                  <w:rFonts w:ascii="Times New Roman" w:eastAsiaTheme="majorEastAsia" w:hAnsi="Times New Roman" w:cs="Times New Roman"/>
                  <w:sz w:val="24"/>
                  <w:szCs w:val="24"/>
                </w:rPr>
              </w:pPr>
              <w:r w:rsidRPr="00B47B8E">
                <w:rPr>
                  <w:rFonts w:ascii="Times New Roman" w:eastAsiaTheme="majorEastAsia" w:hAnsi="Times New Roman" w:cs="Times New Roman"/>
                  <w:sz w:val="24"/>
                  <w:szCs w:val="24"/>
                </w:rPr>
                <w:t>Valor do diagnósti</w:t>
              </w:r>
              <w:r>
                <w:rPr>
                  <w:rFonts w:ascii="Times New Roman" w:eastAsiaTheme="majorEastAsia" w:hAnsi="Times New Roman" w:cs="Times New Roman"/>
                  <w:sz w:val="24"/>
                  <w:szCs w:val="24"/>
                </w:rPr>
                <w:t>co citológico em clínica de ani</w:t>
              </w:r>
              <w:r w:rsidRPr="00B47B8E">
                <w:rPr>
                  <w:rFonts w:ascii="Times New Roman" w:eastAsiaTheme="majorEastAsia" w:hAnsi="Times New Roman" w:cs="Times New Roman"/>
                  <w:sz w:val="24"/>
                  <w:szCs w:val="24"/>
                </w:rPr>
                <w:t>mais de companhia</w:t>
              </w:r>
            </w:p>
          </w:tc>
        </w:sdtContent>
      </w:sdt>
      <w:sdt>
        <w:sdtPr>
          <w:rPr>
            <w:rFonts w:ascii="Times New Roman" w:eastAsiaTheme="majorEastAsia" w:hAnsi="Times New Roman" w:cs="Times New Roman"/>
            <w:bCs/>
            <w:sz w:val="24"/>
            <w:szCs w:val="24"/>
          </w:rPr>
          <w:alias w:val="Ano"/>
          <w:id w:val="77761609"/>
          <w:placeholder>
            <w:docPart w:val="7494CD500CD64C40BC98E900D02F4D65"/>
          </w:placeholder>
          <w:dataBinding w:prefixMappings="xmlns:ns0='http://schemas.microsoft.com/office/2006/coverPageProps'" w:xpath="/ns0:CoverPageProperties[1]/ns0:PublishDate[1]" w:storeItemID="{55AF091B-3C7A-41E3-B477-F2FDAA23CFDA}"/>
          <w:date w:fullDate="2011-01-01T00:00:00Z">
            <w:dateFormat w:val="yyyy"/>
            <w:lid w:val="pt-PT"/>
            <w:storeMappedDataAs w:val="dateTime"/>
            <w:calendar w:val="gregorian"/>
          </w:date>
        </w:sdtPr>
        <w:sdtContent>
          <w:tc>
            <w:tcPr>
              <w:tcW w:w="1105" w:type="dxa"/>
            </w:tcPr>
            <w:p w:rsidR="00B47B8E" w:rsidRPr="00B47B8E" w:rsidRDefault="00B47B8E" w:rsidP="00B47B8E">
              <w:pPr>
                <w:pStyle w:val="Header"/>
                <w:rPr>
                  <w:rFonts w:ascii="Times New Roman" w:eastAsiaTheme="majorEastAsia" w:hAnsi="Times New Roman" w:cs="Times New Roman"/>
                  <w:b/>
                  <w:bCs/>
                  <w:color w:val="4F81BD" w:themeColor="accent1"/>
                  <w:sz w:val="24"/>
                  <w:szCs w:val="24"/>
                </w:rPr>
              </w:pPr>
              <w:r w:rsidRPr="00B47B8E">
                <w:rPr>
                  <w:rFonts w:ascii="Times New Roman" w:eastAsiaTheme="majorEastAsia" w:hAnsi="Times New Roman" w:cs="Times New Roman"/>
                  <w:bCs/>
                  <w:sz w:val="24"/>
                  <w:szCs w:val="24"/>
                </w:rPr>
                <w:t>2011</w:t>
              </w:r>
            </w:p>
          </w:tc>
        </w:sdtContent>
      </w:sdt>
    </w:tr>
  </w:tbl>
  <w:p w:rsidR="00B47B8E" w:rsidRPr="00B47B8E" w:rsidRDefault="00B47B8E">
    <w:pPr>
      <w:pStyle w:val="Header"/>
      <w:rPr>
        <w:rFonts w:ascii="Times New Roman" w:hAnsi="Times New Roman" w:cs="Times New Roman"/>
        <w:sz w:val="24"/>
        <w:szCs w:val="24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47B8E"/>
    <w:rsid w:val="00015E86"/>
    <w:rsid w:val="00087FF5"/>
    <w:rsid w:val="001A7D1C"/>
    <w:rsid w:val="00211AA6"/>
    <w:rsid w:val="002A34FF"/>
    <w:rsid w:val="003E75B6"/>
    <w:rsid w:val="00444949"/>
    <w:rsid w:val="00472287"/>
    <w:rsid w:val="004B4658"/>
    <w:rsid w:val="00564328"/>
    <w:rsid w:val="0057531F"/>
    <w:rsid w:val="005B01BB"/>
    <w:rsid w:val="005C1A6D"/>
    <w:rsid w:val="005E06F1"/>
    <w:rsid w:val="007162BC"/>
    <w:rsid w:val="007A3DD1"/>
    <w:rsid w:val="007F0E60"/>
    <w:rsid w:val="0085792C"/>
    <w:rsid w:val="00884DFA"/>
    <w:rsid w:val="00933AD6"/>
    <w:rsid w:val="009525DC"/>
    <w:rsid w:val="00961B07"/>
    <w:rsid w:val="00975A76"/>
    <w:rsid w:val="00A025DC"/>
    <w:rsid w:val="00A12DA9"/>
    <w:rsid w:val="00A27F2E"/>
    <w:rsid w:val="00A3297A"/>
    <w:rsid w:val="00B46A02"/>
    <w:rsid w:val="00B47B8E"/>
    <w:rsid w:val="00BA056A"/>
    <w:rsid w:val="00BA377D"/>
    <w:rsid w:val="00BC7CFE"/>
    <w:rsid w:val="00C30E5A"/>
    <w:rsid w:val="00C56136"/>
    <w:rsid w:val="00C931F1"/>
    <w:rsid w:val="00C97E43"/>
    <w:rsid w:val="00CE7922"/>
    <w:rsid w:val="00D04553"/>
    <w:rsid w:val="00D05FB3"/>
    <w:rsid w:val="00D31C92"/>
    <w:rsid w:val="00D3384B"/>
    <w:rsid w:val="00E04AC8"/>
    <w:rsid w:val="00E11FA4"/>
    <w:rsid w:val="00E40060"/>
    <w:rsid w:val="00E41978"/>
    <w:rsid w:val="00E51BCC"/>
    <w:rsid w:val="00E62310"/>
    <w:rsid w:val="00E64770"/>
    <w:rsid w:val="00EA104B"/>
    <w:rsid w:val="00F268FB"/>
    <w:rsid w:val="00F5155C"/>
    <w:rsid w:val="00F63827"/>
    <w:rsid w:val="00F704D7"/>
    <w:rsid w:val="00F83355"/>
    <w:rsid w:val="00F92158"/>
    <w:rsid w:val="00F93605"/>
    <w:rsid w:val="00F963ED"/>
    <w:rsid w:val="00FE07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A056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47B8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47B8E"/>
  </w:style>
  <w:style w:type="paragraph" w:styleId="Footer">
    <w:name w:val="footer"/>
    <w:basedOn w:val="Normal"/>
    <w:link w:val="FooterChar"/>
    <w:uiPriority w:val="99"/>
    <w:unhideWhenUsed/>
    <w:rsid w:val="00B47B8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47B8E"/>
  </w:style>
  <w:style w:type="paragraph" w:styleId="BalloonText">
    <w:name w:val="Balloon Text"/>
    <w:basedOn w:val="Normal"/>
    <w:link w:val="BalloonTextChar"/>
    <w:uiPriority w:val="99"/>
    <w:semiHidden/>
    <w:unhideWhenUsed/>
    <w:rsid w:val="00B47B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7B8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D05FB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D05F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glossaryDocument" Target="glossary/document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BD982F74E5E64187B373EE5ED9F385A5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2E50C262-6A49-4123-8490-3001671B0F17}"/>
      </w:docPartPr>
      <w:docPartBody>
        <w:p w:rsidR="00125396" w:rsidRDefault="0071121D" w:rsidP="0071121D">
          <w:pPr>
            <w:pStyle w:val="BD982F74E5E64187B373EE5ED9F385A5"/>
          </w:pPr>
          <w:r>
            <w:rPr>
              <w:rFonts w:asciiTheme="majorHAnsi" w:eastAsiaTheme="majorEastAsia" w:hAnsiTheme="majorHAnsi" w:cstheme="majorBidi"/>
              <w:sz w:val="36"/>
              <w:szCs w:val="36"/>
            </w:rPr>
            <w:t>[Título do documento]</w:t>
          </w:r>
        </w:p>
      </w:docPartBody>
    </w:docPart>
    <w:docPart>
      <w:docPartPr>
        <w:name w:val="7494CD500CD64C40BC98E900D02F4D65"/>
        <w:category>
          <w:name w:val="Geral"/>
          <w:gallery w:val="placeholder"/>
        </w:category>
        <w:types>
          <w:type w:val="bbPlcHdr"/>
        </w:types>
        <w:behaviors>
          <w:behavior w:val="content"/>
        </w:behaviors>
        <w:guid w:val="{3AF67AD3-8473-4D1E-905D-B7DBB6535E40}"/>
      </w:docPartPr>
      <w:docPartBody>
        <w:p w:rsidR="00125396" w:rsidRDefault="0071121D" w:rsidP="0071121D">
          <w:pPr>
            <w:pStyle w:val="7494CD500CD64C40BC98E900D02F4D65"/>
          </w:pPr>
          <w:r>
            <w:rPr>
              <w:rFonts w:asciiTheme="majorHAnsi" w:eastAsiaTheme="majorEastAsia" w:hAnsiTheme="majorHAnsi" w:cstheme="majorBidi"/>
              <w:b/>
              <w:bCs/>
              <w:color w:val="4F81BD" w:themeColor="accent1"/>
              <w:sz w:val="36"/>
              <w:szCs w:val="36"/>
            </w:rPr>
            <w:t>[Ano]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-Book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LegacySans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F241B0"/>
    <w:rsid w:val="00051EBB"/>
    <w:rsid w:val="00125396"/>
    <w:rsid w:val="001E7CE6"/>
    <w:rsid w:val="004A5AEB"/>
    <w:rsid w:val="00676980"/>
    <w:rsid w:val="007032E2"/>
    <w:rsid w:val="0071121D"/>
    <w:rsid w:val="007217C3"/>
    <w:rsid w:val="0074644B"/>
    <w:rsid w:val="00830F8C"/>
    <w:rsid w:val="009820FA"/>
    <w:rsid w:val="0099002A"/>
    <w:rsid w:val="00A14F97"/>
    <w:rsid w:val="00F241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t-PT" w:eastAsia="pt-P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1121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34182381DDC44A658D48DACBB1E249F9">
    <w:name w:val="34182381DDC44A658D48DACBB1E249F9"/>
    <w:rsid w:val="00F241B0"/>
  </w:style>
  <w:style w:type="paragraph" w:customStyle="1" w:styleId="F355F7096F9B42B3A5DFDA9707ADFB5D">
    <w:name w:val="F355F7096F9B42B3A5DFDA9707ADFB5D"/>
    <w:rsid w:val="00F241B0"/>
  </w:style>
  <w:style w:type="paragraph" w:customStyle="1" w:styleId="BD982F74E5E64187B373EE5ED9F385A5">
    <w:name w:val="BD982F74E5E64187B373EE5ED9F385A5"/>
    <w:rsid w:val="0071121D"/>
  </w:style>
  <w:style w:type="paragraph" w:customStyle="1" w:styleId="7494CD500CD64C40BC98E900D02F4D65">
    <w:name w:val="7494CD500CD64C40BC98E900D02F4D65"/>
    <w:rsid w:val="0071121D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2011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</TotalTime>
  <Pages>7</Pages>
  <Words>2174</Words>
  <Characters>11744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Valor do diagnóstico citológico em clínica de animais de companhia</vt:lpstr>
    </vt:vector>
  </TitlesOfParts>
  <Company/>
  <LinksUpToDate>false</LinksUpToDate>
  <CharactersWithSpaces>13891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Valor do diagnóstico citológico em clínica de animais de companhia</dc:title>
  <dc:subject/>
  <dc:creator>Luke</dc:creator>
  <cp:keywords/>
  <dc:description/>
  <cp:lastModifiedBy>Janinhas</cp:lastModifiedBy>
  <cp:revision>24</cp:revision>
  <dcterms:created xsi:type="dcterms:W3CDTF">2011-08-10T09:00:00Z</dcterms:created>
  <dcterms:modified xsi:type="dcterms:W3CDTF">2012-07-03T21:10:00Z</dcterms:modified>
</cp:coreProperties>
</file>