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30D9" w:rsidRPr="004D55DA" w:rsidRDefault="00BF31C8" w:rsidP="007F7964">
      <w:pPr>
        <w:ind w:left="-567" w:right="567"/>
      </w:pPr>
      <w:r w:rsidRPr="004D55DA">
        <w:rPr>
          <w:noProof/>
        </w:rPr>
        <w:drawing>
          <wp:anchor distT="0" distB="0" distL="114300" distR="114300" simplePos="0" relativeHeight="251668480" behindDoc="0" locked="0" layoutInCell="1" allowOverlap="1" wp14:anchorId="0551EE65" wp14:editId="33334101">
            <wp:simplePos x="0" y="0"/>
            <wp:positionH relativeFrom="column">
              <wp:posOffset>4770755</wp:posOffset>
            </wp:positionH>
            <wp:positionV relativeFrom="paragraph">
              <wp:posOffset>-76835</wp:posOffset>
            </wp:positionV>
            <wp:extent cx="1354455" cy="1811655"/>
            <wp:effectExtent l="0" t="0" r="0" b="0"/>
            <wp:wrapNone/>
            <wp:docPr id="44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54455"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7F7964">
      <w:pPr>
        <w:ind w:left="-567" w:right="567"/>
      </w:pPr>
    </w:p>
    <w:p w:rsidR="00F230D9" w:rsidRPr="004D55DA" w:rsidRDefault="00F230D9" w:rsidP="003B0C82">
      <w:pPr>
        <w:ind w:right="567"/>
      </w:pPr>
    </w:p>
    <w:p w:rsidR="00F230D9" w:rsidRPr="004D55DA" w:rsidRDefault="00F230D9" w:rsidP="007F7964">
      <w:pPr>
        <w:ind w:left="-567" w:right="567"/>
      </w:pPr>
    </w:p>
    <w:p w:rsidR="00F230D9" w:rsidRPr="004D55DA" w:rsidRDefault="00777DE5" w:rsidP="007F7964">
      <w:pPr>
        <w:ind w:left="-567" w:right="567"/>
      </w:pPr>
      <w:r w:rsidRPr="004D55DA">
        <w:rPr>
          <w:noProof/>
        </w:rPr>
        <mc:AlternateContent>
          <mc:Choice Requires="wps">
            <w:drawing>
              <wp:anchor distT="0" distB="0" distL="114300" distR="114300" simplePos="0" relativeHeight="251667456" behindDoc="0" locked="0" layoutInCell="1" allowOverlap="1" wp14:anchorId="50519290" wp14:editId="647077ED">
                <wp:simplePos x="0" y="0"/>
                <wp:positionH relativeFrom="column">
                  <wp:posOffset>-204470</wp:posOffset>
                </wp:positionH>
                <wp:positionV relativeFrom="paragraph">
                  <wp:posOffset>41275</wp:posOffset>
                </wp:positionV>
                <wp:extent cx="6228715" cy="1276350"/>
                <wp:effectExtent l="0" t="0" r="0" b="0"/>
                <wp:wrapNone/>
                <wp:docPr id="3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221" w:rsidRPr="003B00E7" w:rsidRDefault="00BA4221" w:rsidP="00F230D9">
                            <w:pPr>
                              <w:spacing w:line="560" w:lineRule="exact"/>
                              <w:jc w:val="right"/>
                              <w:rPr>
                                <w:rFonts w:ascii="Arial" w:hAnsi="Arial" w:cs="Arial"/>
                                <w:b/>
                                <w:color w:val="1A1A1A"/>
                                <w:sz w:val="56"/>
                                <w:szCs w:val="50"/>
                              </w:rPr>
                            </w:pPr>
                            <w:r w:rsidRPr="003B00E7">
                              <w:rPr>
                                <w:rFonts w:ascii="Arial" w:hAnsi="Arial" w:cs="Arial"/>
                                <w:b/>
                                <w:color w:val="1A1A1A"/>
                                <w:sz w:val="48"/>
                                <w:szCs w:val="50"/>
                              </w:rPr>
                              <w:t>I</w:t>
                            </w:r>
                            <w:r>
                              <w:rPr>
                                <w:rFonts w:ascii="Arial" w:hAnsi="Arial" w:cs="Arial"/>
                                <w:b/>
                                <w:color w:val="1A1A1A"/>
                                <w:sz w:val="48"/>
                                <w:szCs w:val="50"/>
                              </w:rPr>
                              <w:t>NFLUÊNCIA DAS CARACTERÍSTICAS DO PORTO / TERMINAL DE CONTENTORES NO SEU DESEMPENHO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16.1pt;margin-top:3.25pt;width:490.4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NXuQIAALw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" filled="f" stroked="f">
                <v:textbox>
                  <w:txbxContent>
                    <w:p w:rsidR="00BA4221" w:rsidRPr="003B00E7" w:rsidRDefault="00BA4221" w:rsidP="00F230D9">
                      <w:pPr>
                        <w:spacing w:line="560" w:lineRule="exact"/>
                        <w:jc w:val="right"/>
                        <w:rPr>
                          <w:rFonts w:ascii="Arial" w:hAnsi="Arial" w:cs="Arial"/>
                          <w:b/>
                          <w:color w:val="1A1A1A"/>
                          <w:sz w:val="56"/>
                          <w:szCs w:val="50"/>
                        </w:rPr>
                      </w:pPr>
                      <w:r w:rsidRPr="003B00E7">
                        <w:rPr>
                          <w:rFonts w:ascii="Arial" w:hAnsi="Arial" w:cs="Arial"/>
                          <w:b/>
                          <w:color w:val="1A1A1A"/>
                          <w:sz w:val="48"/>
                          <w:szCs w:val="50"/>
                        </w:rPr>
                        <w:t>I</w:t>
                      </w:r>
                      <w:r>
                        <w:rPr>
                          <w:rFonts w:ascii="Arial" w:hAnsi="Arial" w:cs="Arial"/>
                          <w:b/>
                          <w:color w:val="1A1A1A"/>
                          <w:sz w:val="48"/>
                          <w:szCs w:val="50"/>
                        </w:rPr>
                        <w:t>NFLUÊNCIA DAS CARACTERÍSTICAS DO PORTO / TERMINAL DE CONTENTORES NO SEU DESEMPENHO</w:t>
                      </w:r>
                    </w:p>
                  </w:txbxContent>
                </v:textbox>
              </v:shape>
            </w:pict>
          </mc:Fallback>
        </mc:AlternateContent>
      </w:r>
    </w:p>
    <w:p w:rsidR="00F230D9" w:rsidRPr="004D55DA" w:rsidRDefault="00F230D9" w:rsidP="007F7964">
      <w:pPr>
        <w:ind w:left="-567" w:right="567"/>
      </w:pPr>
    </w:p>
    <w:p w:rsidR="00F230D9" w:rsidRPr="004D55DA" w:rsidRDefault="000D7E20" w:rsidP="007F7964">
      <w:pPr>
        <w:ind w:left="-567" w:right="567"/>
      </w:pPr>
      <w:r w:rsidRPr="004D55DA">
        <w:rPr>
          <w:noProof/>
        </w:rPr>
        <mc:AlternateContent>
          <mc:Choice Requires="wps">
            <w:drawing>
              <wp:anchor distT="0" distB="0" distL="114300" distR="114300" simplePos="0" relativeHeight="251669504" behindDoc="0" locked="0" layoutInCell="1" allowOverlap="1" wp14:anchorId="10840C97" wp14:editId="34E3AD8F">
                <wp:simplePos x="0" y="0"/>
                <wp:positionH relativeFrom="column">
                  <wp:posOffset>2814320</wp:posOffset>
                </wp:positionH>
                <wp:positionV relativeFrom="paragraph">
                  <wp:posOffset>2888615</wp:posOffset>
                </wp:positionV>
                <wp:extent cx="3127375" cy="609600"/>
                <wp:effectExtent l="0" t="0" r="0" b="0"/>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4221" w:rsidRDefault="00BA4221" w:rsidP="00F230D9">
                            <w:pPr>
                              <w:jc w:val="right"/>
                              <w:rPr>
                                <w:i/>
                                <w:color w:val="666666"/>
                                <w:sz w:val="19"/>
                                <w:szCs w:val="19"/>
                              </w:rPr>
                            </w:pPr>
                            <w:r>
                              <w:rPr>
                                <w:i/>
                                <w:color w:val="666666"/>
                                <w:sz w:val="19"/>
                                <w:szCs w:val="19"/>
                              </w:rPr>
                              <w:t>E</w:t>
                            </w:r>
                            <w:r w:rsidR="000D7E20">
                              <w:rPr>
                                <w:i/>
                                <w:color w:val="666666"/>
                                <w:sz w:val="19"/>
                                <w:szCs w:val="19"/>
                              </w:rPr>
                              <w:t>sta tese</w:t>
                            </w:r>
                            <w:r>
                              <w:rPr>
                                <w:i/>
                                <w:color w:val="666666"/>
                                <w:sz w:val="19"/>
                                <w:szCs w:val="19"/>
                              </w:rPr>
                              <w:t xml:space="preserve"> inclui as críticas e sugestões feitas pelo júri</w:t>
                            </w:r>
                          </w:p>
                          <w:p w:rsidR="000D7E20" w:rsidRDefault="000D7E20" w:rsidP="00F230D9">
                            <w:pPr>
                              <w:jc w:val="right"/>
                              <w:rPr>
                                <w:i/>
                                <w:color w:val="666666"/>
                                <w:sz w:val="19"/>
                                <w:szCs w:val="19"/>
                              </w:rPr>
                            </w:pPr>
                          </w:p>
                          <w:p w:rsidR="000D7E20" w:rsidRPr="00576187" w:rsidRDefault="00576187" w:rsidP="00F230D9">
                            <w:pPr>
                              <w:jc w:val="right"/>
                              <w:rPr>
                                <w:b/>
                                <w:i/>
                                <w:color w:val="666666"/>
                                <w:sz w:val="22"/>
                                <w:szCs w:val="19"/>
                              </w:rPr>
                            </w:pPr>
                            <w:r w:rsidRPr="00576187">
                              <w:rPr>
                                <w:b/>
                                <w:i/>
                                <w:color w:val="666666"/>
                                <w:sz w:val="22"/>
                                <w:szCs w:val="19"/>
                              </w:rPr>
                              <w:t>É</w:t>
                            </w:r>
                            <w:r>
                              <w:rPr>
                                <w:b/>
                                <w:i/>
                                <w:color w:val="666666"/>
                                <w:sz w:val="22"/>
                                <w:szCs w:val="19"/>
                              </w:rPr>
                              <w:t>VORA, AGOSTO</w:t>
                            </w:r>
                            <w:r w:rsidRPr="00576187">
                              <w:rPr>
                                <w:b/>
                                <w:i/>
                                <w:color w:val="666666"/>
                                <w:sz w:val="22"/>
                                <w:szCs w:val="19"/>
                              </w:rPr>
                              <w:t xml:space="preserve"> 2014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27" type="#_x0000_t202" style="position:absolute;left:0;text-align:left;margin-left:221.6pt;margin-top:227.45pt;width:246.25pt;height:4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tEUhwIAABg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" stroked="f">
                <v:textbox>
                  <w:txbxContent>
                    <w:p w:rsidR="00BA4221" w:rsidRDefault="00BA4221" w:rsidP="00F230D9">
                      <w:pPr>
                        <w:jc w:val="right"/>
                        <w:rPr>
                          <w:i/>
                          <w:color w:val="666666"/>
                          <w:sz w:val="19"/>
                          <w:szCs w:val="19"/>
                        </w:rPr>
                      </w:pPr>
                      <w:r>
                        <w:rPr>
                          <w:i/>
                          <w:color w:val="666666"/>
                          <w:sz w:val="19"/>
                          <w:szCs w:val="19"/>
                        </w:rPr>
                        <w:t>E</w:t>
                      </w:r>
                      <w:r w:rsidR="000D7E20">
                        <w:rPr>
                          <w:i/>
                          <w:color w:val="666666"/>
                          <w:sz w:val="19"/>
                          <w:szCs w:val="19"/>
                        </w:rPr>
                        <w:t>sta tese</w:t>
                      </w:r>
                      <w:r>
                        <w:rPr>
                          <w:i/>
                          <w:color w:val="666666"/>
                          <w:sz w:val="19"/>
                          <w:szCs w:val="19"/>
                        </w:rPr>
                        <w:t xml:space="preserve"> inclui as críticas e sugestões feitas pelo júri</w:t>
                      </w:r>
                    </w:p>
                    <w:p w:rsidR="000D7E20" w:rsidRDefault="000D7E20" w:rsidP="00F230D9">
                      <w:pPr>
                        <w:jc w:val="right"/>
                        <w:rPr>
                          <w:i/>
                          <w:color w:val="666666"/>
                          <w:sz w:val="19"/>
                          <w:szCs w:val="19"/>
                        </w:rPr>
                      </w:pPr>
                    </w:p>
                    <w:p w:rsidR="000D7E20" w:rsidRPr="00576187" w:rsidRDefault="00576187" w:rsidP="00F230D9">
                      <w:pPr>
                        <w:jc w:val="right"/>
                        <w:rPr>
                          <w:b/>
                          <w:i/>
                          <w:color w:val="666666"/>
                          <w:sz w:val="22"/>
                          <w:szCs w:val="19"/>
                        </w:rPr>
                      </w:pPr>
                      <w:r w:rsidRPr="00576187">
                        <w:rPr>
                          <w:b/>
                          <w:i/>
                          <w:color w:val="666666"/>
                          <w:sz w:val="22"/>
                          <w:szCs w:val="19"/>
                        </w:rPr>
                        <w:t>É</w:t>
                      </w:r>
                      <w:r>
                        <w:rPr>
                          <w:b/>
                          <w:i/>
                          <w:color w:val="666666"/>
                          <w:sz w:val="22"/>
                          <w:szCs w:val="19"/>
                        </w:rPr>
                        <w:t>VORA, AGOSTO</w:t>
                      </w:r>
                      <w:r w:rsidRPr="00576187">
                        <w:rPr>
                          <w:b/>
                          <w:i/>
                          <w:color w:val="666666"/>
                          <w:sz w:val="22"/>
                          <w:szCs w:val="19"/>
                        </w:rPr>
                        <w:t xml:space="preserve"> 2014</w:t>
                      </w:r>
                    </w:p>
                  </w:txbxContent>
                </v:textbox>
              </v:shape>
            </w:pict>
          </mc:Fallback>
        </mc:AlternateContent>
      </w:r>
      <w:r w:rsidR="007F7964" w:rsidRPr="004D55DA">
        <w:rPr>
          <w:noProof/>
        </w:rPr>
        <mc:AlternateContent>
          <mc:Choice Requires="wps">
            <w:drawing>
              <wp:anchor distT="4294967295" distB="4294967295" distL="114300" distR="114300" simplePos="0" relativeHeight="251661312" behindDoc="0" locked="0" layoutInCell="1" allowOverlap="1" wp14:anchorId="68CA9AAC" wp14:editId="3F9CA402">
                <wp:simplePos x="0" y="0"/>
                <wp:positionH relativeFrom="margin">
                  <wp:posOffset>-260350</wp:posOffset>
                </wp:positionH>
                <wp:positionV relativeFrom="page">
                  <wp:posOffset>4645660</wp:posOffset>
                </wp:positionV>
                <wp:extent cx="6120130" cy="0"/>
                <wp:effectExtent l="0" t="0" r="13970" b="19050"/>
                <wp:wrapNone/>
                <wp:docPr id="30"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1A1A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 o:spid="_x0000_s1026" type="#_x0000_t32" style="position:absolute;margin-left:-20.5pt;margin-top:365.8pt;width:481.9pt;height:0;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" strokecolor="#1a1a1a" strokeweight="1pt">
                <w10:wrap anchorx="margin" anchory="page"/>
              </v:shape>
            </w:pict>
          </mc:Fallback>
        </mc:AlternateContent>
      </w:r>
      <w:r w:rsidR="007F7964" w:rsidRPr="004D55DA">
        <w:rPr>
          <w:noProof/>
        </w:rPr>
        <mc:AlternateContent>
          <mc:Choice Requires="wps">
            <w:drawing>
              <wp:anchor distT="0" distB="0" distL="114300" distR="114300" simplePos="0" relativeHeight="251665408" behindDoc="0" locked="0" layoutInCell="1" allowOverlap="1" wp14:anchorId="774CAD4D" wp14:editId="53A1553D">
                <wp:simplePos x="0" y="0"/>
                <wp:positionH relativeFrom="column">
                  <wp:posOffset>-250190</wp:posOffset>
                </wp:positionH>
                <wp:positionV relativeFrom="paragraph">
                  <wp:posOffset>1186815</wp:posOffset>
                </wp:positionV>
                <wp:extent cx="6229985" cy="382270"/>
                <wp:effectExtent l="0" t="0" r="0" b="0"/>
                <wp:wrapNone/>
                <wp:docPr id="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221" w:rsidRPr="006C64B0" w:rsidRDefault="00BA4221" w:rsidP="00F230D9">
                            <w:pPr>
                              <w:jc w:val="right"/>
                              <w:rPr>
                                <w:i/>
                                <w:color w:val="1A1A1A"/>
                                <w:sz w:val="36"/>
                                <w:szCs w:val="36"/>
                              </w:rPr>
                            </w:pPr>
                            <w:r>
                              <w:rPr>
                                <w:i/>
                                <w:color w:val="1A1A1A"/>
                                <w:sz w:val="36"/>
                                <w:szCs w:val="36"/>
                              </w:rPr>
                              <w:t>Vítor Manuel dos Ramos Caldeirinha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8" type="#_x0000_t202" style="position:absolute;left:0;text-align:left;margin-left:-19.7pt;margin-top:93.45pt;width:490.55pt;height:3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fpvAIAAMI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" filled="f" stroked="f">
                <v:textbox>
                  <w:txbxContent>
                    <w:p w:rsidR="00BA4221" w:rsidRPr="006C64B0" w:rsidRDefault="00BA4221" w:rsidP="00F230D9">
                      <w:pPr>
                        <w:jc w:val="right"/>
                        <w:rPr>
                          <w:i/>
                          <w:color w:val="1A1A1A"/>
                          <w:sz w:val="36"/>
                          <w:szCs w:val="36"/>
                        </w:rPr>
                      </w:pPr>
                      <w:r>
                        <w:rPr>
                          <w:i/>
                          <w:color w:val="1A1A1A"/>
                          <w:sz w:val="36"/>
                          <w:szCs w:val="36"/>
                        </w:rPr>
                        <w:t>Vítor Manuel dos Ramos Caldeirinha</w:t>
                      </w:r>
                    </w:p>
                  </w:txbxContent>
                </v:textbox>
              </v:shape>
            </w:pict>
          </mc:Fallback>
        </mc:AlternateContent>
      </w:r>
      <w:r w:rsidR="007F7964" w:rsidRPr="004D55DA">
        <w:rPr>
          <w:noProof/>
        </w:rPr>
        <mc:AlternateContent>
          <mc:Choice Requires="wps">
            <w:drawing>
              <wp:anchor distT="0" distB="0" distL="114300" distR="114300" simplePos="0" relativeHeight="251664384" behindDoc="0" locked="0" layoutInCell="1" allowOverlap="1" wp14:anchorId="6F4FDF25" wp14:editId="66309469">
                <wp:simplePos x="0" y="0"/>
                <wp:positionH relativeFrom="column">
                  <wp:posOffset>-269240</wp:posOffset>
                </wp:positionH>
                <wp:positionV relativeFrom="paragraph">
                  <wp:posOffset>1644015</wp:posOffset>
                </wp:positionV>
                <wp:extent cx="6228080" cy="626110"/>
                <wp:effectExtent l="0" t="0" r="0" b="2540"/>
                <wp:wrapNone/>
                <wp:docPr id="3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080"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221" w:rsidRPr="006C64B0" w:rsidRDefault="00BA4221" w:rsidP="00F230D9">
                            <w:pPr>
                              <w:spacing w:line="288" w:lineRule="exact"/>
                              <w:jc w:val="right"/>
                              <w:rPr>
                                <w:rFonts w:ascii="Arial" w:hAnsi="Arial" w:cs="Arial"/>
                                <w:color w:val="333333"/>
                              </w:rPr>
                            </w:pPr>
                            <w:r w:rsidRPr="006C64B0">
                              <w:rPr>
                                <w:rFonts w:ascii="Arial" w:hAnsi="Arial" w:cs="Arial"/>
                                <w:color w:val="333333"/>
                              </w:rPr>
                              <w:t>Tese apresentada à Universidade de Évora</w:t>
                            </w:r>
                          </w:p>
                          <w:p w:rsidR="00BA4221" w:rsidRPr="006C64B0" w:rsidRDefault="00BA4221" w:rsidP="00F230D9">
                            <w:pPr>
                              <w:spacing w:line="288" w:lineRule="exact"/>
                              <w:jc w:val="right"/>
                              <w:rPr>
                                <w:rFonts w:ascii="Arial" w:hAnsi="Arial" w:cs="Arial"/>
                                <w:color w:val="333333"/>
                              </w:rPr>
                            </w:pPr>
                            <w:r w:rsidRPr="006C64B0">
                              <w:rPr>
                                <w:rFonts w:ascii="Arial" w:hAnsi="Arial" w:cs="Arial"/>
                                <w:color w:val="333333"/>
                              </w:rPr>
                              <w:t xml:space="preserve">para obtenção do Grau de Doutor em </w:t>
                            </w:r>
                            <w:r>
                              <w:rPr>
                                <w:rFonts w:ascii="Arial" w:hAnsi="Arial" w:cs="Arial"/>
                                <w:color w:val="333333"/>
                              </w:rPr>
                              <w:t>Gestão</w:t>
                            </w:r>
                          </w:p>
                          <w:p w:rsidR="00BA4221" w:rsidRPr="006C64B0" w:rsidRDefault="00BA4221" w:rsidP="00F230D9">
                            <w:pPr>
                              <w:spacing w:line="288" w:lineRule="exact"/>
                              <w:jc w:val="right"/>
                              <w:rPr>
                                <w:rFonts w:ascii="Arial" w:hAnsi="Arial" w:cs="Arial"/>
                                <w:color w:val="333333"/>
                              </w:rPr>
                            </w:pPr>
                            <w:r>
                              <w:rPr>
                                <w:rFonts w:ascii="Arial" w:hAnsi="Arial" w:cs="Arial"/>
                                <w:color w:val="333333"/>
                              </w:rPr>
                              <w:t>Especialidade: Gestão Portuária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9" type="#_x0000_t202" style="position:absolute;left:0;text-align:left;margin-left:-21.2pt;margin-top:129.45pt;width:490.4pt;height:4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aBVvAIAAMI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" filled="f" stroked="f">
                <v:textbox>
                  <w:txbxContent>
                    <w:p w:rsidR="00BA4221" w:rsidRPr="006C64B0" w:rsidRDefault="00BA4221" w:rsidP="00F230D9">
                      <w:pPr>
                        <w:spacing w:line="288" w:lineRule="exact"/>
                        <w:jc w:val="right"/>
                        <w:rPr>
                          <w:rFonts w:ascii="Arial" w:hAnsi="Arial" w:cs="Arial"/>
                          <w:color w:val="333333"/>
                        </w:rPr>
                      </w:pPr>
                      <w:r w:rsidRPr="006C64B0">
                        <w:rPr>
                          <w:rFonts w:ascii="Arial" w:hAnsi="Arial" w:cs="Arial"/>
                          <w:color w:val="333333"/>
                        </w:rPr>
                        <w:t>Tese apresentada à Universidade de Évora</w:t>
                      </w:r>
                    </w:p>
                    <w:p w:rsidR="00BA4221" w:rsidRPr="006C64B0" w:rsidRDefault="00BA4221" w:rsidP="00F230D9">
                      <w:pPr>
                        <w:spacing w:line="288" w:lineRule="exact"/>
                        <w:jc w:val="right"/>
                        <w:rPr>
                          <w:rFonts w:ascii="Arial" w:hAnsi="Arial" w:cs="Arial"/>
                          <w:color w:val="333333"/>
                        </w:rPr>
                      </w:pPr>
                      <w:r w:rsidRPr="006C64B0">
                        <w:rPr>
                          <w:rFonts w:ascii="Arial" w:hAnsi="Arial" w:cs="Arial"/>
                          <w:color w:val="333333"/>
                        </w:rPr>
                        <w:t xml:space="preserve">para obtenção do Grau de Doutor em </w:t>
                      </w:r>
                      <w:r>
                        <w:rPr>
                          <w:rFonts w:ascii="Arial" w:hAnsi="Arial" w:cs="Arial"/>
                          <w:color w:val="333333"/>
                        </w:rPr>
                        <w:t>Gestão</w:t>
                      </w:r>
                    </w:p>
                    <w:p w:rsidR="00BA4221" w:rsidRPr="006C64B0" w:rsidRDefault="00BA4221" w:rsidP="00F230D9">
                      <w:pPr>
                        <w:spacing w:line="288" w:lineRule="exact"/>
                        <w:jc w:val="right"/>
                        <w:rPr>
                          <w:rFonts w:ascii="Arial" w:hAnsi="Arial" w:cs="Arial"/>
                          <w:color w:val="333333"/>
                        </w:rPr>
                      </w:pPr>
                      <w:r>
                        <w:rPr>
                          <w:rFonts w:ascii="Arial" w:hAnsi="Arial" w:cs="Arial"/>
                          <w:color w:val="333333"/>
                        </w:rPr>
                        <w:t>Especialidade: Gestão Portuária</w:t>
                      </w:r>
                    </w:p>
                  </w:txbxContent>
                </v:textbox>
              </v:shape>
            </w:pict>
          </mc:Fallback>
        </mc:AlternateContent>
      </w:r>
      <w:r w:rsidR="007F7964" w:rsidRPr="004D55DA">
        <w:rPr>
          <w:noProof/>
        </w:rPr>
        <mc:AlternateContent>
          <mc:Choice Requires="wps">
            <w:drawing>
              <wp:anchor distT="0" distB="0" distL="114300" distR="114300" simplePos="0" relativeHeight="251663360" behindDoc="0" locked="0" layoutInCell="1" allowOverlap="1" wp14:anchorId="70BA77A7" wp14:editId="3C8D3702">
                <wp:simplePos x="0" y="0"/>
                <wp:positionH relativeFrom="column">
                  <wp:posOffset>-269240</wp:posOffset>
                </wp:positionH>
                <wp:positionV relativeFrom="paragraph">
                  <wp:posOffset>2386330</wp:posOffset>
                </wp:positionV>
                <wp:extent cx="6221095" cy="397510"/>
                <wp:effectExtent l="0" t="0" r="0" b="0"/>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397510"/>
                        </a:xfrm>
                        <a:prstGeom prst="rect">
                          <a:avLst/>
                        </a:prstGeom>
                        <a:solidFill>
                          <a:sysClr val="window" lastClr="FFFFFF">
                            <a:lumMod val="100000"/>
                            <a:lumOff val="0"/>
                            <a:alpha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4221" w:rsidRDefault="00BA4221" w:rsidP="00F230D9">
                            <w:pPr>
                              <w:spacing w:line="240" w:lineRule="exact"/>
                              <w:jc w:val="right"/>
                              <w:rPr>
                                <w:i/>
                                <w:color w:val="4D4D4D"/>
                                <w:sz w:val="20"/>
                                <w:szCs w:val="20"/>
                              </w:rPr>
                            </w:pPr>
                            <w:r>
                              <w:rPr>
                                <w:rFonts w:ascii="Arial" w:hAnsi="Arial" w:cs="Arial"/>
                                <w:color w:val="4D4D4D"/>
                                <w:sz w:val="20"/>
                                <w:szCs w:val="20"/>
                              </w:rPr>
                              <w:t xml:space="preserve">ORIENTADORES </w:t>
                            </w:r>
                            <w:r w:rsidRPr="00D71DB6">
                              <w:rPr>
                                <w:rFonts w:ascii="Arial" w:hAnsi="Arial" w:cs="Arial"/>
                                <w:color w:val="4D4D4D"/>
                                <w:sz w:val="20"/>
                                <w:szCs w:val="20"/>
                              </w:rPr>
                              <w:t>:</w:t>
                            </w:r>
                            <w:r w:rsidRPr="00D71DB6">
                              <w:rPr>
                                <w:rFonts w:ascii="Arial" w:hAnsi="Arial" w:cs="Arial"/>
                                <w:color w:val="4D4D4D"/>
                              </w:rPr>
                              <w:t xml:space="preserve"> </w:t>
                            </w:r>
                            <w:r w:rsidR="00576187">
                              <w:rPr>
                                <w:rFonts w:ascii="Arial" w:hAnsi="Arial" w:cs="Arial"/>
                                <w:color w:val="4D4D4D"/>
                              </w:rPr>
                              <w:tab/>
                            </w:r>
                            <w:r w:rsidRPr="00D71DB6">
                              <w:rPr>
                                <w:i/>
                                <w:color w:val="4D4D4D"/>
                                <w:sz w:val="20"/>
                                <w:szCs w:val="20"/>
                              </w:rPr>
                              <w:t>Professor</w:t>
                            </w:r>
                            <w:r>
                              <w:rPr>
                                <w:i/>
                                <w:color w:val="4D4D4D"/>
                                <w:sz w:val="20"/>
                                <w:szCs w:val="20"/>
                              </w:rPr>
                              <w:t xml:space="preserve"> Doutor José Augusto de Jesus Felício</w:t>
                            </w:r>
                          </w:p>
                          <w:p w:rsidR="00BA4221" w:rsidRPr="003D07F5" w:rsidRDefault="00BA4221" w:rsidP="00F230D9">
                            <w:pPr>
                              <w:spacing w:line="240" w:lineRule="exact"/>
                              <w:jc w:val="right"/>
                              <w:rPr>
                                <w:rFonts w:ascii="Arial" w:hAnsi="Arial" w:cs="Arial"/>
                                <w:color w:val="4D4D4D"/>
                                <w:sz w:val="20"/>
                                <w:szCs w:val="20"/>
                              </w:rPr>
                            </w:pPr>
                            <w:r>
                              <w:rPr>
                                <w:rFonts w:ascii="Arial" w:hAnsi="Arial" w:cs="Arial"/>
                                <w:color w:val="4D4D4D"/>
                                <w:sz w:val="20"/>
                                <w:szCs w:val="20"/>
                              </w:rPr>
                              <w:t xml:space="preserve"> </w:t>
                            </w:r>
                            <w:r w:rsidR="00576187">
                              <w:rPr>
                                <w:rFonts w:ascii="Arial" w:hAnsi="Arial" w:cs="Arial"/>
                                <w:color w:val="4D4D4D"/>
                                <w:sz w:val="20"/>
                                <w:szCs w:val="20"/>
                              </w:rPr>
                              <w:tab/>
                            </w:r>
                            <w:r w:rsidRPr="003D07F5">
                              <w:rPr>
                                <w:i/>
                                <w:color w:val="4D4D4D"/>
                                <w:sz w:val="20"/>
                                <w:szCs w:val="20"/>
                              </w:rPr>
                              <w:t>Professo</w:t>
                            </w:r>
                            <w:r>
                              <w:rPr>
                                <w:i/>
                                <w:color w:val="4D4D4D"/>
                                <w:sz w:val="20"/>
                                <w:szCs w:val="20"/>
                              </w:rPr>
                              <w:t>ra Doutora Andreia Teixeira Marques Dionísio</w:t>
                            </w:r>
                            <w:r w:rsidRPr="003D07F5">
                              <w:rPr>
                                <w:rFonts w:ascii="Arial" w:hAnsi="Arial" w:cs="Arial"/>
                                <w:color w:val="4D4D4D"/>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0" type="#_x0000_t202" style="position:absolute;left:0;text-align:left;margin-left:-21.2pt;margin-top:187.9pt;width:489.85pt;height:3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" stroked="f">
                <v:fill opacity="0"/>
                <v:textbox>
                  <w:txbxContent>
                    <w:p w:rsidR="00BA4221" w:rsidRDefault="00BA4221" w:rsidP="00F230D9">
                      <w:pPr>
                        <w:spacing w:line="240" w:lineRule="exact"/>
                        <w:jc w:val="right"/>
                        <w:rPr>
                          <w:i/>
                          <w:color w:val="4D4D4D"/>
                          <w:sz w:val="20"/>
                          <w:szCs w:val="20"/>
                        </w:rPr>
                      </w:pPr>
                      <w:r>
                        <w:rPr>
                          <w:rFonts w:ascii="Arial" w:hAnsi="Arial" w:cs="Arial"/>
                          <w:color w:val="4D4D4D"/>
                          <w:sz w:val="20"/>
                          <w:szCs w:val="20"/>
                        </w:rPr>
                        <w:t xml:space="preserve">ORIENTADORES </w:t>
                      </w:r>
                      <w:r w:rsidRPr="00D71DB6">
                        <w:rPr>
                          <w:rFonts w:ascii="Arial" w:hAnsi="Arial" w:cs="Arial"/>
                          <w:color w:val="4D4D4D"/>
                          <w:sz w:val="20"/>
                          <w:szCs w:val="20"/>
                        </w:rPr>
                        <w:t>:</w:t>
                      </w:r>
                      <w:r w:rsidRPr="00D71DB6">
                        <w:rPr>
                          <w:rFonts w:ascii="Arial" w:hAnsi="Arial" w:cs="Arial"/>
                          <w:color w:val="4D4D4D"/>
                        </w:rPr>
                        <w:t xml:space="preserve"> </w:t>
                      </w:r>
                      <w:r w:rsidR="00576187">
                        <w:rPr>
                          <w:rFonts w:ascii="Arial" w:hAnsi="Arial" w:cs="Arial"/>
                          <w:color w:val="4D4D4D"/>
                        </w:rPr>
                        <w:tab/>
                      </w:r>
                      <w:r w:rsidRPr="00D71DB6">
                        <w:rPr>
                          <w:i/>
                          <w:color w:val="4D4D4D"/>
                          <w:sz w:val="20"/>
                          <w:szCs w:val="20"/>
                        </w:rPr>
                        <w:t>Professor</w:t>
                      </w:r>
                      <w:r>
                        <w:rPr>
                          <w:i/>
                          <w:color w:val="4D4D4D"/>
                          <w:sz w:val="20"/>
                          <w:szCs w:val="20"/>
                        </w:rPr>
                        <w:t xml:space="preserve"> Doutor José Augusto de Jesus Felício</w:t>
                      </w:r>
                    </w:p>
                    <w:p w:rsidR="00BA4221" w:rsidRPr="003D07F5" w:rsidRDefault="00BA4221" w:rsidP="00F230D9">
                      <w:pPr>
                        <w:spacing w:line="240" w:lineRule="exact"/>
                        <w:jc w:val="right"/>
                        <w:rPr>
                          <w:rFonts w:ascii="Arial" w:hAnsi="Arial" w:cs="Arial"/>
                          <w:color w:val="4D4D4D"/>
                          <w:sz w:val="20"/>
                          <w:szCs w:val="20"/>
                        </w:rPr>
                      </w:pPr>
                      <w:r>
                        <w:rPr>
                          <w:rFonts w:ascii="Arial" w:hAnsi="Arial" w:cs="Arial"/>
                          <w:color w:val="4D4D4D"/>
                          <w:sz w:val="20"/>
                          <w:szCs w:val="20"/>
                        </w:rPr>
                        <w:t xml:space="preserve"> </w:t>
                      </w:r>
                      <w:r w:rsidR="00576187">
                        <w:rPr>
                          <w:rFonts w:ascii="Arial" w:hAnsi="Arial" w:cs="Arial"/>
                          <w:color w:val="4D4D4D"/>
                          <w:sz w:val="20"/>
                          <w:szCs w:val="20"/>
                        </w:rPr>
                        <w:tab/>
                      </w:r>
                      <w:r w:rsidRPr="003D07F5">
                        <w:rPr>
                          <w:i/>
                          <w:color w:val="4D4D4D"/>
                          <w:sz w:val="20"/>
                          <w:szCs w:val="20"/>
                        </w:rPr>
                        <w:t>Professo</w:t>
                      </w:r>
                      <w:r>
                        <w:rPr>
                          <w:i/>
                          <w:color w:val="4D4D4D"/>
                          <w:sz w:val="20"/>
                          <w:szCs w:val="20"/>
                        </w:rPr>
                        <w:t>ra Doutora Andreia Teixeira Marques Dionísio</w:t>
                      </w:r>
                      <w:r w:rsidRPr="003D07F5">
                        <w:rPr>
                          <w:rFonts w:ascii="Arial" w:hAnsi="Arial" w:cs="Arial"/>
                          <w:color w:val="4D4D4D"/>
                          <w:sz w:val="20"/>
                          <w:szCs w:val="20"/>
                        </w:rPr>
                        <w:t xml:space="preserve"> </w:t>
                      </w:r>
                    </w:p>
                  </w:txbxContent>
                </v:textbox>
              </v:shape>
            </w:pict>
          </mc:Fallback>
        </mc:AlternateContent>
      </w:r>
      <w:r w:rsidR="007F7964" w:rsidRPr="004D55DA">
        <w:rPr>
          <w:noProof/>
        </w:rPr>
        <mc:AlternateContent>
          <mc:Choice Requires="wps">
            <w:drawing>
              <wp:anchor distT="0" distB="0" distL="114300" distR="114300" simplePos="0" relativeHeight="251660288" behindDoc="0" locked="0" layoutInCell="1" allowOverlap="1" wp14:anchorId="09EEB3D9" wp14:editId="257633FF">
                <wp:simplePos x="0" y="0"/>
                <wp:positionH relativeFrom="column">
                  <wp:posOffset>2933065</wp:posOffset>
                </wp:positionH>
                <wp:positionV relativeFrom="paragraph">
                  <wp:posOffset>6090920</wp:posOffset>
                </wp:positionV>
                <wp:extent cx="2990850" cy="242570"/>
                <wp:effectExtent l="0" t="0" r="0" b="508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4221" w:rsidRPr="000B61F2" w:rsidRDefault="00BA4221" w:rsidP="00F230D9">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230.95pt;margin-top:479.6pt;width:235.5pt;height:1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mCIhgIAABc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" stroked="f">
                <v:textbox>
                  <w:txbxContent>
                    <w:p w:rsidR="00BA4221" w:rsidRPr="000B61F2" w:rsidRDefault="00BA4221" w:rsidP="00F230D9">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v:textbox>
              </v:shape>
            </w:pict>
          </mc:Fallback>
        </mc:AlternateContent>
      </w:r>
      <w:r w:rsidR="007F7964" w:rsidRPr="004D55DA">
        <w:rPr>
          <w:noProof/>
        </w:rPr>
        <w:drawing>
          <wp:anchor distT="0" distB="0" distL="114300" distR="114300" simplePos="0" relativeHeight="251659264" behindDoc="1" locked="0" layoutInCell="1" allowOverlap="1" wp14:anchorId="42B57EE6" wp14:editId="47D21F69">
            <wp:simplePos x="0" y="0"/>
            <wp:positionH relativeFrom="margin">
              <wp:posOffset>-199390</wp:posOffset>
            </wp:positionH>
            <wp:positionV relativeFrom="paragraph">
              <wp:posOffset>3564890</wp:posOffset>
            </wp:positionV>
            <wp:extent cx="6118225" cy="2157730"/>
            <wp:effectExtent l="0" t="0" r="0" b="0"/>
            <wp:wrapNone/>
            <wp:docPr id="446" name="Imagem 1" descr="C:\Users\Paulo\Desktop\capas\107-2_modifi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Paulo\Desktop\capas\107-2_modificada.jpg"/>
                    <pic:cNvPicPr>
                      <a:picLocks noChangeAspect="1" noChangeArrowheads="1"/>
                    </pic:cNvPicPr>
                  </pic:nvPicPr>
                  <pic:blipFill>
                    <a:blip r:embed="rId10">
                      <a:extLst>
                        <a:ext uri="{28A0092B-C50C-407E-A947-70E740481C1C}">
                          <a14:useLocalDpi xmlns:a14="http://schemas.microsoft.com/office/drawing/2010/main" val="0"/>
                        </a:ext>
                      </a:extLst>
                    </a:blip>
                    <a:srcRect l="3130" r="3564"/>
                    <a:stretch>
                      <a:fillRect/>
                    </a:stretch>
                  </pic:blipFill>
                  <pic:spPr bwMode="auto">
                    <a:xfrm>
                      <a:off x="0" y="0"/>
                      <a:ext cx="6118225" cy="215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7964" w:rsidRPr="004D55DA" w:rsidRDefault="007F7964" w:rsidP="007F7964">
      <w:pPr>
        <w:ind w:left="-567" w:right="567"/>
        <w:sectPr w:rsidR="007F7964" w:rsidRPr="004D55DA" w:rsidSect="00780322">
          <w:headerReference w:type="default" r:id="rId11"/>
          <w:footerReference w:type="default" r:id="rId12"/>
          <w:headerReference w:type="first" r:id="rId13"/>
          <w:pgSz w:w="11906" w:h="16838"/>
          <w:pgMar w:top="1417" w:right="1133" w:bottom="1417" w:left="1701" w:header="708" w:footer="708" w:gutter="0"/>
          <w:cols w:space="708"/>
          <w:titlePg/>
          <w:docGrid w:linePitch="360"/>
        </w:sectPr>
      </w:pPr>
    </w:p>
    <w:p w:rsidR="00780322" w:rsidRDefault="00780322">
      <w:r>
        <w:lastRenderedPageBreak/>
        <w:br w:type="page"/>
      </w:r>
    </w:p>
    <w:p w:rsidR="00D1553F" w:rsidRPr="004D55DA" w:rsidRDefault="00D1553F" w:rsidP="007F7964">
      <w:pPr>
        <w:tabs>
          <w:tab w:val="left" w:pos="9072"/>
        </w:tabs>
      </w:pPr>
    </w:p>
    <w:p w:rsidR="00D1553F" w:rsidRPr="004D55DA" w:rsidRDefault="00D1553F" w:rsidP="007F7964">
      <w:pPr>
        <w:autoSpaceDE w:val="0"/>
        <w:autoSpaceDN w:val="0"/>
        <w:adjustRightInd w:val="0"/>
        <w:ind w:right="567"/>
        <w:rPr>
          <w:b/>
        </w:rPr>
      </w:pPr>
      <w:r w:rsidRPr="004D55DA">
        <w:rPr>
          <w:b/>
        </w:rPr>
        <w:t>Epígrafe</w:t>
      </w: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D1553F" w:rsidP="007F7964">
      <w:pPr>
        <w:autoSpaceDE w:val="0"/>
        <w:autoSpaceDN w:val="0"/>
        <w:adjustRightInd w:val="0"/>
        <w:spacing w:line="360" w:lineRule="auto"/>
      </w:pPr>
    </w:p>
    <w:p w:rsidR="00D1553F" w:rsidRPr="004D55DA" w:rsidRDefault="001565DF" w:rsidP="007F7964">
      <w:pPr>
        <w:spacing w:line="360" w:lineRule="auto"/>
        <w:jc w:val="both"/>
        <w:rPr>
          <w:rFonts w:ascii="Arial" w:hAnsi="Arial" w:cs="Arial"/>
        </w:rPr>
      </w:pPr>
      <w:r w:rsidRPr="004D55DA">
        <w:rPr>
          <w:rFonts w:ascii="Arial" w:hAnsi="Arial" w:cs="Arial"/>
        </w:rPr>
        <w:t>Pelos portos se vai ao mundo, pelos portos vem o mundo.</w:t>
      </w:r>
    </w:p>
    <w:p w:rsidR="001565DF" w:rsidRPr="004D55DA" w:rsidRDefault="001565DF" w:rsidP="007F7964">
      <w:pPr>
        <w:spacing w:line="360" w:lineRule="auto"/>
        <w:jc w:val="both"/>
        <w:rPr>
          <w:rFonts w:ascii="Arial" w:hAnsi="Arial" w:cs="Arial"/>
        </w:rPr>
      </w:pPr>
    </w:p>
    <w:p w:rsidR="001565DF" w:rsidRPr="004D55DA" w:rsidRDefault="007F7964" w:rsidP="007F7964">
      <w:pPr>
        <w:spacing w:line="360" w:lineRule="auto"/>
        <w:jc w:val="both"/>
        <w:rPr>
          <w:rFonts w:ascii="Arial" w:hAnsi="Arial" w:cs="Arial"/>
        </w:rPr>
      </w:pPr>
      <w:r w:rsidRPr="004D55DA">
        <w:rPr>
          <w:rFonts w:ascii="Arial" w:hAnsi="Arial" w:cs="Arial"/>
        </w:rPr>
        <w:t>Os p</w:t>
      </w:r>
      <w:r w:rsidR="001565DF" w:rsidRPr="004D55DA">
        <w:rPr>
          <w:rFonts w:ascii="Arial" w:hAnsi="Arial" w:cs="Arial"/>
        </w:rPr>
        <w:t xml:space="preserve">ortos </w:t>
      </w:r>
      <w:r w:rsidR="00786B5A">
        <w:rPr>
          <w:rFonts w:ascii="Arial" w:hAnsi="Arial" w:cs="Arial"/>
        </w:rPr>
        <w:t>são</w:t>
      </w:r>
      <w:r w:rsidR="001565DF" w:rsidRPr="004D55DA">
        <w:rPr>
          <w:rFonts w:ascii="Arial" w:hAnsi="Arial" w:cs="Arial"/>
        </w:rPr>
        <w:t xml:space="preserve"> elos </w:t>
      </w:r>
      <w:r w:rsidRPr="004D55DA">
        <w:rPr>
          <w:rFonts w:ascii="Arial" w:hAnsi="Arial" w:cs="Arial"/>
        </w:rPr>
        <w:t xml:space="preserve">eficientes e competitivos </w:t>
      </w:r>
      <w:r w:rsidR="001565DF" w:rsidRPr="004D55DA">
        <w:rPr>
          <w:rFonts w:ascii="Arial" w:hAnsi="Arial" w:cs="Arial"/>
        </w:rPr>
        <w:t>da cadeia logística globa</w:t>
      </w:r>
      <w:r w:rsidR="00234C30">
        <w:rPr>
          <w:rFonts w:ascii="Arial" w:hAnsi="Arial" w:cs="Arial"/>
        </w:rPr>
        <w:t>l impulsionadores das exportações,</w:t>
      </w:r>
      <w:r w:rsidR="001565DF" w:rsidRPr="004D55DA">
        <w:rPr>
          <w:rFonts w:ascii="Arial" w:hAnsi="Arial" w:cs="Arial"/>
        </w:rPr>
        <w:t xml:space="preserve"> emprego </w:t>
      </w:r>
      <w:r w:rsidR="00234C30">
        <w:rPr>
          <w:rFonts w:ascii="Arial" w:hAnsi="Arial" w:cs="Arial"/>
        </w:rPr>
        <w:t>e</w:t>
      </w:r>
      <w:r w:rsidR="001565DF" w:rsidRPr="004D55DA">
        <w:rPr>
          <w:rFonts w:ascii="Arial" w:hAnsi="Arial" w:cs="Arial"/>
        </w:rPr>
        <w:t xml:space="preserve"> desenvolvimento do País.</w:t>
      </w:r>
    </w:p>
    <w:p w:rsidR="00D1553F" w:rsidRPr="004D55DA" w:rsidRDefault="00D1553F" w:rsidP="007F7964">
      <w:r w:rsidRPr="004D55DA">
        <w:br w:type="page"/>
      </w:r>
    </w:p>
    <w:p w:rsidR="00D1553F" w:rsidRPr="004D55DA" w:rsidRDefault="00D1553F" w:rsidP="007F7964">
      <w:pPr>
        <w:autoSpaceDE w:val="0"/>
        <w:autoSpaceDN w:val="0"/>
        <w:adjustRightInd w:val="0"/>
        <w:rPr>
          <w:b/>
        </w:rPr>
      </w:pPr>
      <w:r w:rsidRPr="004D55DA">
        <w:rPr>
          <w:b/>
        </w:rPr>
        <w:lastRenderedPageBreak/>
        <w:t>Dedicatória</w:t>
      </w:r>
    </w:p>
    <w:p w:rsidR="00D1553F" w:rsidRPr="004D55DA" w:rsidRDefault="00D1553F" w:rsidP="007F7964">
      <w:pPr>
        <w:autoSpaceDE w:val="0"/>
        <w:autoSpaceDN w:val="0"/>
        <w:adjustRightInd w:val="0"/>
      </w:pPr>
    </w:p>
    <w:p w:rsidR="00EB43AA" w:rsidRPr="004D55DA" w:rsidRDefault="00EB43AA" w:rsidP="007F7964">
      <w:pPr>
        <w:autoSpaceDE w:val="0"/>
        <w:autoSpaceDN w:val="0"/>
        <w:adjustRightInd w:val="0"/>
      </w:pPr>
    </w:p>
    <w:p w:rsidR="00EB43AA" w:rsidRPr="004D55DA" w:rsidRDefault="00EB43AA" w:rsidP="007F7964">
      <w:pPr>
        <w:autoSpaceDE w:val="0"/>
        <w:autoSpaceDN w:val="0"/>
        <w:adjustRightInd w:val="0"/>
      </w:pPr>
    </w:p>
    <w:p w:rsidR="001565DF" w:rsidRPr="004D55DA" w:rsidRDefault="001565DF" w:rsidP="007F7964">
      <w:pPr>
        <w:autoSpaceDE w:val="0"/>
        <w:autoSpaceDN w:val="0"/>
        <w:adjustRightInd w:val="0"/>
        <w:jc w:val="both"/>
      </w:pPr>
    </w:p>
    <w:p w:rsidR="00234C30" w:rsidRDefault="001565DF" w:rsidP="007F7964">
      <w:pPr>
        <w:autoSpaceDE w:val="0"/>
        <w:autoSpaceDN w:val="0"/>
        <w:adjustRightInd w:val="0"/>
        <w:spacing w:line="360" w:lineRule="auto"/>
        <w:jc w:val="both"/>
      </w:pPr>
      <w:r w:rsidRPr="004D55DA">
        <w:t xml:space="preserve">Dedico este trabalho ao meu </w:t>
      </w:r>
      <w:r w:rsidR="00234C30">
        <w:t>p</w:t>
      </w:r>
      <w:r w:rsidRPr="004D55DA">
        <w:t>ai José Manuel Caldeirinha, já falecido, à minha mãe Maria de Lourdes Ramos Costas, à minha esposa Sandra Maria Ramos Lopes e aos meus filhos gémeos Pedro e Diogo Caldeirinha</w:t>
      </w:r>
      <w:r w:rsidR="00D1553F" w:rsidRPr="004D55DA">
        <w:t>.</w:t>
      </w:r>
    </w:p>
    <w:p w:rsidR="00234C30" w:rsidRDefault="00234C30" w:rsidP="007F7964">
      <w:pPr>
        <w:autoSpaceDE w:val="0"/>
        <w:autoSpaceDN w:val="0"/>
        <w:adjustRightInd w:val="0"/>
        <w:spacing w:line="360" w:lineRule="auto"/>
        <w:jc w:val="both"/>
      </w:pPr>
    </w:p>
    <w:p w:rsidR="00D1553F" w:rsidRPr="004D55DA" w:rsidRDefault="00D1553F" w:rsidP="007F7964">
      <w:pPr>
        <w:autoSpaceDE w:val="0"/>
        <w:autoSpaceDN w:val="0"/>
        <w:adjustRightInd w:val="0"/>
        <w:spacing w:line="360" w:lineRule="auto"/>
        <w:jc w:val="both"/>
      </w:pPr>
      <w:r w:rsidRPr="004D55DA">
        <w:br w:type="page"/>
      </w:r>
    </w:p>
    <w:p w:rsidR="00D1553F" w:rsidRPr="004D55DA" w:rsidRDefault="00D1553F" w:rsidP="007F7964">
      <w:pPr>
        <w:autoSpaceDE w:val="0"/>
        <w:autoSpaceDN w:val="0"/>
        <w:adjustRightInd w:val="0"/>
        <w:rPr>
          <w:b/>
        </w:rPr>
      </w:pPr>
      <w:r w:rsidRPr="004D55DA">
        <w:rPr>
          <w:b/>
        </w:rPr>
        <w:lastRenderedPageBreak/>
        <w:t>Agradecimentos</w:t>
      </w:r>
    </w:p>
    <w:p w:rsidR="00D1553F" w:rsidRPr="004D55DA" w:rsidRDefault="00D1553F" w:rsidP="007F7964">
      <w:pPr>
        <w:autoSpaceDE w:val="0"/>
        <w:autoSpaceDN w:val="0"/>
        <w:adjustRightInd w:val="0"/>
      </w:pPr>
    </w:p>
    <w:p w:rsidR="001565DF" w:rsidRPr="004D55DA" w:rsidRDefault="001565DF" w:rsidP="007F7964">
      <w:pPr>
        <w:autoSpaceDE w:val="0"/>
        <w:autoSpaceDN w:val="0"/>
        <w:adjustRightInd w:val="0"/>
        <w:spacing w:line="360" w:lineRule="auto"/>
      </w:pPr>
    </w:p>
    <w:p w:rsidR="00EB43AA" w:rsidRPr="004D55DA" w:rsidRDefault="00EB43AA" w:rsidP="007F7964">
      <w:pPr>
        <w:autoSpaceDE w:val="0"/>
        <w:autoSpaceDN w:val="0"/>
        <w:adjustRightInd w:val="0"/>
        <w:spacing w:line="360" w:lineRule="auto"/>
      </w:pPr>
    </w:p>
    <w:p w:rsidR="00EB43AA" w:rsidRPr="004D55DA" w:rsidRDefault="00EB43AA" w:rsidP="007F7964">
      <w:pPr>
        <w:autoSpaceDE w:val="0"/>
        <w:autoSpaceDN w:val="0"/>
        <w:adjustRightInd w:val="0"/>
        <w:spacing w:line="360" w:lineRule="auto"/>
      </w:pPr>
    </w:p>
    <w:p w:rsidR="001565DF" w:rsidRPr="004D55DA" w:rsidRDefault="001565DF" w:rsidP="007F7964">
      <w:pPr>
        <w:autoSpaceDE w:val="0"/>
        <w:autoSpaceDN w:val="0"/>
        <w:adjustRightInd w:val="0"/>
        <w:spacing w:line="360" w:lineRule="auto"/>
        <w:jc w:val="both"/>
      </w:pPr>
      <w:r w:rsidRPr="004D55DA">
        <w:t xml:space="preserve">Agradeço toda a ajuda essencial a este trabalho do Professor </w:t>
      </w:r>
      <w:r w:rsidR="00372F0E">
        <w:t xml:space="preserve">J. </w:t>
      </w:r>
      <w:r w:rsidRPr="004D55DA">
        <w:t>Augusto Felício</w:t>
      </w:r>
      <w:r w:rsidR="007F7964" w:rsidRPr="004D55DA">
        <w:t xml:space="preserve"> (ISEG)</w:t>
      </w:r>
      <w:r w:rsidRPr="004D55DA">
        <w:t>, da Professora Andreia Dionísio</w:t>
      </w:r>
      <w:r w:rsidR="007F7964" w:rsidRPr="004D55DA">
        <w:t xml:space="preserve"> (UÉ)</w:t>
      </w:r>
      <w:r w:rsidRPr="004D55DA">
        <w:t>, da Dra. Joana Coelho</w:t>
      </w:r>
      <w:r w:rsidR="007F7964" w:rsidRPr="004D55DA">
        <w:t xml:space="preserve"> (APSS)</w:t>
      </w:r>
      <w:r w:rsidRPr="004D55DA">
        <w:t>, do Dr. Ricardo Rodrigues</w:t>
      </w:r>
      <w:r w:rsidR="007F7964" w:rsidRPr="004D55DA">
        <w:t xml:space="preserve"> (CEGE)</w:t>
      </w:r>
      <w:r w:rsidRPr="004D55DA">
        <w:t>, da Sra. Maria José Fidalgo</w:t>
      </w:r>
      <w:r w:rsidR="007F7964" w:rsidRPr="004D55DA">
        <w:t xml:space="preserve"> (APSS)</w:t>
      </w:r>
      <w:r w:rsidRPr="004D55DA">
        <w:t>.</w:t>
      </w:r>
      <w:r w:rsidR="00234C30">
        <w:t xml:space="preserve"> </w:t>
      </w:r>
      <w:r w:rsidRPr="004D55DA">
        <w:t>Agradeço ainda à APSS, Administração dos Portos de Setúbal e Sesimbra e ao seu Conselho de Administração</w:t>
      </w:r>
      <w:r w:rsidR="007F7964" w:rsidRPr="004D55DA">
        <w:t>, Engº Gouveia Lopes</w:t>
      </w:r>
      <w:r w:rsidR="00234C30">
        <w:t xml:space="preserve"> por </w:t>
      </w:r>
      <w:r w:rsidR="00A62F51">
        <w:t>ter</w:t>
      </w:r>
      <w:r w:rsidR="007F7964" w:rsidRPr="004D55DA">
        <w:t xml:space="preserve"> permitido</w:t>
      </w:r>
      <w:r w:rsidRPr="004D55DA">
        <w:t xml:space="preserve"> dispensar algum tempo ao prosseguimento deste projeto.</w:t>
      </w:r>
      <w:r w:rsidR="00234C30">
        <w:t xml:space="preserve"> </w:t>
      </w:r>
      <w:r w:rsidR="007F7964" w:rsidRPr="004D55DA">
        <w:t>Agradeço ao Professor Eduard Rodés da Escola Europeia de Shortsea Shipping o apoio ao inquérito.</w:t>
      </w:r>
      <w:r w:rsidR="00234C30">
        <w:t xml:space="preserve"> </w:t>
      </w:r>
      <w:r w:rsidR="007F7964" w:rsidRPr="004D55DA">
        <w:t>Finalmente, agradeço a ajuda de todos os profissionais do setor portuário em Portugal e Espanha que responderam aos inquéritos e apoiaram a análise da tese.</w:t>
      </w:r>
    </w:p>
    <w:p w:rsidR="00D1553F" w:rsidRPr="004D55DA" w:rsidRDefault="00D1553F" w:rsidP="007F7964">
      <w:pPr>
        <w:autoSpaceDE w:val="0"/>
        <w:autoSpaceDN w:val="0"/>
        <w:adjustRightInd w:val="0"/>
        <w:spacing w:line="360" w:lineRule="auto"/>
      </w:pPr>
      <w:r w:rsidRPr="004D55DA">
        <w:br w:type="page"/>
      </w:r>
    </w:p>
    <w:p w:rsidR="00D1553F" w:rsidRPr="004D55DA" w:rsidRDefault="00D1553F" w:rsidP="007F7964">
      <w:pPr>
        <w:autoSpaceDE w:val="0"/>
        <w:autoSpaceDN w:val="0"/>
        <w:adjustRightInd w:val="0"/>
        <w:rPr>
          <w:rFonts w:ascii="Arial" w:hAnsi="Arial" w:cs="Arial"/>
          <w:color w:val="000000"/>
          <w:sz w:val="22"/>
          <w:szCs w:val="22"/>
        </w:rPr>
      </w:pPr>
    </w:p>
    <w:p w:rsidR="00D1553F" w:rsidRPr="004D55DA" w:rsidRDefault="00D1553F" w:rsidP="007F7964">
      <w:pPr>
        <w:spacing w:line="360" w:lineRule="auto"/>
        <w:jc w:val="both"/>
      </w:pPr>
    </w:p>
    <w:p w:rsidR="00D1553F" w:rsidRPr="004D55DA" w:rsidRDefault="00D1553F" w:rsidP="007F7964">
      <w:pPr>
        <w:spacing w:line="360" w:lineRule="auto"/>
        <w:jc w:val="both"/>
        <w:rPr>
          <w:b/>
        </w:rPr>
      </w:pPr>
      <w:r w:rsidRPr="004D55DA">
        <w:rPr>
          <w:b/>
        </w:rPr>
        <w:t>Resumo</w:t>
      </w:r>
    </w:p>
    <w:p w:rsidR="00D1553F" w:rsidRPr="004D55DA" w:rsidRDefault="00D1553F" w:rsidP="007F7964">
      <w:pPr>
        <w:spacing w:line="360" w:lineRule="auto"/>
        <w:jc w:val="both"/>
      </w:pPr>
    </w:p>
    <w:p w:rsidR="00EB43AA" w:rsidRPr="004D55DA" w:rsidRDefault="00EB43AA" w:rsidP="007F7964">
      <w:pPr>
        <w:spacing w:line="360" w:lineRule="auto"/>
        <w:jc w:val="both"/>
      </w:pPr>
    </w:p>
    <w:p w:rsidR="00EB43AA" w:rsidRPr="004D55DA" w:rsidRDefault="00EB43AA" w:rsidP="007F7964">
      <w:pPr>
        <w:spacing w:line="360" w:lineRule="auto"/>
        <w:jc w:val="both"/>
      </w:pPr>
    </w:p>
    <w:p w:rsidR="00D1553F" w:rsidRPr="004D55DA" w:rsidRDefault="00D1553F" w:rsidP="007F7964">
      <w:pPr>
        <w:spacing w:line="360" w:lineRule="auto"/>
        <w:jc w:val="both"/>
      </w:pPr>
      <w:r w:rsidRPr="004D55DA">
        <w:t xml:space="preserve">Com o presente trabalho de investigação pretende-se determinar o impacto das características do porto e características do terminal de contentores no desempenho do terminal de contentores. Como aumentar o nível de desempenho de um terminal de contentores e explicar o seu sucesso? Os objetivos são analisar a influência da localização do porto (“position-port”), infraestruturas do porto (“hard-port”) e serviços do porto (“soft-port”) no desempenho do terminal e avaliar o efeito das infraestruturas do terminal (“hard-terminal”) e serviços do terminal (“soft-terminal”) no desempenho do terminal. São utilizadas as metodologias DEA – “data envelopment analysis” -, análise </w:t>
      </w:r>
      <w:r w:rsidR="00D36A58">
        <w:t>de componentes principais</w:t>
      </w:r>
      <w:r w:rsidRPr="004D55DA">
        <w:t xml:space="preserve">, regressão linear e modelo de equações estruturais (SEM). A amostra com 205 observações relativa aos terminais de contentores ibéricos e europeus foi recolhida através de dois inquéritos recorrendo a informação quantitativa e qualitativa de características do porto e terminais. Os resultados verificam a relação entre o desempenho do terminal e diversas variáveis que caracterizam o terminal e o porto e </w:t>
      </w:r>
      <w:r w:rsidR="008C6D33">
        <w:t>não permitem rejeitar</w:t>
      </w:r>
      <w:r w:rsidRPr="004D55DA">
        <w:t xml:space="preserve"> o efeito da localização (“position-port”), infraestruturas do porto (“hard-port”), infraestruturas do terminal (“hard-terminal”), serviços do porto (“soft-port”) e serviços do terminal (“soft-terminal”) no desempenho dos terminais de contentores.</w:t>
      </w:r>
    </w:p>
    <w:p w:rsidR="00D1553F" w:rsidRPr="004D55DA" w:rsidRDefault="00D1553F" w:rsidP="007F7964">
      <w:pPr>
        <w:spacing w:line="360" w:lineRule="auto"/>
        <w:jc w:val="both"/>
        <w:rPr>
          <w:b/>
        </w:rPr>
      </w:pPr>
    </w:p>
    <w:p w:rsidR="00D1553F" w:rsidRPr="004D55DA" w:rsidRDefault="00D1553F" w:rsidP="007F7964">
      <w:pPr>
        <w:spacing w:line="360" w:lineRule="auto"/>
        <w:jc w:val="both"/>
      </w:pPr>
    </w:p>
    <w:p w:rsidR="00D1553F" w:rsidRPr="004D55DA" w:rsidRDefault="00D1553F" w:rsidP="007F7964">
      <w:pPr>
        <w:spacing w:line="360" w:lineRule="auto"/>
        <w:jc w:val="both"/>
      </w:pPr>
      <w:r w:rsidRPr="004D55DA">
        <w:t>Palavras-chave: contentores, terminais, portos, desempenho, factores de caracterização</w:t>
      </w:r>
    </w:p>
    <w:p w:rsidR="00D1553F" w:rsidRPr="004D55DA" w:rsidRDefault="00D1553F" w:rsidP="007F7964">
      <w:pPr>
        <w:autoSpaceDE w:val="0"/>
        <w:autoSpaceDN w:val="0"/>
        <w:adjustRightInd w:val="0"/>
        <w:rPr>
          <w:rFonts w:ascii="Arial" w:hAnsi="Arial" w:cs="Arial"/>
          <w:color w:val="000000"/>
          <w:sz w:val="22"/>
          <w:szCs w:val="22"/>
        </w:rPr>
      </w:pPr>
    </w:p>
    <w:p w:rsidR="00C550CA" w:rsidRPr="004D55DA" w:rsidRDefault="00C550CA">
      <w:pPr>
        <w:rPr>
          <w:rFonts w:ascii="Arial" w:hAnsi="Arial" w:cs="Arial"/>
          <w:color w:val="000000"/>
          <w:sz w:val="22"/>
          <w:szCs w:val="22"/>
        </w:rPr>
      </w:pPr>
      <w:r w:rsidRPr="004D55DA">
        <w:rPr>
          <w:rFonts w:ascii="Arial" w:hAnsi="Arial" w:cs="Arial"/>
          <w:color w:val="000000"/>
          <w:sz w:val="22"/>
          <w:szCs w:val="22"/>
        </w:rPr>
        <w:br w:type="page"/>
      </w:r>
    </w:p>
    <w:p w:rsidR="00C550CA" w:rsidRPr="004D55DA" w:rsidRDefault="00C550CA" w:rsidP="00C550CA">
      <w:pPr>
        <w:spacing w:line="360" w:lineRule="auto"/>
        <w:jc w:val="both"/>
      </w:pPr>
    </w:p>
    <w:p w:rsidR="00537B64" w:rsidRPr="00537B64" w:rsidRDefault="00537B64" w:rsidP="00C550CA">
      <w:pPr>
        <w:spacing w:line="360" w:lineRule="auto"/>
        <w:jc w:val="both"/>
        <w:rPr>
          <w:b/>
          <w:lang w:val="en-US"/>
        </w:rPr>
      </w:pPr>
      <w:r w:rsidRPr="00537B64">
        <w:rPr>
          <w:b/>
          <w:lang w:val="en-US"/>
        </w:rPr>
        <w:t>T</w:t>
      </w:r>
      <w:r w:rsidRPr="00537B64">
        <w:rPr>
          <w:b/>
          <w:lang w:val="en-US"/>
        </w:rPr>
        <w:t>he impact of the char</w:t>
      </w:r>
      <w:r>
        <w:rPr>
          <w:b/>
          <w:lang w:val="en-US"/>
        </w:rPr>
        <w:t>acteristics of the port/</w:t>
      </w:r>
      <w:r w:rsidRPr="00537B64">
        <w:rPr>
          <w:b/>
          <w:lang w:val="en-US"/>
        </w:rPr>
        <w:t>container terminal in the performance</w:t>
      </w:r>
    </w:p>
    <w:p w:rsidR="00537B64" w:rsidRDefault="00537B64" w:rsidP="00C550CA">
      <w:pPr>
        <w:spacing w:line="360" w:lineRule="auto"/>
        <w:jc w:val="both"/>
        <w:rPr>
          <w:b/>
          <w:lang w:val="en-US"/>
        </w:rPr>
      </w:pPr>
    </w:p>
    <w:p w:rsidR="00537B64" w:rsidRDefault="00537B64" w:rsidP="00C550CA">
      <w:pPr>
        <w:spacing w:line="360" w:lineRule="auto"/>
        <w:jc w:val="both"/>
        <w:rPr>
          <w:b/>
          <w:lang w:val="en-US"/>
        </w:rPr>
      </w:pPr>
      <w:bookmarkStart w:id="0" w:name="_GoBack"/>
      <w:bookmarkEnd w:id="0"/>
    </w:p>
    <w:p w:rsidR="00C550CA" w:rsidRPr="004D55DA" w:rsidRDefault="00C550CA" w:rsidP="00C550CA">
      <w:pPr>
        <w:spacing w:line="360" w:lineRule="auto"/>
        <w:jc w:val="both"/>
        <w:rPr>
          <w:b/>
          <w:lang w:val="en-US"/>
        </w:rPr>
      </w:pPr>
      <w:r w:rsidRPr="004D55DA">
        <w:rPr>
          <w:b/>
          <w:lang w:val="en-US"/>
        </w:rPr>
        <w:t>Abstract</w:t>
      </w:r>
    </w:p>
    <w:p w:rsidR="00C550CA" w:rsidRPr="004D55DA" w:rsidRDefault="00C550CA" w:rsidP="00C550CA">
      <w:pPr>
        <w:spacing w:line="360" w:lineRule="auto"/>
        <w:jc w:val="both"/>
        <w:rPr>
          <w:lang w:val="en-US"/>
        </w:rPr>
      </w:pPr>
    </w:p>
    <w:p w:rsidR="00EB43AA" w:rsidRPr="004D55DA" w:rsidRDefault="00EB43AA" w:rsidP="00C550CA">
      <w:pPr>
        <w:spacing w:line="360" w:lineRule="auto"/>
        <w:jc w:val="both"/>
        <w:rPr>
          <w:lang w:val="en-US"/>
        </w:rPr>
      </w:pPr>
    </w:p>
    <w:p w:rsidR="00EB43AA" w:rsidRPr="004D55DA" w:rsidRDefault="00EB43AA" w:rsidP="00C550CA">
      <w:pPr>
        <w:spacing w:line="360" w:lineRule="auto"/>
        <w:jc w:val="both"/>
        <w:rPr>
          <w:lang w:val="en-US"/>
        </w:rPr>
      </w:pPr>
    </w:p>
    <w:p w:rsidR="00C550CA" w:rsidRPr="004D55DA" w:rsidRDefault="00016C48" w:rsidP="00C550CA">
      <w:pPr>
        <w:spacing w:line="360" w:lineRule="auto"/>
        <w:jc w:val="both"/>
        <w:rPr>
          <w:b/>
          <w:lang w:val="en-US"/>
        </w:rPr>
      </w:pPr>
      <w:r w:rsidRPr="004D55DA">
        <w:rPr>
          <w:lang w:val="en-US"/>
        </w:rPr>
        <w:t>The present research work aims to determine the impact of the characteristics of the port and the container terminal in the perfor</w:t>
      </w:r>
      <w:r w:rsidR="00F927CC" w:rsidRPr="004D55DA">
        <w:rPr>
          <w:lang w:val="en-US"/>
        </w:rPr>
        <w:t>mance of the container terminal</w:t>
      </w:r>
      <w:r w:rsidRPr="004D55DA">
        <w:rPr>
          <w:lang w:val="en-US"/>
        </w:rPr>
        <w:t>. How to increase the performance level of a container terminal and explain it</w:t>
      </w:r>
      <w:r w:rsidR="00F927CC" w:rsidRPr="004D55DA">
        <w:rPr>
          <w:lang w:val="en-US"/>
        </w:rPr>
        <w:t xml:space="preserve"> success</w:t>
      </w:r>
      <w:r w:rsidRPr="004D55DA">
        <w:rPr>
          <w:lang w:val="en-US"/>
        </w:rPr>
        <w:t>? The objectives are to analyze the influence</w:t>
      </w:r>
      <w:r w:rsidR="00F927CC" w:rsidRPr="004D55DA">
        <w:rPr>
          <w:lang w:val="en-US"/>
        </w:rPr>
        <w:t xml:space="preserve"> of the location of the port (</w:t>
      </w:r>
      <w:r w:rsidR="00750790" w:rsidRPr="004D55DA">
        <w:rPr>
          <w:lang w:val="en-US"/>
        </w:rPr>
        <w:t>position-port), the port infrastructure (</w:t>
      </w:r>
      <w:r w:rsidRPr="004D55DA">
        <w:rPr>
          <w:lang w:val="en-US"/>
        </w:rPr>
        <w:t>h</w:t>
      </w:r>
      <w:r w:rsidR="00750790" w:rsidRPr="004D55DA">
        <w:rPr>
          <w:lang w:val="en-US"/>
        </w:rPr>
        <w:t>ard-port) and port services (soft-port</w:t>
      </w:r>
      <w:r w:rsidRPr="004D55DA">
        <w:rPr>
          <w:lang w:val="en-US"/>
        </w:rPr>
        <w:t>) in terminal performance and evaluate the effect of</w:t>
      </w:r>
      <w:r w:rsidR="00750790" w:rsidRPr="004D55DA">
        <w:rPr>
          <w:lang w:val="en-US"/>
        </w:rPr>
        <w:t xml:space="preserve"> the terminal infrastructure (hard-terminal) and terminal services (soft-terminal) in terminal performance. Data envelopment analysis (DEA),</w:t>
      </w:r>
      <w:r w:rsidRPr="004D55DA">
        <w:rPr>
          <w:lang w:val="en-US"/>
        </w:rPr>
        <w:t xml:space="preserve"> f</w:t>
      </w:r>
      <w:r w:rsidR="00750790" w:rsidRPr="004D55DA">
        <w:rPr>
          <w:lang w:val="en-US"/>
        </w:rPr>
        <w:t>actor analysis</w:t>
      </w:r>
      <w:r w:rsidRPr="004D55DA">
        <w:rPr>
          <w:lang w:val="en-US"/>
        </w:rPr>
        <w:t>, linear regression and</w:t>
      </w:r>
      <w:r w:rsidR="00750790" w:rsidRPr="004D55DA">
        <w:rPr>
          <w:lang w:val="en-US"/>
        </w:rPr>
        <w:t xml:space="preserve"> structural equation modeling (SEM</w:t>
      </w:r>
      <w:r w:rsidRPr="004D55DA">
        <w:rPr>
          <w:lang w:val="en-US"/>
        </w:rPr>
        <w:t xml:space="preserve">) </w:t>
      </w:r>
      <w:r w:rsidR="00750790" w:rsidRPr="004D55DA">
        <w:rPr>
          <w:lang w:val="en-US"/>
        </w:rPr>
        <w:t>methodologies are used</w:t>
      </w:r>
      <w:r w:rsidRPr="004D55DA">
        <w:rPr>
          <w:lang w:val="en-US"/>
        </w:rPr>
        <w:t>. The sample with 205 observations on the Iberian and European container terminals was collected through two surveys using quantitative and qualitative information on characteri</w:t>
      </w:r>
      <w:r w:rsidR="00750790" w:rsidRPr="004D55DA">
        <w:rPr>
          <w:lang w:val="en-US"/>
        </w:rPr>
        <w:t>stics of the port and terminals</w:t>
      </w:r>
      <w:r w:rsidRPr="004D55DA">
        <w:rPr>
          <w:lang w:val="en-US"/>
        </w:rPr>
        <w:t>. The results verify the relationship between the performance of the terminal and various variables characterizing the terminal and the port and confir</w:t>
      </w:r>
      <w:r w:rsidR="00750790" w:rsidRPr="004D55DA">
        <w:rPr>
          <w:lang w:val="en-US"/>
        </w:rPr>
        <w:t>m the effect of the location (position-port</w:t>
      </w:r>
      <w:r w:rsidRPr="004D55DA">
        <w:rPr>
          <w:lang w:val="en-US"/>
        </w:rPr>
        <w:t>)</w:t>
      </w:r>
      <w:r w:rsidR="00750790" w:rsidRPr="004D55DA">
        <w:rPr>
          <w:lang w:val="en-US"/>
        </w:rPr>
        <w:t>, port infrastructure (hard-port), terminal infrastructure (hard-terminal), port services (soft-port) and terminal services (soft -terminal</w:t>
      </w:r>
      <w:r w:rsidRPr="004D55DA">
        <w:rPr>
          <w:lang w:val="en-US"/>
        </w:rPr>
        <w:t>) in the per</w:t>
      </w:r>
      <w:r w:rsidR="00750790" w:rsidRPr="004D55DA">
        <w:rPr>
          <w:lang w:val="en-US"/>
        </w:rPr>
        <w:t>formance of container terminals</w:t>
      </w:r>
      <w:r w:rsidRPr="004D55DA">
        <w:rPr>
          <w:lang w:val="en-US"/>
        </w:rPr>
        <w:t>.</w:t>
      </w:r>
    </w:p>
    <w:p w:rsidR="00C550CA" w:rsidRPr="004D55DA" w:rsidRDefault="00C550CA" w:rsidP="00C550CA">
      <w:pPr>
        <w:spacing w:line="360" w:lineRule="auto"/>
        <w:jc w:val="both"/>
        <w:rPr>
          <w:lang w:val="en-US"/>
        </w:rPr>
      </w:pPr>
    </w:p>
    <w:p w:rsidR="00C550CA" w:rsidRPr="004D55DA" w:rsidRDefault="00750790" w:rsidP="007F7964">
      <w:pPr>
        <w:autoSpaceDE w:val="0"/>
        <w:autoSpaceDN w:val="0"/>
        <w:adjustRightInd w:val="0"/>
        <w:rPr>
          <w:lang w:val="en-US"/>
        </w:rPr>
      </w:pPr>
      <w:r w:rsidRPr="004D55DA">
        <w:rPr>
          <w:lang w:val="en-US"/>
        </w:rPr>
        <w:t>Keywords: container terminals, ports, performance, characterization factors</w:t>
      </w:r>
    </w:p>
    <w:p w:rsidR="00D55761" w:rsidRPr="004D55DA" w:rsidRDefault="00D55761" w:rsidP="007F7964">
      <w:pPr>
        <w:autoSpaceDE w:val="0"/>
        <w:autoSpaceDN w:val="0"/>
        <w:adjustRightInd w:val="0"/>
        <w:rPr>
          <w:lang w:val="en-US"/>
        </w:rPr>
      </w:pPr>
    </w:p>
    <w:p w:rsidR="00D55761" w:rsidRPr="004D55DA" w:rsidRDefault="00D55761">
      <w:pPr>
        <w:rPr>
          <w:lang w:val="en-US"/>
        </w:rPr>
      </w:pPr>
      <w:r w:rsidRPr="004D55DA">
        <w:rPr>
          <w:lang w:val="en-US"/>
        </w:rPr>
        <w:br w:type="page"/>
      </w:r>
    </w:p>
    <w:p w:rsidR="00D55761" w:rsidRPr="004D55DA" w:rsidRDefault="00D55761" w:rsidP="007F7964">
      <w:pPr>
        <w:autoSpaceDE w:val="0"/>
        <w:autoSpaceDN w:val="0"/>
        <w:adjustRightInd w:val="0"/>
        <w:rPr>
          <w:rFonts w:ascii="Arial" w:hAnsi="Arial" w:cs="Arial"/>
          <w:color w:val="000000"/>
          <w:sz w:val="22"/>
          <w:szCs w:val="22"/>
          <w:lang w:val="en-US"/>
        </w:rPr>
      </w:pPr>
    </w:p>
    <w:p w:rsidR="00D55761" w:rsidRPr="004D55DA" w:rsidRDefault="00D55761" w:rsidP="00D55761">
      <w:pPr>
        <w:spacing w:line="360" w:lineRule="auto"/>
        <w:jc w:val="both"/>
        <w:rPr>
          <w:b/>
        </w:rPr>
      </w:pPr>
      <w:r w:rsidRPr="004D55DA">
        <w:rPr>
          <w:b/>
        </w:rPr>
        <w:t>Abreviaturas e glossário</w:t>
      </w:r>
    </w:p>
    <w:p w:rsidR="00D55761" w:rsidRPr="004D55DA" w:rsidRDefault="00D55761" w:rsidP="00D55761">
      <w:pPr>
        <w:spacing w:line="360" w:lineRule="auto"/>
        <w:ind w:left="2977" w:hanging="2977"/>
        <w:jc w:val="both"/>
      </w:pPr>
    </w:p>
    <w:p w:rsidR="00EB43AA" w:rsidRPr="004D55DA" w:rsidRDefault="00EB43AA" w:rsidP="00D55761">
      <w:pPr>
        <w:spacing w:line="360" w:lineRule="auto"/>
        <w:ind w:left="2977" w:hanging="2977"/>
        <w:jc w:val="both"/>
      </w:pPr>
    </w:p>
    <w:p w:rsidR="00EB43AA" w:rsidRPr="004D55DA" w:rsidRDefault="00EB43AA" w:rsidP="00D55761">
      <w:pPr>
        <w:spacing w:line="360" w:lineRule="auto"/>
        <w:ind w:left="2977" w:hanging="2977"/>
        <w:jc w:val="both"/>
      </w:pPr>
    </w:p>
    <w:p w:rsidR="00D55761" w:rsidRPr="004D55DA" w:rsidRDefault="00D55761" w:rsidP="00D55761">
      <w:pPr>
        <w:spacing w:line="360" w:lineRule="auto"/>
        <w:ind w:left="2977" w:hanging="2977"/>
        <w:jc w:val="both"/>
      </w:pPr>
      <w:r w:rsidRPr="004D55DA">
        <w:t xml:space="preserve">AB ou “gross tonnage” </w:t>
      </w:r>
      <w:r w:rsidRPr="004D55DA">
        <w:tab/>
        <w:t>Arqueação Bruta ou capacidade de transporte bruta do navio em toneladas;</w:t>
      </w:r>
    </w:p>
    <w:p w:rsidR="00D55761" w:rsidRPr="004D55DA" w:rsidRDefault="00D55761" w:rsidP="00D55761">
      <w:pPr>
        <w:spacing w:line="360" w:lineRule="auto"/>
        <w:ind w:left="2977" w:hanging="2977"/>
        <w:jc w:val="both"/>
      </w:pPr>
      <w:r w:rsidRPr="004D55DA">
        <w:t xml:space="preserve">AMOS </w:t>
      </w:r>
      <w:r w:rsidRPr="004D55DA">
        <w:tab/>
        <w:t>Software do SPSS, “Analysis of Moment Structures” de aplicação do SEM</w:t>
      </w:r>
      <w:r w:rsidR="00F927CC" w:rsidRPr="004D55DA">
        <w:t>;</w:t>
      </w:r>
    </w:p>
    <w:p w:rsidR="00D55761" w:rsidRPr="004D55DA" w:rsidRDefault="00D55761" w:rsidP="00D55761">
      <w:pPr>
        <w:spacing w:line="360" w:lineRule="auto"/>
        <w:ind w:left="2977" w:hanging="2977"/>
        <w:jc w:val="both"/>
      </w:pPr>
      <w:r w:rsidRPr="004D55DA">
        <w:t xml:space="preserve">AP </w:t>
      </w:r>
      <w:r w:rsidRPr="004D55DA">
        <w:tab/>
        <w:t>Autoridade Portuária;</w:t>
      </w:r>
    </w:p>
    <w:p w:rsidR="00D55761" w:rsidRPr="004D55DA" w:rsidRDefault="00D55761" w:rsidP="00D55761">
      <w:pPr>
        <w:spacing w:line="360" w:lineRule="auto"/>
        <w:ind w:left="2977" w:hanging="2977"/>
        <w:jc w:val="both"/>
      </w:pPr>
      <w:r w:rsidRPr="004D55DA">
        <w:t xml:space="preserve">BCC </w:t>
      </w:r>
      <w:r w:rsidRPr="004D55DA">
        <w:tab/>
        <w:t>Aplicação DEA com “variable returns to scale”</w:t>
      </w:r>
      <w:r w:rsidR="00F927CC" w:rsidRPr="004D55DA">
        <w:t>;</w:t>
      </w:r>
    </w:p>
    <w:p w:rsidR="00D55761" w:rsidRPr="004D55DA" w:rsidRDefault="00D55761" w:rsidP="00D55761">
      <w:pPr>
        <w:spacing w:line="360" w:lineRule="auto"/>
        <w:ind w:left="2977" w:hanging="2977"/>
        <w:jc w:val="both"/>
      </w:pPr>
      <w:r w:rsidRPr="004D55DA">
        <w:t xml:space="preserve">BOT </w:t>
      </w:r>
      <w:r w:rsidRPr="004D55DA">
        <w:tab/>
      </w:r>
      <w:r w:rsidR="001A3408">
        <w:t>Modelo</w:t>
      </w:r>
      <w:r w:rsidRPr="004D55DA">
        <w:t xml:space="preserve"> de concessão “build operate and transfer”</w:t>
      </w:r>
      <w:r w:rsidR="00F927CC" w:rsidRPr="004D55DA">
        <w:t>;</w:t>
      </w:r>
    </w:p>
    <w:p w:rsidR="00D55761" w:rsidRPr="004D55DA" w:rsidRDefault="00D55761" w:rsidP="00D55761">
      <w:pPr>
        <w:spacing w:line="360" w:lineRule="auto"/>
        <w:ind w:left="2977" w:hanging="2977"/>
        <w:jc w:val="both"/>
      </w:pPr>
      <w:r w:rsidRPr="004D55DA">
        <w:t xml:space="preserve">Calado </w:t>
      </w:r>
      <w:r w:rsidRPr="004D55DA">
        <w:tab/>
        <w:t>Profundidade máxima atingida pelo navio com carga completa;</w:t>
      </w:r>
    </w:p>
    <w:p w:rsidR="00D55761" w:rsidRPr="004D55DA" w:rsidRDefault="00D55761" w:rsidP="00D55761">
      <w:pPr>
        <w:spacing w:line="360" w:lineRule="auto"/>
        <w:ind w:left="2977" w:hanging="2977"/>
        <w:jc w:val="both"/>
      </w:pPr>
      <w:r w:rsidRPr="004D55DA">
        <w:t xml:space="preserve">Canal de acesso </w:t>
      </w:r>
      <w:r w:rsidRPr="004D55DA">
        <w:tab/>
        <w:t>Zona portuária subaquática escavada pelo homem para permitir a passagem de navios;</w:t>
      </w:r>
    </w:p>
    <w:p w:rsidR="00D55761" w:rsidRPr="004D55DA" w:rsidRDefault="00D55761" w:rsidP="00D55761">
      <w:pPr>
        <w:spacing w:line="360" w:lineRule="auto"/>
        <w:ind w:left="2977" w:hanging="2977"/>
        <w:jc w:val="both"/>
      </w:pPr>
      <w:r w:rsidRPr="004D55DA">
        <w:t xml:space="preserve">Carga a granel </w:t>
      </w:r>
      <w:r w:rsidRPr="004D55DA">
        <w:tab/>
        <w:t>Carga aco</w:t>
      </w:r>
      <w:r w:rsidR="001A3408">
        <w:t>ndicionada em grande quantidade</w:t>
      </w:r>
      <w:r w:rsidRPr="004D55DA">
        <w:t xml:space="preserve"> não unitizada, líquida ou sólida, transportada em navios tanque ou graneleiros;</w:t>
      </w:r>
    </w:p>
    <w:p w:rsidR="00D55761" w:rsidRPr="004D55DA" w:rsidRDefault="00D55761" w:rsidP="00D55761">
      <w:pPr>
        <w:spacing w:line="360" w:lineRule="auto"/>
        <w:ind w:left="2977" w:hanging="2977"/>
        <w:jc w:val="both"/>
      </w:pPr>
      <w:r w:rsidRPr="004D55DA">
        <w:t xml:space="preserve">Carga geral </w:t>
      </w:r>
      <w:r w:rsidRPr="004D55DA">
        <w:tab/>
        <w:t xml:space="preserve">Carga </w:t>
      </w:r>
      <w:r w:rsidR="001A3408">
        <w:t>acondicionada sob a</w:t>
      </w:r>
      <w:r w:rsidRPr="004D55DA">
        <w:t xml:space="preserve"> forma unitizada, incluindo contentores, veículos, paletes, big bags e outra carga lingada em unidades (</w:t>
      </w:r>
      <w:r w:rsidR="001A3408">
        <w:t>diferente</w:t>
      </w:r>
      <w:r w:rsidRPr="004D55DA">
        <w:t xml:space="preserve"> de granel);</w:t>
      </w:r>
    </w:p>
    <w:p w:rsidR="00D55761" w:rsidRPr="004D55DA" w:rsidRDefault="00D55761" w:rsidP="00D55761">
      <w:pPr>
        <w:spacing w:line="360" w:lineRule="auto"/>
        <w:ind w:left="2977" w:hanging="2977"/>
        <w:jc w:val="both"/>
      </w:pPr>
      <w:r w:rsidRPr="004D55DA">
        <w:t xml:space="preserve">Carga lolo </w:t>
      </w:r>
      <w:r w:rsidRPr="004D55DA">
        <w:tab/>
        <w:t>Carga movimentada no porto de forma vertical, com utilização de gruas de cais de elevação da carga;</w:t>
      </w:r>
    </w:p>
    <w:p w:rsidR="00D55761" w:rsidRPr="004D55DA" w:rsidRDefault="00D55761" w:rsidP="00D55761">
      <w:pPr>
        <w:spacing w:line="360" w:lineRule="auto"/>
        <w:ind w:left="2977" w:hanging="2977"/>
        <w:jc w:val="both"/>
      </w:pPr>
      <w:r w:rsidRPr="004D55DA">
        <w:t xml:space="preserve">Carga roro </w:t>
      </w:r>
      <w:r w:rsidRPr="004D55DA">
        <w:tab/>
        <w:t>Carga movimentada no porto de forma horizontal através de rod</w:t>
      </w:r>
      <w:r w:rsidR="001A3408">
        <w:t>ado</w:t>
      </w:r>
      <w:r w:rsidRPr="004D55DA">
        <w:t>, sem utilização de gruas de cais de elevação</w:t>
      </w:r>
      <w:r w:rsidR="001A3408">
        <w:t xml:space="preserve"> vertical</w:t>
      </w:r>
      <w:r w:rsidRPr="004D55DA">
        <w:t xml:space="preserve"> da carga;</w:t>
      </w:r>
    </w:p>
    <w:p w:rsidR="00D55761" w:rsidRPr="004D55DA" w:rsidRDefault="00D55761" w:rsidP="00D55761">
      <w:pPr>
        <w:spacing w:line="360" w:lineRule="auto"/>
        <w:ind w:left="2977" w:hanging="2977"/>
        <w:jc w:val="both"/>
        <w:rPr>
          <w:lang w:val="fr-FR"/>
        </w:rPr>
      </w:pPr>
      <w:r w:rsidRPr="004D55DA">
        <w:rPr>
          <w:lang w:val="fr-FR"/>
        </w:rPr>
        <w:t xml:space="preserve">CCR </w:t>
      </w:r>
      <w:r w:rsidRPr="004D55DA">
        <w:rPr>
          <w:lang w:val="fr-FR"/>
        </w:rPr>
        <w:tab/>
        <w:t>Aplicação DEA com “constant returns to scale”</w:t>
      </w:r>
      <w:r w:rsidR="00F927CC" w:rsidRPr="004D55DA">
        <w:rPr>
          <w:lang w:val="fr-FR"/>
        </w:rPr>
        <w:t> ;</w:t>
      </w:r>
    </w:p>
    <w:p w:rsidR="00D55761" w:rsidRPr="004D55DA" w:rsidRDefault="00D55761" w:rsidP="00D55761">
      <w:pPr>
        <w:spacing w:line="360" w:lineRule="auto"/>
        <w:ind w:left="2977" w:hanging="2977"/>
        <w:jc w:val="both"/>
        <w:rPr>
          <w:lang w:val="fr-FR"/>
        </w:rPr>
      </w:pPr>
      <w:r w:rsidRPr="004D55DA">
        <w:rPr>
          <w:lang w:val="fr-FR"/>
        </w:rPr>
        <w:t xml:space="preserve">CEU </w:t>
      </w:r>
      <w:r w:rsidRPr="004D55DA">
        <w:rPr>
          <w:lang w:val="fr-FR"/>
        </w:rPr>
        <w:tab/>
        <w:t>“Car equivalent unit“;</w:t>
      </w:r>
    </w:p>
    <w:p w:rsidR="00D55761" w:rsidRPr="004D55DA" w:rsidRDefault="00D55761" w:rsidP="00D55761">
      <w:pPr>
        <w:spacing w:line="360" w:lineRule="auto"/>
        <w:ind w:left="2977" w:hanging="2977"/>
        <w:jc w:val="both"/>
        <w:rPr>
          <w:lang w:val="en-GB"/>
        </w:rPr>
      </w:pPr>
      <w:r w:rsidRPr="004D55DA">
        <w:rPr>
          <w:lang w:val="en-GB"/>
        </w:rPr>
        <w:t xml:space="preserve">DEA </w:t>
      </w:r>
      <w:r w:rsidRPr="004D55DA">
        <w:rPr>
          <w:lang w:val="en-GB"/>
        </w:rPr>
        <w:tab/>
      </w:r>
      <w:r w:rsidRPr="004D55DA">
        <w:rPr>
          <w:lang w:val="fr-FR"/>
        </w:rPr>
        <w:t>“</w:t>
      </w:r>
      <w:r w:rsidRPr="004D55DA">
        <w:rPr>
          <w:lang w:val="en-GB"/>
        </w:rPr>
        <w:t>Data envelopment analysis</w:t>
      </w:r>
      <w:r w:rsidRPr="004D55DA">
        <w:rPr>
          <w:lang w:val="fr-FR"/>
        </w:rPr>
        <w:t>“</w:t>
      </w:r>
      <w:r w:rsidRPr="004D55DA">
        <w:rPr>
          <w:lang w:val="en-GB"/>
        </w:rPr>
        <w:t>;</w:t>
      </w:r>
    </w:p>
    <w:p w:rsidR="00D55761" w:rsidRDefault="00F927CC" w:rsidP="00D55761">
      <w:pPr>
        <w:spacing w:line="360" w:lineRule="auto"/>
        <w:ind w:left="2977" w:hanging="2977"/>
        <w:jc w:val="both"/>
        <w:rPr>
          <w:lang w:val="en-GB"/>
        </w:rPr>
      </w:pPr>
      <w:r w:rsidRPr="004D55DA">
        <w:rPr>
          <w:lang w:val="en-GB"/>
        </w:rPr>
        <w:t xml:space="preserve">DMU </w:t>
      </w:r>
      <w:r w:rsidRPr="004D55DA">
        <w:rPr>
          <w:lang w:val="en-GB"/>
        </w:rPr>
        <w:tab/>
      </w:r>
      <w:r w:rsidR="00D55761" w:rsidRPr="004D55DA">
        <w:rPr>
          <w:lang w:val="fr-FR"/>
        </w:rPr>
        <w:t>“</w:t>
      </w:r>
      <w:r w:rsidR="00D55761" w:rsidRPr="004D55DA">
        <w:rPr>
          <w:lang w:val="en-GB"/>
        </w:rPr>
        <w:t>Decision making unit</w:t>
      </w:r>
      <w:r w:rsidR="00D55761" w:rsidRPr="004D55DA">
        <w:rPr>
          <w:lang w:val="fr-FR"/>
        </w:rPr>
        <w:t>“</w:t>
      </w:r>
      <w:r w:rsidR="00D55761" w:rsidRPr="004D55DA">
        <w:rPr>
          <w:lang w:val="en-GB"/>
        </w:rPr>
        <w:t xml:space="preserve"> no modelo DEA</w:t>
      </w:r>
      <w:r w:rsidRPr="004D55DA">
        <w:rPr>
          <w:lang w:val="en-GB"/>
        </w:rPr>
        <w:t>;</w:t>
      </w:r>
    </w:p>
    <w:p w:rsidR="008B7D52" w:rsidRPr="004D55DA" w:rsidRDefault="008B7D52" w:rsidP="00D55761">
      <w:pPr>
        <w:spacing w:line="360" w:lineRule="auto"/>
        <w:ind w:left="2977" w:hanging="2977"/>
        <w:jc w:val="both"/>
        <w:rPr>
          <w:lang w:val="en-GB"/>
        </w:rPr>
      </w:pPr>
      <w:r>
        <w:rPr>
          <w:lang w:val="en-GB"/>
        </w:rPr>
        <w:t>ERP</w:t>
      </w:r>
      <w:r>
        <w:rPr>
          <w:lang w:val="en-GB"/>
        </w:rPr>
        <w:tab/>
        <w:t>“Enterprise resource planning”;</w:t>
      </w:r>
    </w:p>
    <w:p w:rsidR="00D55761" w:rsidRDefault="00F927CC" w:rsidP="00D55761">
      <w:pPr>
        <w:spacing w:line="360" w:lineRule="auto"/>
        <w:ind w:left="2977" w:hanging="2977"/>
        <w:jc w:val="both"/>
        <w:rPr>
          <w:lang w:val="es-ES_tradnl"/>
        </w:rPr>
      </w:pPr>
      <w:r w:rsidRPr="004D55DA">
        <w:rPr>
          <w:lang w:val="es-ES_tradnl"/>
        </w:rPr>
        <w:t xml:space="preserve">ESPO </w:t>
      </w:r>
      <w:r w:rsidRPr="004D55DA">
        <w:rPr>
          <w:lang w:val="es-ES_tradnl"/>
        </w:rPr>
        <w:tab/>
      </w:r>
      <w:r w:rsidR="00D55761" w:rsidRPr="004D55DA">
        <w:rPr>
          <w:lang w:val="fr-FR"/>
        </w:rPr>
        <w:t>“</w:t>
      </w:r>
      <w:r w:rsidR="00D55761" w:rsidRPr="004D55DA">
        <w:rPr>
          <w:lang w:val="es-ES_tradnl"/>
        </w:rPr>
        <w:t>European sea ports organisation</w:t>
      </w:r>
      <w:r w:rsidR="00D55761" w:rsidRPr="004D55DA">
        <w:rPr>
          <w:lang w:val="fr-FR"/>
        </w:rPr>
        <w:t>“</w:t>
      </w:r>
      <w:r w:rsidR="00D55761" w:rsidRPr="004D55DA">
        <w:rPr>
          <w:lang w:val="es-ES_tradnl"/>
        </w:rPr>
        <w:t>;</w:t>
      </w:r>
    </w:p>
    <w:p w:rsidR="00A62F51" w:rsidRPr="004D55DA" w:rsidRDefault="00A62F51" w:rsidP="00D55761">
      <w:pPr>
        <w:spacing w:line="360" w:lineRule="auto"/>
        <w:ind w:left="2977" w:hanging="2977"/>
        <w:jc w:val="both"/>
        <w:rPr>
          <w:lang w:val="es-ES_tradnl"/>
        </w:rPr>
      </w:pPr>
      <w:r>
        <w:rPr>
          <w:lang w:val="es-ES_tradnl"/>
        </w:rPr>
        <w:t>Feeder</w:t>
      </w:r>
      <w:r>
        <w:rPr>
          <w:lang w:val="es-ES_tradnl"/>
        </w:rPr>
        <w:tab/>
        <w:t>Navio pequeno de distribuição regional a partir de motherships;</w:t>
      </w:r>
    </w:p>
    <w:p w:rsidR="00D55761" w:rsidRDefault="00F927CC" w:rsidP="00D55761">
      <w:pPr>
        <w:spacing w:line="360" w:lineRule="auto"/>
        <w:ind w:left="2977" w:hanging="2977"/>
        <w:jc w:val="both"/>
      </w:pPr>
      <w:r w:rsidRPr="001A3408">
        <w:lastRenderedPageBreak/>
        <w:t xml:space="preserve">FEU </w:t>
      </w:r>
      <w:r w:rsidRPr="001A3408">
        <w:tab/>
      </w:r>
      <w:r w:rsidR="00D55761" w:rsidRPr="004D55DA">
        <w:rPr>
          <w:lang w:val="fr-FR"/>
        </w:rPr>
        <w:t>“</w:t>
      </w:r>
      <w:hyperlink r:id="rId14" w:tooltip="Twenty-foot equivalent unit" w:history="1">
        <w:r w:rsidR="00D55761" w:rsidRPr="001A3408">
          <w:t>Forty-foot equivalent unit</w:t>
        </w:r>
      </w:hyperlink>
      <w:r w:rsidR="00D55761" w:rsidRPr="004D55DA">
        <w:rPr>
          <w:lang w:val="fr-FR"/>
        </w:rPr>
        <w:t>“</w:t>
      </w:r>
      <w:r w:rsidR="001A3408">
        <w:rPr>
          <w:lang w:val="fr-FR"/>
        </w:rPr>
        <w:t xml:space="preserve"> ou contentor com quarenta pés</w:t>
      </w:r>
      <w:r w:rsidR="00D55761" w:rsidRPr="001A3408">
        <w:t>;</w:t>
      </w:r>
    </w:p>
    <w:p w:rsidR="001A3408" w:rsidRPr="001A3408" w:rsidRDefault="001A3408" w:rsidP="00D55761">
      <w:pPr>
        <w:spacing w:line="360" w:lineRule="auto"/>
        <w:ind w:left="2977" w:hanging="2977"/>
        <w:jc w:val="both"/>
      </w:pPr>
      <w:r>
        <w:t>Foreland</w:t>
      </w:r>
      <w:r>
        <w:tab/>
      </w:r>
      <w:r w:rsidRPr="004D55DA">
        <w:t xml:space="preserve">Área </w:t>
      </w:r>
      <w:r>
        <w:t xml:space="preserve">marítima </w:t>
      </w:r>
      <w:r w:rsidRPr="004D55DA">
        <w:t xml:space="preserve">de influência do porto, </w:t>
      </w:r>
      <w:r w:rsidR="00F61E13">
        <w:t>incluindo</w:t>
      </w:r>
      <w:r>
        <w:t xml:space="preserve"> os hinterlands terrestres dos portos de </w:t>
      </w:r>
      <w:r w:rsidRPr="004D55DA">
        <w:t>origem e destino das cargas que movimenta;</w:t>
      </w:r>
    </w:p>
    <w:p w:rsidR="00D55761" w:rsidRPr="004D55DA" w:rsidRDefault="00F927CC" w:rsidP="00D55761">
      <w:pPr>
        <w:spacing w:line="360" w:lineRule="auto"/>
        <w:ind w:left="2977" w:hanging="2977"/>
        <w:jc w:val="both"/>
      </w:pPr>
      <w:r w:rsidRPr="004D55DA">
        <w:t xml:space="preserve">Frete </w:t>
      </w:r>
      <w:r w:rsidRPr="004D55DA">
        <w:tab/>
      </w:r>
      <w:r w:rsidR="00D55761" w:rsidRPr="004D55DA">
        <w:t>Preço do serviço de transporte da carga;</w:t>
      </w:r>
    </w:p>
    <w:p w:rsidR="00D55761" w:rsidRPr="004D55DA" w:rsidRDefault="00D55761" w:rsidP="00D55761">
      <w:pPr>
        <w:spacing w:line="360" w:lineRule="auto"/>
        <w:ind w:left="2977" w:hanging="2977"/>
        <w:jc w:val="both"/>
      </w:pPr>
      <w:r w:rsidRPr="004D55DA">
        <w:t>Fundos do porto</w:t>
      </w:r>
      <w:r w:rsidR="00F927CC" w:rsidRPr="004D55DA">
        <w:tab/>
      </w:r>
      <w:r w:rsidR="008B7D52">
        <w:t>Profundidade máxima</w:t>
      </w:r>
      <w:r w:rsidR="00F61E13">
        <w:t xml:space="preserve"> dos canais de acesso</w:t>
      </w:r>
      <w:r w:rsidR="008B7D52">
        <w:t xml:space="preserve"> ao </w:t>
      </w:r>
      <w:r w:rsidRPr="004D55DA">
        <w:t>zero hidrográfico</w:t>
      </w:r>
      <w:r w:rsidR="00F61E13">
        <w:t>,</w:t>
      </w:r>
      <w:r w:rsidRPr="004D55DA">
        <w:t xml:space="preserve"> que permite a entrada de navios;</w:t>
      </w:r>
    </w:p>
    <w:p w:rsidR="00D55761" w:rsidRPr="004D55DA" w:rsidRDefault="00F927CC" w:rsidP="00D55761">
      <w:pPr>
        <w:spacing w:line="360" w:lineRule="auto"/>
        <w:ind w:left="2977" w:hanging="2977"/>
        <w:jc w:val="both"/>
      </w:pPr>
      <w:r w:rsidRPr="004D55DA">
        <w:t xml:space="preserve">Grua de cais </w:t>
      </w:r>
      <w:r w:rsidRPr="004D55DA">
        <w:tab/>
      </w:r>
      <w:r w:rsidR="00D55761" w:rsidRPr="004D55DA">
        <w:t>Grua de movimentação da carga entre o navio e o terminal;</w:t>
      </w:r>
    </w:p>
    <w:p w:rsidR="00D55761" w:rsidRPr="004D55DA" w:rsidRDefault="00F927CC" w:rsidP="00D55761">
      <w:pPr>
        <w:spacing w:line="360" w:lineRule="auto"/>
        <w:ind w:left="2977" w:hanging="2977"/>
        <w:jc w:val="both"/>
      </w:pPr>
      <w:r w:rsidRPr="004D55DA">
        <w:t xml:space="preserve">Grua de parque </w:t>
      </w:r>
      <w:r w:rsidRPr="004D55DA">
        <w:tab/>
      </w:r>
      <w:r w:rsidR="00D55761" w:rsidRPr="004D55DA">
        <w:t>Grua de movimentação da carga no parque e deste para o camião, comboio ou para o cais;</w:t>
      </w:r>
    </w:p>
    <w:p w:rsidR="00D55761" w:rsidRDefault="00F927CC" w:rsidP="00D55761">
      <w:pPr>
        <w:spacing w:line="360" w:lineRule="auto"/>
        <w:ind w:left="2977" w:hanging="2977"/>
        <w:jc w:val="both"/>
      </w:pPr>
      <w:r w:rsidRPr="004D55DA">
        <w:t xml:space="preserve">Hinterland do porto </w:t>
      </w:r>
      <w:r w:rsidRPr="004D55DA">
        <w:tab/>
      </w:r>
      <w:r w:rsidR="00D55761" w:rsidRPr="004D55DA">
        <w:t xml:space="preserve">Área </w:t>
      </w:r>
      <w:r w:rsidR="001A3408">
        <w:t xml:space="preserve">terrestre </w:t>
      </w:r>
      <w:r w:rsidR="00D55761" w:rsidRPr="004D55DA">
        <w:t xml:space="preserve">de influência do porto, </w:t>
      </w:r>
      <w:r w:rsidR="008B7D52">
        <w:t>incluindo</w:t>
      </w:r>
      <w:r w:rsidR="001A3408">
        <w:t xml:space="preserve"> as zonas de </w:t>
      </w:r>
      <w:r w:rsidR="00D55761" w:rsidRPr="004D55DA">
        <w:t>origem e destino das cargas que movimenta;</w:t>
      </w:r>
    </w:p>
    <w:p w:rsidR="00A62F51" w:rsidRDefault="00A62F51" w:rsidP="00D55761">
      <w:pPr>
        <w:spacing w:line="360" w:lineRule="auto"/>
        <w:ind w:left="2977" w:hanging="2977"/>
        <w:jc w:val="both"/>
      </w:pPr>
      <w:r>
        <w:t>Hub</w:t>
      </w:r>
      <w:r>
        <w:tab/>
        <w:t>Porto principal escalado por</w:t>
      </w:r>
      <w:r w:rsidR="00F61E13">
        <w:t xml:space="preserve"> navios</w:t>
      </w:r>
      <w:r>
        <w:t xml:space="preserve"> motherships;</w:t>
      </w:r>
    </w:p>
    <w:p w:rsidR="00A62F51" w:rsidRPr="008B7D52" w:rsidRDefault="00A62F51" w:rsidP="00D55761">
      <w:pPr>
        <w:spacing w:line="360" w:lineRule="auto"/>
        <w:ind w:left="2977" w:hanging="2977"/>
        <w:jc w:val="both"/>
        <w:rPr>
          <w:lang w:val="en-US"/>
        </w:rPr>
      </w:pPr>
      <w:r w:rsidRPr="008B7D52">
        <w:rPr>
          <w:lang w:val="en-US"/>
        </w:rPr>
        <w:t>JIT</w:t>
      </w:r>
      <w:r w:rsidRPr="008B7D52">
        <w:rPr>
          <w:lang w:val="en-US"/>
        </w:rPr>
        <w:tab/>
      </w:r>
      <w:r w:rsidR="008B7D52" w:rsidRPr="008B7D52">
        <w:rPr>
          <w:lang w:val="en-US"/>
        </w:rPr>
        <w:t>“</w:t>
      </w:r>
      <w:r w:rsidRPr="008B7D52">
        <w:rPr>
          <w:lang w:val="en-US"/>
        </w:rPr>
        <w:t>Just-in-time</w:t>
      </w:r>
      <w:r w:rsidR="008B7D52" w:rsidRPr="008B7D52">
        <w:rPr>
          <w:lang w:val="en-US"/>
        </w:rPr>
        <w:t>”</w:t>
      </w:r>
      <w:r w:rsidRPr="008B7D52">
        <w:rPr>
          <w:lang w:val="en-US"/>
        </w:rPr>
        <w:t>;</w:t>
      </w:r>
    </w:p>
    <w:p w:rsidR="00D55761" w:rsidRPr="008B7D52" w:rsidRDefault="00F927CC" w:rsidP="00D55761">
      <w:pPr>
        <w:spacing w:line="360" w:lineRule="auto"/>
        <w:ind w:left="2977" w:hanging="2977"/>
        <w:jc w:val="both"/>
        <w:rPr>
          <w:lang w:val="en-US"/>
        </w:rPr>
      </w:pPr>
      <w:r w:rsidRPr="008B7D52">
        <w:rPr>
          <w:lang w:val="en-US"/>
        </w:rPr>
        <w:t xml:space="preserve">KMO </w:t>
      </w:r>
      <w:r w:rsidRPr="008B7D52">
        <w:rPr>
          <w:lang w:val="en-US"/>
        </w:rPr>
        <w:tab/>
      </w:r>
      <w:r w:rsidR="00D55761" w:rsidRPr="008B7D52">
        <w:rPr>
          <w:lang w:val="en-US"/>
        </w:rPr>
        <w:t>“Kaiser-Meyer-Olkin”</w:t>
      </w:r>
      <w:r w:rsidRPr="008B7D52">
        <w:rPr>
          <w:lang w:val="en-US"/>
        </w:rPr>
        <w:t>;</w:t>
      </w:r>
    </w:p>
    <w:p w:rsidR="00D55761" w:rsidRPr="004D55DA" w:rsidRDefault="00F927CC" w:rsidP="00D55761">
      <w:pPr>
        <w:spacing w:line="360" w:lineRule="auto"/>
        <w:ind w:left="2977" w:hanging="2977"/>
        <w:jc w:val="both"/>
      </w:pPr>
      <w:r w:rsidRPr="004D55DA">
        <w:t xml:space="preserve">Landlord-Port </w:t>
      </w:r>
      <w:r w:rsidRPr="004D55DA">
        <w:tab/>
      </w:r>
      <w:r w:rsidR="00D55761" w:rsidRPr="004D55DA">
        <w:t xml:space="preserve">Sistema de gestão </w:t>
      </w:r>
      <w:r w:rsidR="00F61E13">
        <w:t>portuária baseado na concessão da operação dos terminais portuários</w:t>
      </w:r>
      <w:r w:rsidR="00D55761" w:rsidRPr="004D55DA">
        <w:t xml:space="preserve"> a empresas privadas;</w:t>
      </w:r>
    </w:p>
    <w:p w:rsidR="00D55761" w:rsidRDefault="00F61E13" w:rsidP="00D55761">
      <w:pPr>
        <w:spacing w:line="360" w:lineRule="auto"/>
        <w:ind w:left="2977" w:hanging="2977"/>
        <w:jc w:val="both"/>
      </w:pPr>
      <w:r>
        <w:t>Serviço de linha regular</w:t>
      </w:r>
      <w:r w:rsidR="00F927CC" w:rsidRPr="004D55DA">
        <w:t xml:space="preserve"> </w:t>
      </w:r>
      <w:r w:rsidR="00F927CC" w:rsidRPr="004D55DA">
        <w:tab/>
      </w:r>
      <w:r>
        <w:t>Sistema de organização de navios de</w:t>
      </w:r>
      <w:r w:rsidR="00D55761" w:rsidRPr="004D55DA">
        <w:t xml:space="preserve"> </w:t>
      </w:r>
      <w:r w:rsidRPr="004D55DA">
        <w:t>contentore</w:t>
      </w:r>
      <w:r>
        <w:t>s e</w:t>
      </w:r>
      <w:r w:rsidRPr="004D55DA">
        <w:t xml:space="preserve"> viaturas</w:t>
      </w:r>
      <w:r>
        <w:t xml:space="preserve">, que inclui </w:t>
      </w:r>
      <w:r w:rsidR="001A3408">
        <w:t>a definição prévia de itinerários</w:t>
      </w:r>
      <w:r>
        <w:t xml:space="preserve"> entre portos, fretes</w:t>
      </w:r>
      <w:r w:rsidR="001A3408">
        <w:t xml:space="preserve"> e horários</w:t>
      </w:r>
      <w:r w:rsidR="00D55761" w:rsidRPr="004D55DA">
        <w:t>;</w:t>
      </w:r>
    </w:p>
    <w:p w:rsidR="00A62F51" w:rsidRPr="004D55DA" w:rsidRDefault="00F61E13" w:rsidP="00D55761">
      <w:pPr>
        <w:spacing w:line="360" w:lineRule="auto"/>
        <w:ind w:left="2977" w:hanging="2977"/>
        <w:jc w:val="both"/>
      </w:pPr>
      <w:r>
        <w:t>Motherships</w:t>
      </w:r>
      <w:r>
        <w:tab/>
        <w:t>N</w:t>
      </w:r>
      <w:r w:rsidR="00A62F51">
        <w:t xml:space="preserve">avio principal de linha intercontinental que </w:t>
      </w:r>
      <w:r>
        <w:t>utiliza</w:t>
      </w:r>
      <w:r w:rsidR="00A62F51">
        <w:t xml:space="preserve"> navios feeder mais pequenos </w:t>
      </w:r>
      <w:r>
        <w:t>para a</w:t>
      </w:r>
      <w:r w:rsidR="00A62F51">
        <w:t xml:space="preserve"> distribuição regional</w:t>
      </w:r>
      <w:r>
        <w:t>;</w:t>
      </w:r>
    </w:p>
    <w:p w:rsidR="00D55761" w:rsidRPr="004D55DA" w:rsidRDefault="00D55761" w:rsidP="00D55761">
      <w:pPr>
        <w:spacing w:line="360" w:lineRule="auto"/>
        <w:ind w:left="2977" w:hanging="2977"/>
        <w:jc w:val="both"/>
      </w:pPr>
      <w:r w:rsidRPr="004D55DA">
        <w:t>Pórtico ou “grantry crane”</w:t>
      </w:r>
      <w:r w:rsidR="00F927CC" w:rsidRPr="004D55DA">
        <w:t xml:space="preserve"> </w:t>
      </w:r>
      <w:r w:rsidR="00F927CC" w:rsidRPr="004D55DA">
        <w:tab/>
      </w:r>
      <w:r w:rsidRPr="004D55DA">
        <w:t>Grua</w:t>
      </w:r>
      <w:r w:rsidR="00C56B3E">
        <w:t xml:space="preserve"> de cais</w:t>
      </w:r>
      <w:r w:rsidRPr="004D55DA">
        <w:t xml:space="preserve"> especializada na mov</w:t>
      </w:r>
      <w:r w:rsidR="00C56B3E">
        <w:t>imentação de contentores</w:t>
      </w:r>
      <w:r w:rsidRPr="004D55DA">
        <w:t>;</w:t>
      </w:r>
    </w:p>
    <w:p w:rsidR="00D55761" w:rsidRDefault="00F927CC" w:rsidP="00D55761">
      <w:pPr>
        <w:spacing w:line="360" w:lineRule="auto"/>
        <w:ind w:left="2977" w:hanging="2977"/>
        <w:jc w:val="both"/>
        <w:rPr>
          <w:lang w:val="en-GB"/>
        </w:rPr>
      </w:pPr>
      <w:r w:rsidRPr="004D55DA">
        <w:rPr>
          <w:lang w:val="en-GB"/>
        </w:rPr>
        <w:t xml:space="preserve">SEM </w:t>
      </w:r>
      <w:r w:rsidRPr="004D55DA">
        <w:rPr>
          <w:lang w:val="en-GB"/>
        </w:rPr>
        <w:tab/>
      </w:r>
      <w:r w:rsidR="00D55761" w:rsidRPr="004D55DA">
        <w:rPr>
          <w:lang w:val="en-GB"/>
        </w:rPr>
        <w:t>“Structural equation modelling”;</w:t>
      </w:r>
    </w:p>
    <w:p w:rsidR="008B7D52" w:rsidRPr="00517679" w:rsidRDefault="008B7D52" w:rsidP="00D55761">
      <w:pPr>
        <w:spacing w:line="360" w:lineRule="auto"/>
        <w:ind w:left="2977" w:hanging="2977"/>
        <w:jc w:val="both"/>
        <w:rPr>
          <w:lang w:val="en-US"/>
        </w:rPr>
      </w:pPr>
      <w:r w:rsidRPr="00517679">
        <w:rPr>
          <w:lang w:val="en-US"/>
        </w:rPr>
        <w:t>SCM</w:t>
      </w:r>
      <w:r w:rsidRPr="00517679">
        <w:rPr>
          <w:lang w:val="en-US"/>
        </w:rPr>
        <w:tab/>
      </w:r>
      <w:r w:rsidR="00C56B3E" w:rsidRPr="00517679">
        <w:rPr>
          <w:lang w:val="en-US"/>
        </w:rPr>
        <w:t>“</w:t>
      </w:r>
      <w:r w:rsidRPr="00517679">
        <w:rPr>
          <w:lang w:val="en-US"/>
        </w:rPr>
        <w:t>Supply chain management</w:t>
      </w:r>
      <w:r w:rsidR="00C56B3E" w:rsidRPr="00517679">
        <w:rPr>
          <w:lang w:val="en-US"/>
        </w:rPr>
        <w:t>”</w:t>
      </w:r>
      <w:r w:rsidRPr="00517679">
        <w:rPr>
          <w:lang w:val="en-US"/>
        </w:rPr>
        <w:t>;</w:t>
      </w:r>
    </w:p>
    <w:p w:rsidR="008B7D52" w:rsidRPr="008B7D52" w:rsidRDefault="00C56B3E" w:rsidP="00D55761">
      <w:pPr>
        <w:spacing w:line="360" w:lineRule="auto"/>
        <w:ind w:left="2977" w:hanging="2977"/>
        <w:jc w:val="both"/>
      </w:pPr>
      <w:r>
        <w:t>Shortsea-shipping</w:t>
      </w:r>
      <w:r>
        <w:tab/>
        <w:t>T</w:t>
      </w:r>
      <w:r w:rsidR="008B7D52" w:rsidRPr="008B7D52">
        <w:t>ráfego intraeuropeu ou de curta dist</w:t>
      </w:r>
      <w:r w:rsidR="008B7D52">
        <w:t>ância;</w:t>
      </w:r>
    </w:p>
    <w:p w:rsidR="00A62F51" w:rsidRPr="00A62F51" w:rsidRDefault="00A62F51" w:rsidP="00D55761">
      <w:pPr>
        <w:spacing w:line="360" w:lineRule="auto"/>
        <w:ind w:left="2977" w:hanging="2977"/>
        <w:jc w:val="both"/>
      </w:pPr>
      <w:r w:rsidRPr="00A62F51">
        <w:t>Slots</w:t>
      </w:r>
      <w:r w:rsidRPr="00A62F51">
        <w:tab/>
        <w:t xml:space="preserve">Áreas </w:t>
      </w:r>
      <w:r w:rsidR="004E71D2">
        <w:t xml:space="preserve">dos navios </w:t>
      </w:r>
      <w:r w:rsidR="008B7D52">
        <w:t>reservadas à</w:t>
      </w:r>
      <w:r w:rsidRPr="00A62F51">
        <w:t xml:space="preserve"> col</w:t>
      </w:r>
      <w:r w:rsidR="004E71D2">
        <w:t>ocação de contentores</w:t>
      </w:r>
      <w:r w:rsidRPr="00A62F51">
        <w:t>;</w:t>
      </w:r>
    </w:p>
    <w:p w:rsidR="00D55761" w:rsidRPr="004D55DA" w:rsidRDefault="00D55761" w:rsidP="00D55761">
      <w:pPr>
        <w:spacing w:line="360" w:lineRule="auto"/>
        <w:ind w:left="2977" w:hanging="2977"/>
        <w:jc w:val="both"/>
        <w:rPr>
          <w:lang w:val="en-GB"/>
        </w:rPr>
      </w:pPr>
      <w:r w:rsidRPr="00517679">
        <w:rPr>
          <w:lang w:val="en-US"/>
        </w:rPr>
        <w:t xml:space="preserve">SPSS </w:t>
      </w:r>
      <w:r w:rsidR="00F927CC" w:rsidRPr="00517679">
        <w:rPr>
          <w:lang w:val="en-US"/>
        </w:rPr>
        <w:tab/>
      </w:r>
      <w:r w:rsidRPr="00517679">
        <w:rPr>
          <w:lang w:val="en-US"/>
        </w:rPr>
        <w:t>“Statistical Package for the Social Scien</w:t>
      </w:r>
      <w:r w:rsidRPr="004D55DA">
        <w:rPr>
          <w:lang w:val="en-GB"/>
        </w:rPr>
        <w:t>ces”</w:t>
      </w:r>
      <w:r w:rsidR="00F927CC" w:rsidRPr="004D55DA">
        <w:rPr>
          <w:lang w:val="en-GB"/>
        </w:rPr>
        <w:t>;</w:t>
      </w:r>
    </w:p>
    <w:p w:rsidR="008B7D52" w:rsidRDefault="008B7D52" w:rsidP="008B7D52">
      <w:pPr>
        <w:spacing w:line="360" w:lineRule="auto"/>
        <w:ind w:left="2977" w:hanging="2977"/>
        <w:jc w:val="both"/>
        <w:rPr>
          <w:lang w:val="en-GB"/>
        </w:rPr>
      </w:pPr>
      <w:r>
        <w:rPr>
          <w:lang w:val="en-GB"/>
        </w:rPr>
        <w:t>SSS</w:t>
      </w:r>
      <w:r>
        <w:rPr>
          <w:lang w:val="en-GB"/>
        </w:rPr>
        <w:tab/>
      </w:r>
      <w:r w:rsidR="004E71D2">
        <w:rPr>
          <w:lang w:val="en-GB"/>
        </w:rPr>
        <w:t>“</w:t>
      </w:r>
      <w:r>
        <w:rPr>
          <w:lang w:val="en-GB"/>
        </w:rPr>
        <w:t>Shortsea-shipping</w:t>
      </w:r>
      <w:r w:rsidR="004E71D2">
        <w:rPr>
          <w:lang w:val="en-GB"/>
        </w:rPr>
        <w:t>”</w:t>
      </w:r>
      <w:r>
        <w:rPr>
          <w:lang w:val="en-GB"/>
        </w:rPr>
        <w:t>;</w:t>
      </w:r>
    </w:p>
    <w:p w:rsidR="00D55761" w:rsidRPr="008B7D52" w:rsidRDefault="00D55761" w:rsidP="00D55761">
      <w:pPr>
        <w:spacing w:line="360" w:lineRule="auto"/>
        <w:ind w:left="2977" w:hanging="2977"/>
        <w:jc w:val="both"/>
        <w:rPr>
          <w:lang w:val="en-US"/>
        </w:rPr>
      </w:pPr>
      <w:r w:rsidRPr="00A62F51">
        <w:rPr>
          <w:lang w:val="en-US"/>
        </w:rPr>
        <w:t xml:space="preserve">TEU </w:t>
      </w:r>
      <w:r w:rsidR="00F927CC" w:rsidRPr="00A62F51">
        <w:rPr>
          <w:lang w:val="en-US"/>
        </w:rPr>
        <w:tab/>
      </w:r>
      <w:r w:rsidRPr="00A62F51">
        <w:rPr>
          <w:lang w:val="en-US"/>
        </w:rPr>
        <w:t>“</w:t>
      </w:r>
      <w:hyperlink r:id="rId15" w:tooltip="Twenty-foot equivalent unit" w:history="1">
        <w:r w:rsidRPr="008B7D52">
          <w:rPr>
            <w:lang w:val="en-US"/>
          </w:rPr>
          <w:t>Twenty-foot equivalent unit</w:t>
        </w:r>
      </w:hyperlink>
      <w:r w:rsidRPr="008B7D52">
        <w:rPr>
          <w:lang w:val="en-US"/>
        </w:rPr>
        <w:t>”</w:t>
      </w:r>
      <w:r w:rsidR="001A3408" w:rsidRPr="008B7D52">
        <w:rPr>
          <w:lang w:val="en-US"/>
        </w:rPr>
        <w:t xml:space="preserve"> ou contentor com vinte pés</w:t>
      </w:r>
      <w:r w:rsidRPr="008B7D52">
        <w:rPr>
          <w:lang w:val="en-US"/>
        </w:rPr>
        <w:t>;</w:t>
      </w:r>
    </w:p>
    <w:p w:rsidR="00D55761" w:rsidRPr="004D55DA" w:rsidRDefault="00F927CC" w:rsidP="00D55761">
      <w:pPr>
        <w:spacing w:line="360" w:lineRule="auto"/>
        <w:ind w:left="2977" w:hanging="2977"/>
        <w:jc w:val="both"/>
      </w:pPr>
      <w:r w:rsidRPr="004D55DA">
        <w:t xml:space="preserve">TFP </w:t>
      </w:r>
      <w:r w:rsidRPr="004D55DA">
        <w:tab/>
      </w:r>
      <w:r w:rsidR="00D55761" w:rsidRPr="004D55DA">
        <w:t>“Total factor productivity”;</w:t>
      </w:r>
    </w:p>
    <w:p w:rsidR="00D55761" w:rsidRPr="004D55DA" w:rsidRDefault="00F927CC" w:rsidP="00D55761">
      <w:pPr>
        <w:spacing w:line="360" w:lineRule="auto"/>
        <w:ind w:left="2977" w:hanging="2977"/>
        <w:jc w:val="both"/>
      </w:pPr>
      <w:r w:rsidRPr="004D55DA">
        <w:t xml:space="preserve">Tramping </w:t>
      </w:r>
      <w:r w:rsidRPr="004D55DA">
        <w:tab/>
      </w:r>
      <w:r w:rsidR="00D55761" w:rsidRPr="004D55DA">
        <w:t xml:space="preserve">Mercado do shipping </w:t>
      </w:r>
      <w:r w:rsidR="001A3408">
        <w:t xml:space="preserve">não regular </w:t>
      </w:r>
      <w:r w:rsidR="004E71D2">
        <w:t>dedicado ao transporte de</w:t>
      </w:r>
      <w:r w:rsidR="00D55761" w:rsidRPr="004D55DA">
        <w:t xml:space="preserve"> graneis e carga fracionada</w:t>
      </w:r>
      <w:r w:rsidR="004E71D2">
        <w:t xml:space="preserve"> à viagem ou por determinado tempo</w:t>
      </w:r>
      <w:r w:rsidR="00D55761" w:rsidRPr="004D55DA">
        <w:t>;</w:t>
      </w:r>
    </w:p>
    <w:p w:rsidR="00D55761" w:rsidRDefault="00F927CC" w:rsidP="00D55761">
      <w:pPr>
        <w:spacing w:line="360" w:lineRule="auto"/>
        <w:ind w:left="2977" w:hanging="2977"/>
        <w:jc w:val="both"/>
      </w:pPr>
      <w:r w:rsidRPr="004D55DA">
        <w:lastRenderedPageBreak/>
        <w:t xml:space="preserve">Transhipment </w:t>
      </w:r>
      <w:r w:rsidRPr="004D55DA">
        <w:tab/>
      </w:r>
      <w:r w:rsidR="00D55761" w:rsidRPr="004D55DA">
        <w:t>Operação de transbordo</w:t>
      </w:r>
      <w:r w:rsidR="001A3408">
        <w:t xml:space="preserve"> ou baldeação</w:t>
      </w:r>
      <w:r w:rsidR="00D55761" w:rsidRPr="004D55DA">
        <w:t xml:space="preserve"> da carga de um navio para outro, passando por terra, envolvendo habitualmente um navio </w:t>
      </w:r>
      <w:r w:rsidR="004E71D2">
        <w:t>mothership</w:t>
      </w:r>
      <w:r w:rsidR="00D55761" w:rsidRPr="004D55DA">
        <w:t xml:space="preserve"> de linha intercontinental e um navio alimentador</w:t>
      </w:r>
      <w:r w:rsidR="004E71D2">
        <w:t xml:space="preserve"> feeder</w:t>
      </w:r>
      <w:r w:rsidR="00D55761" w:rsidRPr="004D55DA">
        <w:t xml:space="preserve"> de linha regional</w:t>
      </w:r>
      <w:r w:rsidR="008B7D52">
        <w:t>;</w:t>
      </w:r>
    </w:p>
    <w:p w:rsidR="008B7D52" w:rsidRPr="004D55DA" w:rsidRDefault="008B7D52" w:rsidP="00D55761">
      <w:pPr>
        <w:spacing w:line="360" w:lineRule="auto"/>
        <w:ind w:left="2977" w:hanging="2977"/>
        <w:jc w:val="both"/>
      </w:pPr>
      <w:r>
        <w:t>VTS</w:t>
      </w:r>
      <w:r>
        <w:tab/>
        <w:t>“Vessel Traffic System”;</w:t>
      </w:r>
    </w:p>
    <w:p w:rsidR="00D55761" w:rsidRPr="004D55DA" w:rsidRDefault="00D55761" w:rsidP="00D55761">
      <w:pPr>
        <w:spacing w:line="360" w:lineRule="auto"/>
        <w:ind w:left="2977" w:hanging="2977"/>
        <w:jc w:val="both"/>
      </w:pPr>
    </w:p>
    <w:p w:rsidR="00D55761" w:rsidRPr="004D55DA" w:rsidRDefault="00D55761" w:rsidP="00D55761">
      <w:pPr>
        <w:spacing w:line="360" w:lineRule="auto"/>
        <w:jc w:val="both"/>
      </w:pPr>
    </w:p>
    <w:p w:rsidR="00F927CC" w:rsidRPr="004D55DA" w:rsidRDefault="00F927CC" w:rsidP="00D55761">
      <w:pPr>
        <w:spacing w:line="360" w:lineRule="auto"/>
        <w:jc w:val="both"/>
      </w:pPr>
    </w:p>
    <w:p w:rsidR="00F927CC" w:rsidRPr="004D55DA" w:rsidRDefault="00F927CC" w:rsidP="00D55761">
      <w:pPr>
        <w:spacing w:line="360" w:lineRule="auto"/>
        <w:jc w:val="both"/>
      </w:pPr>
    </w:p>
    <w:p w:rsidR="00F927CC" w:rsidRDefault="00F927CC"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Default="008B7D52" w:rsidP="00D55761">
      <w:pPr>
        <w:spacing w:line="360" w:lineRule="auto"/>
        <w:jc w:val="both"/>
      </w:pPr>
    </w:p>
    <w:p w:rsidR="008B7D52" w:rsidRPr="004D55DA" w:rsidRDefault="008B7D52" w:rsidP="00D55761">
      <w:pPr>
        <w:spacing w:line="360" w:lineRule="auto"/>
        <w:jc w:val="both"/>
      </w:pPr>
    </w:p>
    <w:p w:rsidR="00F927CC" w:rsidRPr="004D55DA" w:rsidRDefault="00F927CC" w:rsidP="00D55761">
      <w:pPr>
        <w:spacing w:line="360" w:lineRule="auto"/>
        <w:jc w:val="both"/>
      </w:pPr>
    </w:p>
    <w:p w:rsidR="00D55761" w:rsidRPr="004D55DA" w:rsidRDefault="00D55761" w:rsidP="00D55761">
      <w:pPr>
        <w:spacing w:line="360" w:lineRule="auto"/>
        <w:jc w:val="both"/>
      </w:pPr>
    </w:p>
    <w:p w:rsidR="00D55761" w:rsidRPr="004D55DA" w:rsidRDefault="00D55761" w:rsidP="00D55761">
      <w:pPr>
        <w:spacing w:line="360" w:lineRule="auto"/>
        <w:jc w:val="both"/>
      </w:pPr>
      <w:r w:rsidRPr="004D55DA">
        <w:t xml:space="preserve">(Nota – tese </w:t>
      </w:r>
      <w:r w:rsidR="00F927CC" w:rsidRPr="004D55DA">
        <w:t>redigida</w:t>
      </w:r>
      <w:r w:rsidRPr="004D55DA">
        <w:t xml:space="preserve"> ao abrigo do novo acordo ortográfico)</w:t>
      </w:r>
    </w:p>
    <w:p w:rsidR="00D55761" w:rsidRPr="004D55DA" w:rsidRDefault="00D55761" w:rsidP="007F7964">
      <w:pPr>
        <w:autoSpaceDE w:val="0"/>
        <w:autoSpaceDN w:val="0"/>
        <w:adjustRightInd w:val="0"/>
        <w:rPr>
          <w:rFonts w:ascii="Arial" w:hAnsi="Arial" w:cs="Arial"/>
          <w:color w:val="000000"/>
          <w:sz w:val="22"/>
          <w:szCs w:val="22"/>
        </w:rPr>
      </w:pPr>
    </w:p>
    <w:p w:rsidR="00D55761" w:rsidRPr="004D55DA" w:rsidRDefault="00D55761" w:rsidP="007F7964">
      <w:pPr>
        <w:autoSpaceDE w:val="0"/>
        <w:autoSpaceDN w:val="0"/>
        <w:adjustRightInd w:val="0"/>
        <w:rPr>
          <w:rFonts w:ascii="Arial" w:hAnsi="Arial" w:cs="Arial"/>
          <w:color w:val="000000"/>
          <w:sz w:val="22"/>
          <w:szCs w:val="22"/>
        </w:rPr>
      </w:pPr>
    </w:p>
    <w:p w:rsidR="00D1553F" w:rsidRPr="004D55DA" w:rsidRDefault="00D1553F" w:rsidP="007F7964">
      <w:r w:rsidRPr="004D55DA">
        <w:br w:type="page"/>
      </w:r>
    </w:p>
    <w:p w:rsidR="00104A12" w:rsidRDefault="00104A12" w:rsidP="007F7964">
      <w:pPr>
        <w:spacing w:line="360" w:lineRule="auto"/>
        <w:jc w:val="both"/>
        <w:rPr>
          <w:b/>
        </w:rPr>
      </w:pPr>
      <w:r w:rsidRPr="004D55DA">
        <w:rPr>
          <w:b/>
        </w:rPr>
        <w:lastRenderedPageBreak/>
        <w:t xml:space="preserve">Índice </w:t>
      </w:r>
      <w:r w:rsidR="00252026" w:rsidRPr="004D55DA">
        <w:rPr>
          <w:b/>
        </w:rPr>
        <w:t>geral</w:t>
      </w:r>
      <w:r w:rsidR="00DE198B">
        <w:rPr>
          <w:b/>
        </w:rPr>
        <w:t xml:space="preserve"> </w:t>
      </w:r>
    </w:p>
    <w:p w:rsidR="00780322" w:rsidRDefault="00780322" w:rsidP="007F7964">
      <w:pPr>
        <w:spacing w:line="360" w:lineRule="auto"/>
        <w:jc w:val="both"/>
        <w:rPr>
          <w:b/>
        </w:rPr>
      </w:pPr>
    </w:p>
    <w:p w:rsidR="00780322" w:rsidRPr="004D55DA" w:rsidRDefault="00780322" w:rsidP="007F7964">
      <w:pPr>
        <w:spacing w:line="360" w:lineRule="auto"/>
        <w:jc w:val="both"/>
        <w:rPr>
          <w:b/>
        </w:rPr>
      </w:pPr>
    </w:p>
    <w:p w:rsidR="00BE22BE" w:rsidRDefault="00104A12">
      <w:pPr>
        <w:pStyle w:val="ndice1"/>
        <w:rPr>
          <w:rFonts w:asciiTheme="minorHAnsi" w:eastAsiaTheme="minorEastAsia" w:hAnsiTheme="minorHAnsi" w:cstheme="minorBidi"/>
          <w:noProof/>
          <w:sz w:val="22"/>
          <w:szCs w:val="22"/>
        </w:rPr>
      </w:pPr>
      <w:r w:rsidRPr="004D55DA">
        <w:fldChar w:fldCharType="begin"/>
      </w:r>
      <w:r w:rsidRPr="004D55DA">
        <w:instrText xml:space="preserve"> TOC \o "1-3" \h \z \u </w:instrText>
      </w:r>
      <w:r w:rsidRPr="004D55DA">
        <w:fldChar w:fldCharType="separate"/>
      </w:r>
      <w:hyperlink w:anchor="_Toc395730122" w:history="1">
        <w:r w:rsidR="00BE22BE" w:rsidRPr="001E0654">
          <w:rPr>
            <w:rStyle w:val="Hiperligao"/>
            <w:noProof/>
          </w:rPr>
          <w:t>1</w:t>
        </w:r>
        <w:r w:rsidR="00BE22BE">
          <w:rPr>
            <w:rFonts w:asciiTheme="minorHAnsi" w:eastAsiaTheme="minorEastAsia" w:hAnsiTheme="minorHAnsi" w:cstheme="minorBidi"/>
            <w:noProof/>
            <w:sz w:val="22"/>
            <w:szCs w:val="22"/>
          </w:rPr>
          <w:tab/>
        </w:r>
        <w:r w:rsidR="00BE22BE" w:rsidRPr="001E0654">
          <w:rPr>
            <w:rStyle w:val="Hiperligao"/>
            <w:noProof/>
          </w:rPr>
          <w:t>Introdução</w:t>
        </w:r>
        <w:r w:rsidR="00BE22BE">
          <w:rPr>
            <w:noProof/>
            <w:webHidden/>
          </w:rPr>
          <w:tab/>
        </w:r>
        <w:r w:rsidR="00BE22BE">
          <w:rPr>
            <w:noProof/>
            <w:webHidden/>
          </w:rPr>
          <w:fldChar w:fldCharType="begin"/>
        </w:r>
        <w:r w:rsidR="00BE22BE">
          <w:rPr>
            <w:noProof/>
            <w:webHidden/>
          </w:rPr>
          <w:instrText xml:space="preserve"> PAGEREF _Toc395730122 \h </w:instrText>
        </w:r>
        <w:r w:rsidR="00BE22BE">
          <w:rPr>
            <w:noProof/>
            <w:webHidden/>
          </w:rPr>
        </w:r>
        <w:r w:rsidR="00BE22BE">
          <w:rPr>
            <w:noProof/>
            <w:webHidden/>
          </w:rPr>
          <w:fldChar w:fldCharType="separate"/>
        </w:r>
        <w:r w:rsidR="008D1B65">
          <w:rPr>
            <w:noProof/>
            <w:webHidden/>
          </w:rPr>
          <w:t>15</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3" w:history="1">
        <w:r w:rsidR="00BE22BE" w:rsidRPr="001E0654">
          <w:rPr>
            <w:rStyle w:val="Hiperligao"/>
            <w:noProof/>
          </w:rPr>
          <w:t>1.1</w:t>
        </w:r>
        <w:r w:rsidR="00BE22BE">
          <w:rPr>
            <w:rFonts w:asciiTheme="minorHAnsi" w:eastAsiaTheme="minorEastAsia" w:hAnsiTheme="minorHAnsi" w:cstheme="minorBidi"/>
            <w:noProof/>
            <w:sz w:val="22"/>
            <w:szCs w:val="22"/>
          </w:rPr>
          <w:tab/>
        </w:r>
        <w:r w:rsidR="00BE22BE" w:rsidRPr="001E0654">
          <w:rPr>
            <w:rStyle w:val="Hiperligao"/>
            <w:noProof/>
          </w:rPr>
          <w:t>Enquadramento geral dos portos e terminais de contentores</w:t>
        </w:r>
        <w:r w:rsidR="00BE22BE">
          <w:rPr>
            <w:noProof/>
            <w:webHidden/>
          </w:rPr>
          <w:tab/>
        </w:r>
        <w:r w:rsidR="00BE22BE">
          <w:rPr>
            <w:noProof/>
            <w:webHidden/>
          </w:rPr>
          <w:fldChar w:fldCharType="begin"/>
        </w:r>
        <w:r w:rsidR="00BE22BE">
          <w:rPr>
            <w:noProof/>
            <w:webHidden/>
          </w:rPr>
          <w:instrText xml:space="preserve"> PAGEREF _Toc395730123 \h </w:instrText>
        </w:r>
        <w:r w:rsidR="00BE22BE">
          <w:rPr>
            <w:noProof/>
            <w:webHidden/>
          </w:rPr>
        </w:r>
        <w:r w:rsidR="00BE22BE">
          <w:rPr>
            <w:noProof/>
            <w:webHidden/>
          </w:rPr>
          <w:fldChar w:fldCharType="separate"/>
        </w:r>
        <w:r w:rsidR="008D1B65">
          <w:rPr>
            <w:noProof/>
            <w:webHidden/>
          </w:rPr>
          <w:t>16</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4" w:history="1">
        <w:r w:rsidR="00BE22BE" w:rsidRPr="001E0654">
          <w:rPr>
            <w:rStyle w:val="Hiperligao"/>
            <w:noProof/>
          </w:rPr>
          <w:t>1.2</w:t>
        </w:r>
        <w:r w:rsidR="00BE22BE">
          <w:rPr>
            <w:rFonts w:asciiTheme="minorHAnsi" w:eastAsiaTheme="minorEastAsia" w:hAnsiTheme="minorHAnsi" w:cstheme="minorBidi"/>
            <w:noProof/>
            <w:sz w:val="22"/>
            <w:szCs w:val="22"/>
          </w:rPr>
          <w:tab/>
        </w:r>
        <w:r w:rsidR="00BE22BE" w:rsidRPr="001E0654">
          <w:rPr>
            <w:rStyle w:val="Hiperligao"/>
            <w:noProof/>
          </w:rPr>
          <w:t>Enquadramento teórico</w:t>
        </w:r>
        <w:r w:rsidR="00BE22BE">
          <w:rPr>
            <w:noProof/>
            <w:webHidden/>
          </w:rPr>
          <w:tab/>
        </w:r>
        <w:r w:rsidR="00BE22BE">
          <w:rPr>
            <w:noProof/>
            <w:webHidden/>
          </w:rPr>
          <w:fldChar w:fldCharType="begin"/>
        </w:r>
        <w:r w:rsidR="00BE22BE">
          <w:rPr>
            <w:noProof/>
            <w:webHidden/>
          </w:rPr>
          <w:instrText xml:space="preserve"> PAGEREF _Toc395730124 \h </w:instrText>
        </w:r>
        <w:r w:rsidR="00BE22BE">
          <w:rPr>
            <w:noProof/>
            <w:webHidden/>
          </w:rPr>
        </w:r>
        <w:r w:rsidR="00BE22BE">
          <w:rPr>
            <w:noProof/>
            <w:webHidden/>
          </w:rPr>
          <w:fldChar w:fldCharType="separate"/>
        </w:r>
        <w:r w:rsidR="008D1B65">
          <w:rPr>
            <w:noProof/>
            <w:webHidden/>
          </w:rPr>
          <w:t>29</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5" w:history="1">
        <w:r w:rsidR="00BE22BE" w:rsidRPr="001E0654">
          <w:rPr>
            <w:rStyle w:val="Hiperligao"/>
            <w:noProof/>
          </w:rPr>
          <w:t>1.3</w:t>
        </w:r>
        <w:r w:rsidR="00BE22BE">
          <w:rPr>
            <w:rFonts w:asciiTheme="minorHAnsi" w:eastAsiaTheme="minorEastAsia" w:hAnsiTheme="minorHAnsi" w:cstheme="minorBidi"/>
            <w:noProof/>
            <w:sz w:val="22"/>
            <w:szCs w:val="22"/>
          </w:rPr>
          <w:tab/>
        </w:r>
        <w:r w:rsidR="00BE22BE" w:rsidRPr="001E0654">
          <w:rPr>
            <w:rStyle w:val="Hiperligao"/>
            <w:noProof/>
          </w:rPr>
          <w:t>Lacunas da investigação</w:t>
        </w:r>
        <w:r w:rsidR="00BE22BE">
          <w:rPr>
            <w:noProof/>
            <w:webHidden/>
          </w:rPr>
          <w:tab/>
        </w:r>
        <w:r w:rsidR="00BE22BE">
          <w:rPr>
            <w:noProof/>
            <w:webHidden/>
          </w:rPr>
          <w:fldChar w:fldCharType="begin"/>
        </w:r>
        <w:r w:rsidR="00BE22BE">
          <w:rPr>
            <w:noProof/>
            <w:webHidden/>
          </w:rPr>
          <w:instrText xml:space="preserve"> PAGEREF _Toc395730125 \h </w:instrText>
        </w:r>
        <w:r w:rsidR="00BE22BE">
          <w:rPr>
            <w:noProof/>
            <w:webHidden/>
          </w:rPr>
        </w:r>
        <w:r w:rsidR="00BE22BE">
          <w:rPr>
            <w:noProof/>
            <w:webHidden/>
          </w:rPr>
          <w:fldChar w:fldCharType="separate"/>
        </w:r>
        <w:r w:rsidR="008D1B65">
          <w:rPr>
            <w:noProof/>
            <w:webHidden/>
          </w:rPr>
          <w:t>33</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6" w:history="1">
        <w:r w:rsidR="00BE22BE" w:rsidRPr="001E0654">
          <w:rPr>
            <w:rStyle w:val="Hiperligao"/>
            <w:noProof/>
          </w:rPr>
          <w:t>1.4</w:t>
        </w:r>
        <w:r w:rsidR="00BE22BE">
          <w:rPr>
            <w:rFonts w:asciiTheme="minorHAnsi" w:eastAsiaTheme="minorEastAsia" w:hAnsiTheme="minorHAnsi" w:cstheme="minorBidi"/>
            <w:noProof/>
            <w:sz w:val="22"/>
            <w:szCs w:val="22"/>
          </w:rPr>
          <w:tab/>
        </w:r>
        <w:r w:rsidR="00BE22BE" w:rsidRPr="001E0654">
          <w:rPr>
            <w:rStyle w:val="Hiperligao"/>
            <w:noProof/>
          </w:rPr>
          <w:t>Propósito e objetivos do estudo e metodologia estatística</w:t>
        </w:r>
        <w:r w:rsidR="00BE22BE">
          <w:rPr>
            <w:noProof/>
            <w:webHidden/>
          </w:rPr>
          <w:tab/>
        </w:r>
        <w:r w:rsidR="00BE22BE">
          <w:rPr>
            <w:noProof/>
            <w:webHidden/>
          </w:rPr>
          <w:fldChar w:fldCharType="begin"/>
        </w:r>
        <w:r w:rsidR="00BE22BE">
          <w:rPr>
            <w:noProof/>
            <w:webHidden/>
          </w:rPr>
          <w:instrText xml:space="preserve"> PAGEREF _Toc395730126 \h </w:instrText>
        </w:r>
        <w:r w:rsidR="00BE22BE">
          <w:rPr>
            <w:noProof/>
            <w:webHidden/>
          </w:rPr>
        </w:r>
        <w:r w:rsidR="00BE22BE">
          <w:rPr>
            <w:noProof/>
            <w:webHidden/>
          </w:rPr>
          <w:fldChar w:fldCharType="separate"/>
        </w:r>
        <w:r w:rsidR="008D1B65">
          <w:rPr>
            <w:noProof/>
            <w:webHidden/>
          </w:rPr>
          <w:t>36</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27" w:history="1">
        <w:r w:rsidR="00BE22BE" w:rsidRPr="001E0654">
          <w:rPr>
            <w:rStyle w:val="Hiperligao"/>
            <w:noProof/>
          </w:rPr>
          <w:t>2</w:t>
        </w:r>
        <w:r w:rsidR="00BE22BE">
          <w:rPr>
            <w:rFonts w:asciiTheme="minorHAnsi" w:eastAsiaTheme="minorEastAsia" w:hAnsiTheme="minorHAnsi" w:cstheme="minorBidi"/>
            <w:noProof/>
            <w:sz w:val="22"/>
            <w:szCs w:val="22"/>
          </w:rPr>
          <w:tab/>
        </w:r>
        <w:r w:rsidR="00BE22BE" w:rsidRPr="001E0654">
          <w:rPr>
            <w:rStyle w:val="Hiperligao"/>
            <w:noProof/>
          </w:rPr>
          <w:t>Revisão da literatura</w:t>
        </w:r>
        <w:r w:rsidR="00BE22BE">
          <w:rPr>
            <w:noProof/>
            <w:webHidden/>
          </w:rPr>
          <w:tab/>
        </w:r>
        <w:r w:rsidR="00BE22BE">
          <w:rPr>
            <w:noProof/>
            <w:webHidden/>
          </w:rPr>
          <w:fldChar w:fldCharType="begin"/>
        </w:r>
        <w:r w:rsidR="00BE22BE">
          <w:rPr>
            <w:noProof/>
            <w:webHidden/>
          </w:rPr>
          <w:instrText xml:space="preserve"> PAGEREF _Toc395730127 \h </w:instrText>
        </w:r>
        <w:r w:rsidR="00BE22BE">
          <w:rPr>
            <w:noProof/>
            <w:webHidden/>
          </w:rPr>
        </w:r>
        <w:r w:rsidR="00BE22BE">
          <w:rPr>
            <w:noProof/>
            <w:webHidden/>
          </w:rPr>
          <w:fldChar w:fldCharType="separate"/>
        </w:r>
        <w:r w:rsidR="008D1B65">
          <w:rPr>
            <w:noProof/>
            <w:webHidden/>
          </w:rPr>
          <w:t>37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8" w:history="1">
        <w:r w:rsidR="00BE22BE" w:rsidRPr="001E0654">
          <w:rPr>
            <w:rStyle w:val="Hiperligao"/>
            <w:noProof/>
          </w:rPr>
          <w:t>2.1</w:t>
        </w:r>
        <w:r w:rsidR="00BE22BE">
          <w:rPr>
            <w:rFonts w:asciiTheme="minorHAnsi" w:eastAsiaTheme="minorEastAsia" w:hAnsiTheme="minorHAnsi" w:cstheme="minorBidi"/>
            <w:noProof/>
            <w:sz w:val="22"/>
            <w:szCs w:val="22"/>
          </w:rPr>
          <w:tab/>
        </w:r>
        <w:r w:rsidR="00BE22BE" w:rsidRPr="001E0654">
          <w:rPr>
            <w:rStyle w:val="Hiperligao"/>
            <w:noProof/>
          </w:rPr>
          <w:t>Multidimensionalidade dos portos e constructos</w:t>
        </w:r>
        <w:r w:rsidR="00BE22BE">
          <w:rPr>
            <w:noProof/>
            <w:webHidden/>
          </w:rPr>
          <w:tab/>
        </w:r>
        <w:r w:rsidR="00BE22BE">
          <w:rPr>
            <w:noProof/>
            <w:webHidden/>
          </w:rPr>
          <w:fldChar w:fldCharType="begin"/>
        </w:r>
        <w:r w:rsidR="00BE22BE">
          <w:rPr>
            <w:noProof/>
            <w:webHidden/>
          </w:rPr>
          <w:instrText xml:space="preserve"> PAGEREF _Toc395730128 \h </w:instrText>
        </w:r>
        <w:r w:rsidR="00BE22BE">
          <w:rPr>
            <w:noProof/>
            <w:webHidden/>
          </w:rPr>
        </w:r>
        <w:r w:rsidR="00BE22BE">
          <w:rPr>
            <w:noProof/>
            <w:webHidden/>
          </w:rPr>
          <w:fldChar w:fldCharType="separate"/>
        </w:r>
        <w:r w:rsidR="008D1B65">
          <w:rPr>
            <w:noProof/>
            <w:webHidden/>
          </w:rPr>
          <w:t>44</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29" w:history="1">
        <w:r w:rsidR="00BE22BE" w:rsidRPr="001E0654">
          <w:rPr>
            <w:rStyle w:val="Hiperligao"/>
            <w:noProof/>
          </w:rPr>
          <w:t>2.2</w:t>
        </w:r>
        <w:r w:rsidR="00BE22BE">
          <w:rPr>
            <w:rFonts w:asciiTheme="minorHAnsi" w:eastAsiaTheme="minorEastAsia" w:hAnsiTheme="minorHAnsi" w:cstheme="minorBidi"/>
            <w:noProof/>
            <w:sz w:val="22"/>
            <w:szCs w:val="22"/>
          </w:rPr>
          <w:tab/>
        </w:r>
        <w:r w:rsidR="00BE22BE" w:rsidRPr="001E0654">
          <w:rPr>
            <w:rStyle w:val="Hiperligao"/>
            <w:noProof/>
          </w:rPr>
          <w:t>“Position-port” ou localização do porto</w:t>
        </w:r>
        <w:r w:rsidR="00BE22BE">
          <w:rPr>
            <w:noProof/>
            <w:webHidden/>
          </w:rPr>
          <w:tab/>
        </w:r>
        <w:r w:rsidR="00BE22BE">
          <w:rPr>
            <w:noProof/>
            <w:webHidden/>
          </w:rPr>
          <w:fldChar w:fldCharType="begin"/>
        </w:r>
        <w:r w:rsidR="00BE22BE">
          <w:rPr>
            <w:noProof/>
            <w:webHidden/>
          </w:rPr>
          <w:instrText xml:space="preserve"> PAGEREF _Toc395730129 \h </w:instrText>
        </w:r>
        <w:r w:rsidR="00BE22BE">
          <w:rPr>
            <w:noProof/>
            <w:webHidden/>
          </w:rPr>
        </w:r>
        <w:r w:rsidR="00BE22BE">
          <w:rPr>
            <w:noProof/>
            <w:webHidden/>
          </w:rPr>
          <w:fldChar w:fldCharType="separate"/>
        </w:r>
        <w:r w:rsidR="008D1B65">
          <w:rPr>
            <w:noProof/>
            <w:webHidden/>
          </w:rPr>
          <w:t>47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0" w:history="1">
        <w:r w:rsidR="00BE22BE" w:rsidRPr="001E0654">
          <w:rPr>
            <w:rStyle w:val="Hiperligao"/>
            <w:noProof/>
          </w:rPr>
          <w:t>2.3</w:t>
        </w:r>
        <w:r w:rsidR="00BE22BE">
          <w:rPr>
            <w:rFonts w:asciiTheme="minorHAnsi" w:eastAsiaTheme="minorEastAsia" w:hAnsiTheme="minorHAnsi" w:cstheme="minorBidi"/>
            <w:noProof/>
            <w:sz w:val="22"/>
            <w:szCs w:val="22"/>
          </w:rPr>
          <w:tab/>
        </w:r>
        <w:r w:rsidR="00BE22BE" w:rsidRPr="001E0654">
          <w:rPr>
            <w:rStyle w:val="Hiperligao"/>
            <w:noProof/>
          </w:rPr>
          <w:t>“Hard-port” ou infraestruturas do porto</w:t>
        </w:r>
        <w:r w:rsidR="00BE22BE">
          <w:rPr>
            <w:noProof/>
            <w:webHidden/>
          </w:rPr>
          <w:tab/>
        </w:r>
        <w:r w:rsidR="00BE22BE">
          <w:rPr>
            <w:noProof/>
            <w:webHidden/>
          </w:rPr>
          <w:fldChar w:fldCharType="begin"/>
        </w:r>
        <w:r w:rsidR="00BE22BE">
          <w:rPr>
            <w:noProof/>
            <w:webHidden/>
          </w:rPr>
          <w:instrText xml:space="preserve"> PAGEREF _Toc395730130 \h </w:instrText>
        </w:r>
        <w:r w:rsidR="00BE22BE">
          <w:rPr>
            <w:noProof/>
            <w:webHidden/>
          </w:rPr>
        </w:r>
        <w:r w:rsidR="00BE22BE">
          <w:rPr>
            <w:noProof/>
            <w:webHidden/>
          </w:rPr>
          <w:fldChar w:fldCharType="separate"/>
        </w:r>
        <w:r w:rsidR="008D1B65">
          <w:rPr>
            <w:noProof/>
            <w:webHidden/>
          </w:rPr>
          <w:t>55</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1" w:history="1">
        <w:r w:rsidR="00BE22BE" w:rsidRPr="001E0654">
          <w:rPr>
            <w:rStyle w:val="Hiperligao"/>
            <w:noProof/>
          </w:rPr>
          <w:t>2.4</w:t>
        </w:r>
        <w:r w:rsidR="00BE22BE">
          <w:rPr>
            <w:rFonts w:asciiTheme="minorHAnsi" w:eastAsiaTheme="minorEastAsia" w:hAnsiTheme="minorHAnsi" w:cstheme="minorBidi"/>
            <w:noProof/>
            <w:sz w:val="22"/>
            <w:szCs w:val="22"/>
          </w:rPr>
          <w:tab/>
        </w:r>
        <w:r w:rsidR="00BE22BE" w:rsidRPr="001E0654">
          <w:rPr>
            <w:rStyle w:val="Hiperligao"/>
            <w:noProof/>
          </w:rPr>
          <w:t>“Soft-port” ou serviço do porto</w:t>
        </w:r>
        <w:r w:rsidR="00BE22BE">
          <w:rPr>
            <w:noProof/>
            <w:webHidden/>
          </w:rPr>
          <w:tab/>
        </w:r>
        <w:r w:rsidR="00BE22BE">
          <w:rPr>
            <w:noProof/>
            <w:webHidden/>
          </w:rPr>
          <w:fldChar w:fldCharType="begin"/>
        </w:r>
        <w:r w:rsidR="00BE22BE">
          <w:rPr>
            <w:noProof/>
            <w:webHidden/>
          </w:rPr>
          <w:instrText xml:space="preserve"> PAGEREF _Toc395730131 \h </w:instrText>
        </w:r>
        <w:r w:rsidR="00BE22BE">
          <w:rPr>
            <w:noProof/>
            <w:webHidden/>
          </w:rPr>
        </w:r>
        <w:r w:rsidR="00BE22BE">
          <w:rPr>
            <w:noProof/>
            <w:webHidden/>
          </w:rPr>
          <w:fldChar w:fldCharType="separate"/>
        </w:r>
        <w:r w:rsidR="008D1B65">
          <w:rPr>
            <w:noProof/>
            <w:webHidden/>
          </w:rPr>
          <w:t>61</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2" w:history="1">
        <w:r w:rsidR="00BE22BE" w:rsidRPr="001E0654">
          <w:rPr>
            <w:rStyle w:val="Hiperligao"/>
            <w:noProof/>
          </w:rPr>
          <w:t>2.5</w:t>
        </w:r>
        <w:r w:rsidR="00BE22BE">
          <w:rPr>
            <w:rFonts w:asciiTheme="minorHAnsi" w:eastAsiaTheme="minorEastAsia" w:hAnsiTheme="minorHAnsi" w:cstheme="minorBidi"/>
            <w:noProof/>
            <w:sz w:val="22"/>
            <w:szCs w:val="22"/>
          </w:rPr>
          <w:tab/>
        </w:r>
        <w:r w:rsidR="00BE22BE" w:rsidRPr="001E0654">
          <w:rPr>
            <w:rStyle w:val="Hiperligao"/>
            <w:noProof/>
          </w:rPr>
          <w:t>“Hard-terminal” ou infraestrutura do terminal</w:t>
        </w:r>
        <w:r w:rsidR="00BE22BE">
          <w:rPr>
            <w:noProof/>
            <w:webHidden/>
          </w:rPr>
          <w:tab/>
        </w:r>
        <w:r w:rsidR="00BE22BE">
          <w:rPr>
            <w:noProof/>
            <w:webHidden/>
          </w:rPr>
          <w:fldChar w:fldCharType="begin"/>
        </w:r>
        <w:r w:rsidR="00BE22BE">
          <w:rPr>
            <w:noProof/>
            <w:webHidden/>
          </w:rPr>
          <w:instrText xml:space="preserve"> PAGEREF _Toc395730132 \h </w:instrText>
        </w:r>
        <w:r w:rsidR="00BE22BE">
          <w:rPr>
            <w:noProof/>
            <w:webHidden/>
          </w:rPr>
        </w:r>
        <w:r w:rsidR="00BE22BE">
          <w:rPr>
            <w:noProof/>
            <w:webHidden/>
          </w:rPr>
          <w:fldChar w:fldCharType="separate"/>
        </w:r>
        <w:r w:rsidR="008D1B65">
          <w:rPr>
            <w:noProof/>
            <w:webHidden/>
          </w:rPr>
          <w:t>65</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3" w:history="1">
        <w:r w:rsidR="00BE22BE" w:rsidRPr="001E0654">
          <w:rPr>
            <w:rStyle w:val="Hiperligao"/>
            <w:noProof/>
          </w:rPr>
          <w:t>2.6</w:t>
        </w:r>
        <w:r w:rsidR="00BE22BE">
          <w:rPr>
            <w:rFonts w:asciiTheme="minorHAnsi" w:eastAsiaTheme="minorEastAsia" w:hAnsiTheme="minorHAnsi" w:cstheme="minorBidi"/>
            <w:noProof/>
            <w:sz w:val="22"/>
            <w:szCs w:val="22"/>
          </w:rPr>
          <w:tab/>
        </w:r>
        <w:r w:rsidR="00BE22BE" w:rsidRPr="001E0654">
          <w:rPr>
            <w:rStyle w:val="Hiperligao"/>
            <w:noProof/>
          </w:rPr>
          <w:t>“Softsea-terminal” ou serviço marítimo do terminal</w:t>
        </w:r>
        <w:r w:rsidR="00BE22BE">
          <w:rPr>
            <w:noProof/>
            <w:webHidden/>
          </w:rPr>
          <w:tab/>
        </w:r>
        <w:r w:rsidR="00BE22BE">
          <w:rPr>
            <w:noProof/>
            <w:webHidden/>
          </w:rPr>
          <w:fldChar w:fldCharType="begin"/>
        </w:r>
        <w:r w:rsidR="00BE22BE">
          <w:rPr>
            <w:noProof/>
            <w:webHidden/>
          </w:rPr>
          <w:instrText xml:space="preserve"> PAGEREF _Toc395730133 \h </w:instrText>
        </w:r>
        <w:r w:rsidR="00BE22BE">
          <w:rPr>
            <w:noProof/>
            <w:webHidden/>
          </w:rPr>
        </w:r>
        <w:r w:rsidR="00BE22BE">
          <w:rPr>
            <w:noProof/>
            <w:webHidden/>
          </w:rPr>
          <w:fldChar w:fldCharType="separate"/>
        </w:r>
        <w:r w:rsidR="008D1B65">
          <w:rPr>
            <w:noProof/>
            <w:webHidden/>
          </w:rPr>
          <w:t>70</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4" w:history="1">
        <w:r w:rsidR="00BE22BE" w:rsidRPr="001E0654">
          <w:rPr>
            <w:rStyle w:val="Hiperligao"/>
            <w:noProof/>
          </w:rPr>
          <w:t>2.7</w:t>
        </w:r>
        <w:r w:rsidR="00BE22BE">
          <w:rPr>
            <w:rFonts w:asciiTheme="minorHAnsi" w:eastAsiaTheme="minorEastAsia" w:hAnsiTheme="minorHAnsi" w:cstheme="minorBidi"/>
            <w:noProof/>
            <w:sz w:val="22"/>
            <w:szCs w:val="22"/>
          </w:rPr>
          <w:tab/>
        </w:r>
        <w:r w:rsidR="00BE22BE" w:rsidRPr="001E0654">
          <w:rPr>
            <w:rStyle w:val="Hiperligao"/>
            <w:noProof/>
          </w:rPr>
          <w:t>“Softlogis-terminal” ou serviço na cadeia logística</w:t>
        </w:r>
        <w:r w:rsidR="00BE22BE">
          <w:rPr>
            <w:noProof/>
            <w:webHidden/>
          </w:rPr>
          <w:tab/>
        </w:r>
        <w:r w:rsidR="00BE22BE">
          <w:rPr>
            <w:noProof/>
            <w:webHidden/>
          </w:rPr>
          <w:fldChar w:fldCharType="begin"/>
        </w:r>
        <w:r w:rsidR="00BE22BE">
          <w:rPr>
            <w:noProof/>
            <w:webHidden/>
          </w:rPr>
          <w:instrText xml:space="preserve"> PAGEREF _Toc395730134 \h </w:instrText>
        </w:r>
        <w:r w:rsidR="00BE22BE">
          <w:rPr>
            <w:noProof/>
            <w:webHidden/>
          </w:rPr>
        </w:r>
        <w:r w:rsidR="00BE22BE">
          <w:rPr>
            <w:noProof/>
            <w:webHidden/>
          </w:rPr>
          <w:fldChar w:fldCharType="separate"/>
        </w:r>
        <w:r w:rsidR="008D1B65">
          <w:rPr>
            <w:noProof/>
            <w:webHidden/>
          </w:rPr>
          <w:t>75</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5" w:history="1">
        <w:r w:rsidR="00BE22BE" w:rsidRPr="001E0654">
          <w:rPr>
            <w:rStyle w:val="Hiperligao"/>
            <w:noProof/>
          </w:rPr>
          <w:t>2.8</w:t>
        </w:r>
        <w:r w:rsidR="00BE22BE">
          <w:rPr>
            <w:rFonts w:asciiTheme="minorHAnsi" w:eastAsiaTheme="minorEastAsia" w:hAnsiTheme="minorHAnsi" w:cstheme="minorBidi"/>
            <w:noProof/>
            <w:sz w:val="22"/>
            <w:szCs w:val="22"/>
          </w:rPr>
          <w:tab/>
        </w:r>
        <w:r w:rsidR="00BE22BE" w:rsidRPr="001E0654">
          <w:rPr>
            <w:rStyle w:val="Hiperligao"/>
            <w:noProof/>
          </w:rPr>
          <w:t>“Softorg-terminal” ou organização do terminal</w:t>
        </w:r>
        <w:r w:rsidR="00BE22BE">
          <w:rPr>
            <w:noProof/>
            <w:webHidden/>
          </w:rPr>
          <w:tab/>
        </w:r>
        <w:r w:rsidR="00BE22BE">
          <w:rPr>
            <w:noProof/>
            <w:webHidden/>
          </w:rPr>
          <w:fldChar w:fldCharType="begin"/>
        </w:r>
        <w:r w:rsidR="00BE22BE">
          <w:rPr>
            <w:noProof/>
            <w:webHidden/>
          </w:rPr>
          <w:instrText xml:space="preserve"> PAGEREF _Toc395730135 \h </w:instrText>
        </w:r>
        <w:r w:rsidR="00BE22BE">
          <w:rPr>
            <w:noProof/>
            <w:webHidden/>
          </w:rPr>
        </w:r>
        <w:r w:rsidR="00BE22BE">
          <w:rPr>
            <w:noProof/>
            <w:webHidden/>
          </w:rPr>
          <w:fldChar w:fldCharType="separate"/>
        </w:r>
        <w:r w:rsidR="008D1B65">
          <w:rPr>
            <w:noProof/>
            <w:webHidden/>
          </w:rPr>
          <w:t>87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6" w:history="1">
        <w:r w:rsidR="00BE22BE" w:rsidRPr="001E0654">
          <w:rPr>
            <w:rStyle w:val="Hiperligao"/>
            <w:noProof/>
          </w:rPr>
          <w:t>2.9</w:t>
        </w:r>
        <w:r w:rsidR="00BE22BE">
          <w:rPr>
            <w:rFonts w:asciiTheme="minorHAnsi" w:eastAsiaTheme="minorEastAsia" w:hAnsiTheme="minorHAnsi" w:cstheme="minorBidi"/>
            <w:noProof/>
            <w:sz w:val="22"/>
            <w:szCs w:val="22"/>
          </w:rPr>
          <w:tab/>
        </w:r>
        <w:r w:rsidR="00BE22BE" w:rsidRPr="001E0654">
          <w:rPr>
            <w:rStyle w:val="Hiperligao"/>
            <w:noProof/>
          </w:rPr>
          <w:t>Desempenho do terminal de contentores</w:t>
        </w:r>
        <w:r w:rsidR="00BE22BE">
          <w:rPr>
            <w:noProof/>
            <w:webHidden/>
          </w:rPr>
          <w:tab/>
        </w:r>
        <w:r w:rsidR="00BE22BE">
          <w:rPr>
            <w:noProof/>
            <w:webHidden/>
          </w:rPr>
          <w:fldChar w:fldCharType="begin"/>
        </w:r>
        <w:r w:rsidR="00BE22BE">
          <w:rPr>
            <w:noProof/>
            <w:webHidden/>
          </w:rPr>
          <w:instrText xml:space="preserve"> PAGEREF _Toc395730136 \h </w:instrText>
        </w:r>
        <w:r w:rsidR="00BE22BE">
          <w:rPr>
            <w:noProof/>
            <w:webHidden/>
          </w:rPr>
        </w:r>
        <w:r w:rsidR="00BE22BE">
          <w:rPr>
            <w:noProof/>
            <w:webHidden/>
          </w:rPr>
          <w:fldChar w:fldCharType="separate"/>
        </w:r>
        <w:r w:rsidR="008D1B65">
          <w:rPr>
            <w:noProof/>
            <w:webHidden/>
          </w:rPr>
          <w:t>92</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37" w:history="1">
        <w:r w:rsidR="00BE22BE" w:rsidRPr="001E0654">
          <w:rPr>
            <w:rStyle w:val="Hiperligao"/>
            <w:noProof/>
          </w:rPr>
          <w:t>3</w:t>
        </w:r>
        <w:r w:rsidR="00BE22BE">
          <w:rPr>
            <w:rFonts w:asciiTheme="minorHAnsi" w:eastAsiaTheme="minorEastAsia" w:hAnsiTheme="minorHAnsi" w:cstheme="minorBidi"/>
            <w:noProof/>
            <w:sz w:val="22"/>
            <w:szCs w:val="22"/>
          </w:rPr>
          <w:tab/>
        </w:r>
        <w:r w:rsidR="00BE22BE" w:rsidRPr="001E0654">
          <w:rPr>
            <w:rStyle w:val="Hiperligao"/>
            <w:noProof/>
          </w:rPr>
          <w:t>Modelo de investigação e hipóteses de trabalho</w:t>
        </w:r>
        <w:r w:rsidR="00BE22BE">
          <w:rPr>
            <w:noProof/>
            <w:webHidden/>
          </w:rPr>
          <w:tab/>
        </w:r>
        <w:r w:rsidR="00BE22BE">
          <w:rPr>
            <w:noProof/>
            <w:webHidden/>
          </w:rPr>
          <w:fldChar w:fldCharType="begin"/>
        </w:r>
        <w:r w:rsidR="00BE22BE">
          <w:rPr>
            <w:noProof/>
            <w:webHidden/>
          </w:rPr>
          <w:instrText xml:space="preserve"> PAGEREF _Toc395730137 \h </w:instrText>
        </w:r>
        <w:r w:rsidR="00BE22BE">
          <w:rPr>
            <w:noProof/>
            <w:webHidden/>
          </w:rPr>
        </w:r>
        <w:r w:rsidR="00BE22BE">
          <w:rPr>
            <w:noProof/>
            <w:webHidden/>
          </w:rPr>
          <w:fldChar w:fldCharType="separate"/>
        </w:r>
        <w:r w:rsidR="008D1B65">
          <w:rPr>
            <w:noProof/>
            <w:webHidden/>
          </w:rPr>
          <w:t>97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8" w:history="1">
        <w:r w:rsidR="00BE22BE" w:rsidRPr="001E0654">
          <w:rPr>
            <w:rStyle w:val="Hiperligao"/>
            <w:noProof/>
          </w:rPr>
          <w:t>3.1</w:t>
        </w:r>
        <w:r w:rsidR="00BE22BE">
          <w:rPr>
            <w:rFonts w:asciiTheme="minorHAnsi" w:eastAsiaTheme="minorEastAsia" w:hAnsiTheme="minorHAnsi" w:cstheme="minorBidi"/>
            <w:noProof/>
            <w:sz w:val="22"/>
            <w:szCs w:val="22"/>
          </w:rPr>
          <w:tab/>
        </w:r>
        <w:r w:rsidR="00BE22BE" w:rsidRPr="001E0654">
          <w:rPr>
            <w:rStyle w:val="Hiperligao"/>
            <w:noProof/>
          </w:rPr>
          <w:t>Modelo de investigação e hipóteses de trabalho</w:t>
        </w:r>
        <w:r w:rsidR="00BE22BE">
          <w:rPr>
            <w:noProof/>
            <w:webHidden/>
          </w:rPr>
          <w:tab/>
        </w:r>
        <w:r w:rsidR="00BE22BE">
          <w:rPr>
            <w:noProof/>
            <w:webHidden/>
          </w:rPr>
          <w:fldChar w:fldCharType="begin"/>
        </w:r>
        <w:r w:rsidR="00BE22BE">
          <w:rPr>
            <w:noProof/>
            <w:webHidden/>
          </w:rPr>
          <w:instrText xml:space="preserve"> PAGEREF _Toc395730138 \h </w:instrText>
        </w:r>
        <w:r w:rsidR="00BE22BE">
          <w:rPr>
            <w:noProof/>
            <w:webHidden/>
          </w:rPr>
        </w:r>
        <w:r w:rsidR="00BE22BE">
          <w:rPr>
            <w:noProof/>
            <w:webHidden/>
          </w:rPr>
          <w:fldChar w:fldCharType="separate"/>
        </w:r>
        <w:r w:rsidR="008D1B65">
          <w:rPr>
            <w:noProof/>
            <w:webHidden/>
          </w:rPr>
          <w:t>97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39" w:history="1">
        <w:r w:rsidR="00BE22BE" w:rsidRPr="001E0654">
          <w:rPr>
            <w:rStyle w:val="Hiperligao"/>
            <w:noProof/>
          </w:rPr>
          <w:t>3.2</w:t>
        </w:r>
        <w:r w:rsidR="00BE22BE">
          <w:rPr>
            <w:rFonts w:asciiTheme="minorHAnsi" w:eastAsiaTheme="minorEastAsia" w:hAnsiTheme="minorHAnsi" w:cstheme="minorBidi"/>
            <w:noProof/>
            <w:sz w:val="22"/>
            <w:szCs w:val="22"/>
          </w:rPr>
          <w:tab/>
        </w:r>
        <w:r w:rsidR="00BE22BE" w:rsidRPr="001E0654">
          <w:rPr>
            <w:rStyle w:val="Hiperligao"/>
            <w:noProof/>
          </w:rPr>
          <w:t>Constructos e variáveis observadas</w:t>
        </w:r>
        <w:r w:rsidR="00BE22BE">
          <w:rPr>
            <w:noProof/>
            <w:webHidden/>
          </w:rPr>
          <w:tab/>
        </w:r>
        <w:r w:rsidR="00BE22BE">
          <w:rPr>
            <w:noProof/>
            <w:webHidden/>
          </w:rPr>
          <w:fldChar w:fldCharType="begin"/>
        </w:r>
        <w:r w:rsidR="00BE22BE">
          <w:rPr>
            <w:noProof/>
            <w:webHidden/>
          </w:rPr>
          <w:instrText xml:space="preserve"> PAGEREF _Toc395730139 \h </w:instrText>
        </w:r>
        <w:r w:rsidR="00BE22BE">
          <w:rPr>
            <w:noProof/>
            <w:webHidden/>
          </w:rPr>
        </w:r>
        <w:r w:rsidR="00BE22BE">
          <w:rPr>
            <w:noProof/>
            <w:webHidden/>
          </w:rPr>
          <w:fldChar w:fldCharType="separate"/>
        </w:r>
        <w:r w:rsidR="008D1B65">
          <w:rPr>
            <w:noProof/>
            <w:webHidden/>
          </w:rPr>
          <w:t>104</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40" w:history="1">
        <w:r w:rsidR="00BE22BE" w:rsidRPr="001E0654">
          <w:rPr>
            <w:rStyle w:val="Hiperligao"/>
            <w:noProof/>
            <w:lang w:eastAsia="en-US"/>
          </w:rPr>
          <w:t>4</w:t>
        </w:r>
        <w:r w:rsidR="00BE22BE">
          <w:rPr>
            <w:rFonts w:asciiTheme="minorHAnsi" w:eastAsiaTheme="minorEastAsia" w:hAnsiTheme="minorHAnsi" w:cstheme="minorBidi"/>
            <w:noProof/>
            <w:sz w:val="22"/>
            <w:szCs w:val="22"/>
          </w:rPr>
          <w:tab/>
        </w:r>
        <w:r w:rsidR="00BE22BE" w:rsidRPr="001E0654">
          <w:rPr>
            <w:rStyle w:val="Hiperligao"/>
            <w:noProof/>
          </w:rPr>
          <w:t>Metodologias estatísticas</w:t>
        </w:r>
        <w:r w:rsidR="00BE22BE">
          <w:rPr>
            <w:noProof/>
            <w:webHidden/>
          </w:rPr>
          <w:tab/>
        </w:r>
        <w:r w:rsidR="00BE22BE">
          <w:rPr>
            <w:noProof/>
            <w:webHidden/>
          </w:rPr>
          <w:fldChar w:fldCharType="begin"/>
        </w:r>
        <w:r w:rsidR="00BE22BE">
          <w:rPr>
            <w:noProof/>
            <w:webHidden/>
          </w:rPr>
          <w:instrText xml:space="preserve"> PAGEREF _Toc395730140 \h </w:instrText>
        </w:r>
        <w:r w:rsidR="00BE22BE">
          <w:rPr>
            <w:noProof/>
            <w:webHidden/>
          </w:rPr>
        </w:r>
        <w:r w:rsidR="00BE22BE">
          <w:rPr>
            <w:noProof/>
            <w:webHidden/>
          </w:rPr>
          <w:fldChar w:fldCharType="separate"/>
        </w:r>
        <w:r w:rsidR="008D1B65">
          <w:rPr>
            <w:noProof/>
            <w:webHidden/>
          </w:rPr>
          <w:t>106</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41" w:history="1">
        <w:r w:rsidR="00BE22BE" w:rsidRPr="001E0654">
          <w:rPr>
            <w:rStyle w:val="Hiperligao"/>
            <w:noProof/>
          </w:rPr>
          <w:t>4.1</w:t>
        </w:r>
        <w:r w:rsidR="00BE22BE">
          <w:rPr>
            <w:rFonts w:asciiTheme="minorHAnsi" w:eastAsiaTheme="minorEastAsia" w:hAnsiTheme="minorHAnsi" w:cstheme="minorBidi"/>
            <w:noProof/>
            <w:sz w:val="22"/>
            <w:szCs w:val="22"/>
          </w:rPr>
          <w:tab/>
        </w:r>
        <w:r w:rsidR="00BE22BE" w:rsidRPr="001E0654">
          <w:rPr>
            <w:rStyle w:val="Hiperligao"/>
            <w:noProof/>
          </w:rPr>
          <w:t>Escalas</w:t>
        </w:r>
        <w:r w:rsidR="00576187">
          <w:rPr>
            <w:rStyle w:val="Hiperligao"/>
            <w:noProof/>
          </w:rPr>
          <w:t xml:space="preserve"> e amostra</w:t>
        </w:r>
        <w:r w:rsidR="00BE22BE">
          <w:rPr>
            <w:noProof/>
            <w:webHidden/>
          </w:rPr>
          <w:tab/>
        </w:r>
        <w:r w:rsidR="00BE22BE">
          <w:rPr>
            <w:noProof/>
            <w:webHidden/>
          </w:rPr>
          <w:fldChar w:fldCharType="begin"/>
        </w:r>
        <w:r w:rsidR="00BE22BE">
          <w:rPr>
            <w:noProof/>
            <w:webHidden/>
          </w:rPr>
          <w:instrText xml:space="preserve"> PAGEREF _Toc395730141 \h </w:instrText>
        </w:r>
        <w:r w:rsidR="00BE22BE">
          <w:rPr>
            <w:noProof/>
            <w:webHidden/>
          </w:rPr>
        </w:r>
        <w:r w:rsidR="00BE22BE">
          <w:rPr>
            <w:noProof/>
            <w:webHidden/>
          </w:rPr>
          <w:fldChar w:fldCharType="separate"/>
        </w:r>
        <w:r w:rsidR="008D1B65">
          <w:rPr>
            <w:noProof/>
            <w:webHidden/>
          </w:rPr>
          <w:t>107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42" w:history="1">
        <w:r w:rsidR="00BE22BE" w:rsidRPr="001E0654">
          <w:rPr>
            <w:rStyle w:val="Hiperligao"/>
            <w:noProof/>
          </w:rPr>
          <w:t>4.2</w:t>
        </w:r>
        <w:r w:rsidR="00BE22BE">
          <w:rPr>
            <w:rFonts w:asciiTheme="minorHAnsi" w:eastAsiaTheme="minorEastAsia" w:hAnsiTheme="minorHAnsi" w:cstheme="minorBidi"/>
            <w:noProof/>
            <w:sz w:val="22"/>
            <w:szCs w:val="22"/>
          </w:rPr>
          <w:tab/>
        </w:r>
        <w:r w:rsidR="00BE22BE" w:rsidRPr="001E0654">
          <w:rPr>
            <w:rStyle w:val="Hiperligao"/>
            <w:noProof/>
          </w:rPr>
          <w:t>Técnicas estatísticas</w:t>
        </w:r>
        <w:r w:rsidR="00BE22BE">
          <w:rPr>
            <w:noProof/>
            <w:webHidden/>
          </w:rPr>
          <w:tab/>
        </w:r>
        <w:r w:rsidR="00BE22BE">
          <w:rPr>
            <w:noProof/>
            <w:webHidden/>
          </w:rPr>
          <w:fldChar w:fldCharType="begin"/>
        </w:r>
        <w:r w:rsidR="00BE22BE">
          <w:rPr>
            <w:noProof/>
            <w:webHidden/>
          </w:rPr>
          <w:instrText xml:space="preserve"> PAGEREF _Toc395730142 \h </w:instrText>
        </w:r>
        <w:r w:rsidR="00BE22BE">
          <w:rPr>
            <w:noProof/>
            <w:webHidden/>
          </w:rPr>
        </w:r>
        <w:r w:rsidR="00BE22BE">
          <w:rPr>
            <w:noProof/>
            <w:webHidden/>
          </w:rPr>
          <w:fldChar w:fldCharType="separate"/>
        </w:r>
        <w:r w:rsidR="008D1B65">
          <w:rPr>
            <w:noProof/>
            <w:webHidden/>
          </w:rPr>
          <w:t>118</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47" w:history="1">
        <w:r w:rsidR="00BE22BE" w:rsidRPr="001E0654">
          <w:rPr>
            <w:rStyle w:val="Hiperligao"/>
            <w:noProof/>
            <w:lang w:eastAsia="en-US"/>
          </w:rPr>
          <w:t>5</w:t>
        </w:r>
        <w:r w:rsidR="00BE22BE">
          <w:rPr>
            <w:rFonts w:asciiTheme="minorHAnsi" w:eastAsiaTheme="minorEastAsia" w:hAnsiTheme="minorHAnsi" w:cstheme="minorBidi"/>
            <w:noProof/>
            <w:sz w:val="22"/>
            <w:szCs w:val="22"/>
          </w:rPr>
          <w:tab/>
        </w:r>
        <w:r w:rsidR="00BE22BE" w:rsidRPr="001E0654">
          <w:rPr>
            <w:rStyle w:val="Hiperligao"/>
            <w:noProof/>
          </w:rPr>
          <w:t>Resultados</w:t>
        </w:r>
        <w:r w:rsidR="00BE22BE">
          <w:rPr>
            <w:noProof/>
            <w:webHidden/>
          </w:rPr>
          <w:tab/>
        </w:r>
        <w:r w:rsidR="00BE22BE">
          <w:rPr>
            <w:noProof/>
            <w:webHidden/>
          </w:rPr>
          <w:fldChar w:fldCharType="begin"/>
        </w:r>
        <w:r w:rsidR="00BE22BE">
          <w:rPr>
            <w:noProof/>
            <w:webHidden/>
          </w:rPr>
          <w:instrText xml:space="preserve"> PAGEREF _Toc395730147 \h </w:instrText>
        </w:r>
        <w:r w:rsidR="00BE22BE">
          <w:rPr>
            <w:noProof/>
            <w:webHidden/>
          </w:rPr>
        </w:r>
        <w:r w:rsidR="00BE22BE">
          <w:rPr>
            <w:noProof/>
            <w:webHidden/>
          </w:rPr>
          <w:fldChar w:fldCharType="separate"/>
        </w:r>
        <w:r w:rsidR="008D1B65">
          <w:rPr>
            <w:noProof/>
            <w:webHidden/>
          </w:rPr>
          <w:t>131</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48" w:history="1">
        <w:r w:rsidR="00BE22BE" w:rsidRPr="001E0654">
          <w:rPr>
            <w:rStyle w:val="Hiperligao"/>
            <w:noProof/>
          </w:rPr>
          <w:t>5.1</w:t>
        </w:r>
        <w:r w:rsidR="00BE22BE">
          <w:rPr>
            <w:rFonts w:asciiTheme="minorHAnsi" w:eastAsiaTheme="minorEastAsia" w:hAnsiTheme="minorHAnsi" w:cstheme="minorBidi"/>
            <w:noProof/>
            <w:sz w:val="22"/>
            <w:szCs w:val="22"/>
          </w:rPr>
          <w:tab/>
        </w:r>
        <w:r w:rsidR="00BE22BE" w:rsidRPr="001E0654">
          <w:rPr>
            <w:rStyle w:val="Hiperligao"/>
            <w:noProof/>
          </w:rPr>
          <w:t>Primeiro inquérito (pré-teste) – percepção dos utilizadores do terminal</w:t>
        </w:r>
        <w:r w:rsidR="00BE22BE">
          <w:rPr>
            <w:noProof/>
            <w:webHidden/>
          </w:rPr>
          <w:tab/>
        </w:r>
        <w:r w:rsidR="00BE22BE">
          <w:rPr>
            <w:noProof/>
            <w:webHidden/>
          </w:rPr>
          <w:fldChar w:fldCharType="begin"/>
        </w:r>
        <w:r w:rsidR="00BE22BE">
          <w:rPr>
            <w:noProof/>
            <w:webHidden/>
          </w:rPr>
          <w:instrText xml:space="preserve"> PAGEREF _Toc395730148 \h </w:instrText>
        </w:r>
        <w:r w:rsidR="00BE22BE">
          <w:rPr>
            <w:noProof/>
            <w:webHidden/>
          </w:rPr>
        </w:r>
        <w:r w:rsidR="00BE22BE">
          <w:rPr>
            <w:noProof/>
            <w:webHidden/>
          </w:rPr>
          <w:fldChar w:fldCharType="separate"/>
        </w:r>
        <w:r w:rsidR="008D1B65">
          <w:rPr>
            <w:noProof/>
            <w:webHidden/>
          </w:rPr>
          <w:t>132</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53" w:history="1">
        <w:r w:rsidR="00BE22BE" w:rsidRPr="001E0654">
          <w:rPr>
            <w:rStyle w:val="Hiperligao"/>
            <w:noProof/>
          </w:rPr>
          <w:t>5.2</w:t>
        </w:r>
        <w:r w:rsidR="00BE22BE">
          <w:rPr>
            <w:rFonts w:asciiTheme="minorHAnsi" w:eastAsiaTheme="minorEastAsia" w:hAnsiTheme="minorHAnsi" w:cstheme="minorBidi"/>
            <w:noProof/>
            <w:sz w:val="22"/>
            <w:szCs w:val="22"/>
          </w:rPr>
          <w:tab/>
        </w:r>
        <w:r w:rsidR="00BE22BE" w:rsidRPr="001E0654">
          <w:rPr>
            <w:rStyle w:val="Hiperligao"/>
            <w:noProof/>
          </w:rPr>
          <w:t>Segundo inquérito ou principal – Portugal e Espanha</w:t>
        </w:r>
        <w:r w:rsidR="00BE22BE">
          <w:rPr>
            <w:noProof/>
            <w:webHidden/>
          </w:rPr>
          <w:tab/>
        </w:r>
        <w:r w:rsidR="00BE22BE">
          <w:rPr>
            <w:noProof/>
            <w:webHidden/>
          </w:rPr>
          <w:fldChar w:fldCharType="begin"/>
        </w:r>
        <w:r w:rsidR="00BE22BE">
          <w:rPr>
            <w:noProof/>
            <w:webHidden/>
          </w:rPr>
          <w:instrText xml:space="preserve"> PAGEREF _Toc395730153 \h </w:instrText>
        </w:r>
        <w:r w:rsidR="00BE22BE">
          <w:rPr>
            <w:noProof/>
            <w:webHidden/>
          </w:rPr>
        </w:r>
        <w:r w:rsidR="00BE22BE">
          <w:rPr>
            <w:noProof/>
            <w:webHidden/>
          </w:rPr>
          <w:fldChar w:fldCharType="separate"/>
        </w:r>
        <w:r w:rsidR="008D1B65">
          <w:rPr>
            <w:noProof/>
            <w:webHidden/>
          </w:rPr>
          <w:t>157</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58" w:history="1">
        <w:r w:rsidR="00BE22BE" w:rsidRPr="001E0654">
          <w:rPr>
            <w:rStyle w:val="Hiperligao"/>
            <w:noProof/>
          </w:rPr>
          <w:t>5.3</w:t>
        </w:r>
        <w:r w:rsidR="00BE22BE">
          <w:rPr>
            <w:rFonts w:asciiTheme="minorHAnsi" w:eastAsiaTheme="minorEastAsia" w:hAnsiTheme="minorHAnsi" w:cstheme="minorBidi"/>
            <w:noProof/>
            <w:sz w:val="22"/>
            <w:szCs w:val="22"/>
          </w:rPr>
          <w:tab/>
        </w:r>
        <w:r w:rsidR="00BE22BE" w:rsidRPr="001E0654">
          <w:rPr>
            <w:rStyle w:val="Hiperligao"/>
            <w:noProof/>
          </w:rPr>
          <w:t>Segundo Inquérito – Europa</w:t>
        </w:r>
        <w:r w:rsidR="00BE22BE">
          <w:rPr>
            <w:noProof/>
            <w:webHidden/>
          </w:rPr>
          <w:tab/>
        </w:r>
        <w:r w:rsidR="00BE22BE">
          <w:rPr>
            <w:noProof/>
            <w:webHidden/>
          </w:rPr>
          <w:fldChar w:fldCharType="begin"/>
        </w:r>
        <w:r w:rsidR="00BE22BE">
          <w:rPr>
            <w:noProof/>
            <w:webHidden/>
          </w:rPr>
          <w:instrText xml:space="preserve"> PAGEREF _Toc395730158 \h </w:instrText>
        </w:r>
        <w:r w:rsidR="00BE22BE">
          <w:rPr>
            <w:noProof/>
            <w:webHidden/>
          </w:rPr>
        </w:r>
        <w:r w:rsidR="00BE22BE">
          <w:rPr>
            <w:noProof/>
            <w:webHidden/>
          </w:rPr>
          <w:fldChar w:fldCharType="separate"/>
        </w:r>
        <w:r w:rsidR="008D1B65">
          <w:rPr>
            <w:noProof/>
            <w:webHidden/>
          </w:rPr>
          <w:t>180</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63" w:history="1">
        <w:r w:rsidR="00BE22BE" w:rsidRPr="001E0654">
          <w:rPr>
            <w:rStyle w:val="Hiperligao"/>
            <w:noProof/>
          </w:rPr>
          <w:t>5.4</w:t>
        </w:r>
        <w:r w:rsidR="00BE22BE">
          <w:rPr>
            <w:rFonts w:asciiTheme="minorHAnsi" w:eastAsiaTheme="minorEastAsia" w:hAnsiTheme="minorHAnsi" w:cstheme="minorBidi"/>
            <w:noProof/>
            <w:sz w:val="22"/>
            <w:szCs w:val="22"/>
          </w:rPr>
          <w:tab/>
        </w:r>
        <w:r w:rsidR="00BE22BE" w:rsidRPr="001E0654">
          <w:rPr>
            <w:rStyle w:val="Hiperligao"/>
            <w:noProof/>
          </w:rPr>
          <w:t>Análise dos Resultados</w:t>
        </w:r>
        <w:r w:rsidR="00BE22BE">
          <w:rPr>
            <w:noProof/>
            <w:webHidden/>
          </w:rPr>
          <w:tab/>
        </w:r>
        <w:r w:rsidR="00BE22BE">
          <w:rPr>
            <w:noProof/>
            <w:webHidden/>
          </w:rPr>
          <w:fldChar w:fldCharType="begin"/>
        </w:r>
        <w:r w:rsidR="00BE22BE">
          <w:rPr>
            <w:noProof/>
            <w:webHidden/>
          </w:rPr>
          <w:instrText xml:space="preserve"> PAGEREF _Toc395730163 \h </w:instrText>
        </w:r>
        <w:r w:rsidR="00BE22BE">
          <w:rPr>
            <w:noProof/>
            <w:webHidden/>
          </w:rPr>
        </w:r>
        <w:r w:rsidR="00BE22BE">
          <w:rPr>
            <w:noProof/>
            <w:webHidden/>
          </w:rPr>
          <w:fldChar w:fldCharType="separate"/>
        </w:r>
        <w:r w:rsidR="008D1B65">
          <w:rPr>
            <w:noProof/>
            <w:webHidden/>
          </w:rPr>
          <w:t>195</w:t>
        </w:r>
        <w:r w:rsidR="00BE22BE">
          <w:rPr>
            <w:noProof/>
            <w:webHidden/>
          </w:rPr>
          <w:fldChar w:fldCharType="end"/>
        </w:r>
      </w:hyperlink>
    </w:p>
    <w:p w:rsidR="00BE22BE" w:rsidRDefault="00E56916">
      <w:pPr>
        <w:pStyle w:val="ndice2"/>
        <w:rPr>
          <w:rFonts w:asciiTheme="minorHAnsi" w:eastAsiaTheme="minorEastAsia" w:hAnsiTheme="minorHAnsi" w:cstheme="minorBidi"/>
          <w:noProof/>
          <w:sz w:val="22"/>
          <w:szCs w:val="22"/>
        </w:rPr>
      </w:pPr>
      <w:hyperlink w:anchor="_Toc395730164" w:history="1">
        <w:r w:rsidR="00BE22BE" w:rsidRPr="001E0654">
          <w:rPr>
            <w:rStyle w:val="Hiperligao"/>
            <w:noProof/>
          </w:rPr>
          <w:t>5.5</w:t>
        </w:r>
        <w:r w:rsidR="00BE22BE">
          <w:rPr>
            <w:rFonts w:asciiTheme="minorHAnsi" w:eastAsiaTheme="minorEastAsia" w:hAnsiTheme="minorHAnsi" w:cstheme="minorBidi"/>
            <w:noProof/>
            <w:sz w:val="22"/>
            <w:szCs w:val="22"/>
          </w:rPr>
          <w:tab/>
        </w:r>
        <w:r w:rsidR="00BE22BE" w:rsidRPr="001E0654">
          <w:rPr>
            <w:rStyle w:val="Hiperligao"/>
            <w:noProof/>
          </w:rPr>
          <w:t>Consolidação dos resultados</w:t>
        </w:r>
        <w:r w:rsidR="00BE22BE">
          <w:rPr>
            <w:noProof/>
            <w:webHidden/>
          </w:rPr>
          <w:tab/>
        </w:r>
        <w:r w:rsidR="00BE22BE">
          <w:rPr>
            <w:noProof/>
            <w:webHidden/>
          </w:rPr>
          <w:fldChar w:fldCharType="begin"/>
        </w:r>
        <w:r w:rsidR="00BE22BE">
          <w:rPr>
            <w:noProof/>
            <w:webHidden/>
          </w:rPr>
          <w:instrText xml:space="preserve"> PAGEREF _Toc395730164 \h </w:instrText>
        </w:r>
        <w:r w:rsidR="00BE22BE">
          <w:rPr>
            <w:noProof/>
            <w:webHidden/>
          </w:rPr>
        </w:r>
        <w:r w:rsidR="00BE22BE">
          <w:rPr>
            <w:noProof/>
            <w:webHidden/>
          </w:rPr>
          <w:fldChar w:fldCharType="separate"/>
        </w:r>
        <w:r w:rsidR="008D1B65">
          <w:rPr>
            <w:noProof/>
            <w:webHidden/>
          </w:rPr>
          <w:t>205</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65" w:history="1">
        <w:r w:rsidR="00BE22BE" w:rsidRPr="001E0654">
          <w:rPr>
            <w:rStyle w:val="Hiperligao"/>
            <w:noProof/>
          </w:rPr>
          <w:t>6</w:t>
        </w:r>
        <w:r w:rsidR="00BE22BE">
          <w:rPr>
            <w:rFonts w:asciiTheme="minorHAnsi" w:eastAsiaTheme="minorEastAsia" w:hAnsiTheme="minorHAnsi" w:cstheme="minorBidi"/>
            <w:noProof/>
            <w:sz w:val="22"/>
            <w:szCs w:val="22"/>
          </w:rPr>
          <w:tab/>
        </w:r>
        <w:r w:rsidR="00BE22BE" w:rsidRPr="001E0654">
          <w:rPr>
            <w:rStyle w:val="Hiperligao"/>
            <w:noProof/>
          </w:rPr>
          <w:t>Discussão</w:t>
        </w:r>
        <w:r w:rsidR="00BE22BE">
          <w:rPr>
            <w:noProof/>
            <w:webHidden/>
          </w:rPr>
          <w:tab/>
        </w:r>
        <w:r w:rsidR="00BE22BE">
          <w:rPr>
            <w:noProof/>
            <w:webHidden/>
          </w:rPr>
          <w:fldChar w:fldCharType="begin"/>
        </w:r>
        <w:r w:rsidR="00BE22BE">
          <w:rPr>
            <w:noProof/>
            <w:webHidden/>
          </w:rPr>
          <w:instrText xml:space="preserve"> PAGEREF _Toc395730165 \h </w:instrText>
        </w:r>
        <w:r w:rsidR="00BE22BE">
          <w:rPr>
            <w:noProof/>
            <w:webHidden/>
          </w:rPr>
        </w:r>
        <w:r w:rsidR="00BE22BE">
          <w:rPr>
            <w:noProof/>
            <w:webHidden/>
          </w:rPr>
          <w:fldChar w:fldCharType="separate"/>
        </w:r>
        <w:r w:rsidR="008D1B65">
          <w:rPr>
            <w:noProof/>
            <w:webHidden/>
          </w:rPr>
          <w:t>211</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66" w:history="1">
        <w:r w:rsidR="00BE22BE" w:rsidRPr="001E0654">
          <w:rPr>
            <w:rStyle w:val="Hiperligao"/>
            <w:noProof/>
          </w:rPr>
          <w:t>7</w:t>
        </w:r>
        <w:r w:rsidR="00BE22BE">
          <w:rPr>
            <w:rFonts w:asciiTheme="minorHAnsi" w:eastAsiaTheme="minorEastAsia" w:hAnsiTheme="minorHAnsi" w:cstheme="minorBidi"/>
            <w:noProof/>
            <w:sz w:val="22"/>
            <w:szCs w:val="22"/>
          </w:rPr>
          <w:tab/>
        </w:r>
        <w:r w:rsidR="00BE22BE" w:rsidRPr="001E0654">
          <w:rPr>
            <w:rStyle w:val="Hiperligao"/>
            <w:noProof/>
          </w:rPr>
          <w:t>Conclusões</w:t>
        </w:r>
        <w:r w:rsidR="00BE22BE">
          <w:rPr>
            <w:noProof/>
            <w:webHidden/>
          </w:rPr>
          <w:tab/>
        </w:r>
        <w:r w:rsidR="00BE22BE">
          <w:rPr>
            <w:noProof/>
            <w:webHidden/>
          </w:rPr>
          <w:fldChar w:fldCharType="begin"/>
        </w:r>
        <w:r w:rsidR="00BE22BE">
          <w:rPr>
            <w:noProof/>
            <w:webHidden/>
          </w:rPr>
          <w:instrText xml:space="preserve"> PAGEREF _Toc395730166 \h </w:instrText>
        </w:r>
        <w:r w:rsidR="00BE22BE">
          <w:rPr>
            <w:noProof/>
            <w:webHidden/>
          </w:rPr>
        </w:r>
        <w:r w:rsidR="00BE22BE">
          <w:rPr>
            <w:noProof/>
            <w:webHidden/>
          </w:rPr>
          <w:fldChar w:fldCharType="separate"/>
        </w:r>
        <w:r w:rsidR="008D1B65">
          <w:rPr>
            <w:noProof/>
            <w:webHidden/>
          </w:rPr>
          <w:t>218</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67" w:history="1">
        <w:r w:rsidR="00BE22BE" w:rsidRPr="001E0654">
          <w:rPr>
            <w:rStyle w:val="Hiperligao"/>
            <w:noProof/>
          </w:rPr>
          <w:t>8</w:t>
        </w:r>
        <w:r w:rsidR="00BE22BE">
          <w:rPr>
            <w:rFonts w:asciiTheme="minorHAnsi" w:eastAsiaTheme="minorEastAsia" w:hAnsiTheme="minorHAnsi" w:cstheme="minorBidi"/>
            <w:noProof/>
            <w:sz w:val="22"/>
            <w:szCs w:val="22"/>
          </w:rPr>
          <w:tab/>
        </w:r>
        <w:r w:rsidR="00BE22BE" w:rsidRPr="001E0654">
          <w:rPr>
            <w:rStyle w:val="Hiperligao"/>
            <w:noProof/>
          </w:rPr>
          <w:t>Contribuições, limitações e trabalhos futuros</w:t>
        </w:r>
        <w:r w:rsidR="00BE22BE">
          <w:rPr>
            <w:noProof/>
            <w:webHidden/>
          </w:rPr>
          <w:tab/>
        </w:r>
        <w:r w:rsidR="00BE22BE">
          <w:rPr>
            <w:noProof/>
            <w:webHidden/>
          </w:rPr>
          <w:fldChar w:fldCharType="begin"/>
        </w:r>
        <w:r w:rsidR="00BE22BE">
          <w:rPr>
            <w:noProof/>
            <w:webHidden/>
          </w:rPr>
          <w:instrText xml:space="preserve"> PAGEREF _Toc395730167 \h </w:instrText>
        </w:r>
        <w:r w:rsidR="00BE22BE">
          <w:rPr>
            <w:noProof/>
            <w:webHidden/>
          </w:rPr>
        </w:r>
        <w:r w:rsidR="00BE22BE">
          <w:rPr>
            <w:noProof/>
            <w:webHidden/>
          </w:rPr>
          <w:fldChar w:fldCharType="separate"/>
        </w:r>
        <w:r w:rsidR="008D1B65">
          <w:rPr>
            <w:noProof/>
            <w:webHidden/>
          </w:rPr>
          <w:t>222</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68" w:history="1">
        <w:r w:rsidR="00BE22BE" w:rsidRPr="001E0654">
          <w:rPr>
            <w:rStyle w:val="Hiperligao"/>
            <w:noProof/>
            <w:lang w:val="en-US"/>
          </w:rPr>
          <w:t>Bibliografia</w:t>
        </w:r>
        <w:r w:rsidR="00BE22BE">
          <w:rPr>
            <w:noProof/>
            <w:webHidden/>
          </w:rPr>
          <w:tab/>
        </w:r>
        <w:r w:rsidR="00BE22BE">
          <w:rPr>
            <w:noProof/>
            <w:webHidden/>
          </w:rPr>
          <w:fldChar w:fldCharType="begin"/>
        </w:r>
        <w:r w:rsidR="00BE22BE">
          <w:rPr>
            <w:noProof/>
            <w:webHidden/>
          </w:rPr>
          <w:instrText xml:space="preserve"> PAGEREF _Toc395730168 \h </w:instrText>
        </w:r>
        <w:r w:rsidR="00BE22BE">
          <w:rPr>
            <w:noProof/>
            <w:webHidden/>
          </w:rPr>
        </w:r>
        <w:r w:rsidR="00BE22BE">
          <w:rPr>
            <w:noProof/>
            <w:webHidden/>
          </w:rPr>
          <w:fldChar w:fldCharType="separate"/>
        </w:r>
        <w:r w:rsidR="008D1B65">
          <w:rPr>
            <w:noProof/>
            <w:webHidden/>
          </w:rPr>
          <w:t>225</w:t>
        </w:r>
        <w:r w:rsidR="00BE22BE">
          <w:rPr>
            <w:noProof/>
            <w:webHidden/>
          </w:rPr>
          <w:fldChar w:fldCharType="end"/>
        </w:r>
      </w:hyperlink>
    </w:p>
    <w:p w:rsidR="00BE22BE" w:rsidRDefault="00BE22BE">
      <w:pPr>
        <w:pStyle w:val="ndice1"/>
        <w:rPr>
          <w:rStyle w:val="Hiperligao"/>
          <w:noProof/>
        </w:rPr>
      </w:pPr>
    </w:p>
    <w:p w:rsidR="00BE22BE" w:rsidRDefault="00E56916">
      <w:pPr>
        <w:pStyle w:val="ndice1"/>
        <w:rPr>
          <w:rFonts w:asciiTheme="minorHAnsi" w:eastAsiaTheme="minorEastAsia" w:hAnsiTheme="minorHAnsi" w:cstheme="minorBidi"/>
          <w:noProof/>
          <w:sz w:val="22"/>
          <w:szCs w:val="22"/>
        </w:rPr>
      </w:pPr>
      <w:hyperlink w:anchor="_Toc395730169" w:history="1">
        <w:r w:rsidR="00BE22BE" w:rsidRPr="001E0654">
          <w:rPr>
            <w:rStyle w:val="Hiperligao"/>
            <w:noProof/>
          </w:rPr>
          <w:t>Apêndices</w:t>
        </w:r>
        <w:r w:rsidR="00BE22BE">
          <w:rPr>
            <w:noProof/>
            <w:webHidden/>
          </w:rPr>
          <w:tab/>
        </w:r>
        <w:r w:rsidR="00BE22BE">
          <w:rPr>
            <w:noProof/>
            <w:webHidden/>
          </w:rPr>
          <w:fldChar w:fldCharType="begin"/>
        </w:r>
        <w:r w:rsidR="00BE22BE">
          <w:rPr>
            <w:noProof/>
            <w:webHidden/>
          </w:rPr>
          <w:instrText xml:space="preserve"> PAGEREF _Toc395730169 \h </w:instrText>
        </w:r>
        <w:r w:rsidR="00BE22BE">
          <w:rPr>
            <w:noProof/>
            <w:webHidden/>
          </w:rPr>
        </w:r>
        <w:r w:rsidR="00BE22BE">
          <w:rPr>
            <w:noProof/>
            <w:webHidden/>
          </w:rPr>
          <w:fldChar w:fldCharType="separate"/>
        </w:r>
        <w:r w:rsidR="008D1B65">
          <w:rPr>
            <w:noProof/>
            <w:webHidden/>
          </w:rPr>
          <w:t>235</w:t>
        </w:r>
        <w:r w:rsidR="00BE22BE">
          <w:rPr>
            <w:noProof/>
            <w:webHidden/>
          </w:rPr>
          <w:fldChar w:fldCharType="end"/>
        </w:r>
      </w:hyperlink>
    </w:p>
    <w:p w:rsidR="00104A12" w:rsidRPr="004D55DA" w:rsidRDefault="00104A12" w:rsidP="007F7964">
      <w:pPr>
        <w:spacing w:line="360" w:lineRule="auto"/>
        <w:jc w:val="both"/>
      </w:pPr>
      <w:r w:rsidRPr="004D55DA">
        <w:fldChar w:fldCharType="end"/>
      </w:r>
      <w:r w:rsidRPr="004D55DA">
        <w:br w:type="page"/>
      </w:r>
    </w:p>
    <w:p w:rsidR="00252026" w:rsidRPr="004D55DA" w:rsidRDefault="00252026" w:rsidP="00252026">
      <w:pPr>
        <w:spacing w:line="360" w:lineRule="auto"/>
        <w:jc w:val="both"/>
        <w:rPr>
          <w:b/>
        </w:rPr>
      </w:pPr>
      <w:r w:rsidRPr="004D55DA">
        <w:rPr>
          <w:b/>
        </w:rPr>
        <w:lastRenderedPageBreak/>
        <w:t>Índice de Tabelas</w:t>
      </w:r>
    </w:p>
    <w:p w:rsidR="00252026" w:rsidRPr="004D55DA" w:rsidRDefault="00252026" w:rsidP="00252026">
      <w:pPr>
        <w:spacing w:line="360" w:lineRule="auto"/>
        <w:jc w:val="both"/>
      </w:pPr>
    </w:p>
    <w:p w:rsidR="008061D8" w:rsidRDefault="00252026">
      <w:pPr>
        <w:pStyle w:val="ndicedeilustraes"/>
        <w:tabs>
          <w:tab w:val="right" w:leader="dot" w:pos="9062"/>
        </w:tabs>
        <w:rPr>
          <w:rFonts w:asciiTheme="minorHAnsi" w:eastAsiaTheme="minorEastAsia" w:hAnsiTheme="minorHAnsi" w:cstheme="minorBidi"/>
          <w:noProof/>
          <w:sz w:val="22"/>
          <w:szCs w:val="22"/>
        </w:rPr>
      </w:pPr>
      <w:r w:rsidRPr="004D55DA">
        <w:fldChar w:fldCharType="begin"/>
      </w:r>
      <w:r w:rsidRPr="004D55DA">
        <w:instrText xml:space="preserve"> TOC \h \z \c "Tabela" </w:instrText>
      </w:r>
      <w:r w:rsidRPr="004D55DA">
        <w:fldChar w:fldCharType="separate"/>
      </w:r>
      <w:hyperlink w:anchor="_Toc396134124" w:history="1">
        <w:r w:rsidR="008061D8" w:rsidRPr="00DB1E74">
          <w:rPr>
            <w:rStyle w:val="Hiperligao"/>
            <w:noProof/>
          </w:rPr>
          <w:t>Tabela 1 – Constructos, variáveis observadas e autores</w:t>
        </w:r>
        <w:r w:rsidR="008061D8">
          <w:rPr>
            <w:noProof/>
            <w:webHidden/>
          </w:rPr>
          <w:tab/>
        </w:r>
        <w:r w:rsidR="008061D8">
          <w:rPr>
            <w:noProof/>
            <w:webHidden/>
          </w:rPr>
          <w:fldChar w:fldCharType="begin"/>
        </w:r>
        <w:r w:rsidR="008061D8">
          <w:rPr>
            <w:noProof/>
            <w:webHidden/>
          </w:rPr>
          <w:instrText xml:space="preserve"> PAGEREF _Toc396134124 \h </w:instrText>
        </w:r>
        <w:r w:rsidR="008061D8">
          <w:rPr>
            <w:noProof/>
            <w:webHidden/>
          </w:rPr>
        </w:r>
        <w:r w:rsidR="008061D8">
          <w:rPr>
            <w:noProof/>
            <w:webHidden/>
          </w:rPr>
          <w:fldChar w:fldCharType="separate"/>
        </w:r>
        <w:r w:rsidR="008D1B65">
          <w:rPr>
            <w:noProof/>
            <w:webHidden/>
          </w:rPr>
          <w:t>104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25" w:history="1">
        <w:r w:rsidR="008061D8" w:rsidRPr="00DB1E74">
          <w:rPr>
            <w:rStyle w:val="Hiperligao"/>
            <w:noProof/>
          </w:rPr>
          <w:t>Tabela 2 – Escalas do 1º inquérito</w:t>
        </w:r>
        <w:r w:rsidR="008061D8">
          <w:rPr>
            <w:noProof/>
            <w:webHidden/>
          </w:rPr>
          <w:tab/>
        </w:r>
        <w:r w:rsidR="008061D8">
          <w:rPr>
            <w:noProof/>
            <w:webHidden/>
          </w:rPr>
          <w:fldChar w:fldCharType="begin"/>
        </w:r>
        <w:r w:rsidR="008061D8">
          <w:rPr>
            <w:noProof/>
            <w:webHidden/>
          </w:rPr>
          <w:instrText xml:space="preserve"> PAGEREF _Toc396134125 \h </w:instrText>
        </w:r>
        <w:r w:rsidR="008061D8">
          <w:rPr>
            <w:noProof/>
            <w:webHidden/>
          </w:rPr>
        </w:r>
        <w:r w:rsidR="008061D8">
          <w:rPr>
            <w:noProof/>
            <w:webHidden/>
          </w:rPr>
          <w:fldChar w:fldCharType="separate"/>
        </w:r>
        <w:r w:rsidR="008D1B65">
          <w:rPr>
            <w:noProof/>
            <w:webHidden/>
          </w:rPr>
          <w:t>108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26" w:history="1">
        <w:r w:rsidR="008061D8" w:rsidRPr="00DB1E74">
          <w:rPr>
            <w:rStyle w:val="Hiperligao"/>
            <w:noProof/>
          </w:rPr>
          <w:t>Tabela 3 - Escalas do 2º inquérito</w:t>
        </w:r>
        <w:r w:rsidR="008061D8">
          <w:rPr>
            <w:noProof/>
            <w:webHidden/>
          </w:rPr>
          <w:tab/>
        </w:r>
        <w:r w:rsidR="008061D8">
          <w:rPr>
            <w:noProof/>
            <w:webHidden/>
          </w:rPr>
          <w:fldChar w:fldCharType="begin"/>
        </w:r>
        <w:r w:rsidR="008061D8">
          <w:rPr>
            <w:noProof/>
            <w:webHidden/>
          </w:rPr>
          <w:instrText xml:space="preserve"> PAGEREF _Toc396134126 \h </w:instrText>
        </w:r>
        <w:r w:rsidR="008061D8">
          <w:rPr>
            <w:noProof/>
            <w:webHidden/>
          </w:rPr>
        </w:r>
        <w:r w:rsidR="008061D8">
          <w:rPr>
            <w:noProof/>
            <w:webHidden/>
          </w:rPr>
          <w:fldChar w:fldCharType="separate"/>
        </w:r>
        <w:r w:rsidR="008D1B65">
          <w:rPr>
            <w:noProof/>
            <w:webHidden/>
          </w:rPr>
          <w:t>112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27" w:history="1">
        <w:r w:rsidR="008061D8" w:rsidRPr="00DB1E74">
          <w:rPr>
            <w:rStyle w:val="Hiperligao"/>
            <w:noProof/>
          </w:rPr>
          <w:t>Tabela 4</w:t>
        </w:r>
        <w:r w:rsidR="008061D8" w:rsidRPr="00DB1E74">
          <w:rPr>
            <w:rStyle w:val="Hiperligao"/>
            <w:rFonts w:ascii="Cambria" w:hAnsi="Cambria" w:cs="Arial"/>
            <w:noProof/>
          </w:rPr>
          <w:t xml:space="preserve"> - Amostra do 1º Inquérito</w:t>
        </w:r>
        <w:r w:rsidR="008061D8">
          <w:rPr>
            <w:noProof/>
            <w:webHidden/>
          </w:rPr>
          <w:tab/>
        </w:r>
        <w:r w:rsidR="008061D8">
          <w:rPr>
            <w:noProof/>
            <w:webHidden/>
          </w:rPr>
          <w:fldChar w:fldCharType="begin"/>
        </w:r>
        <w:r w:rsidR="008061D8">
          <w:rPr>
            <w:noProof/>
            <w:webHidden/>
          </w:rPr>
          <w:instrText xml:space="preserve"> PAGEREF _Toc396134127 \h </w:instrText>
        </w:r>
        <w:r w:rsidR="008061D8">
          <w:rPr>
            <w:noProof/>
            <w:webHidden/>
          </w:rPr>
        </w:r>
        <w:r w:rsidR="008061D8">
          <w:rPr>
            <w:noProof/>
            <w:webHidden/>
          </w:rPr>
          <w:fldChar w:fldCharType="separate"/>
        </w:r>
        <w:r w:rsidR="008D1B65">
          <w:rPr>
            <w:noProof/>
            <w:webHidden/>
          </w:rPr>
          <w:t>115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28" w:history="1">
        <w:r w:rsidR="008061D8" w:rsidRPr="00DB1E74">
          <w:rPr>
            <w:rStyle w:val="Hiperligao"/>
            <w:noProof/>
          </w:rPr>
          <w:t>Tabela 5 - Amostra do 2º inquérito (Portugal e Espanha)</w:t>
        </w:r>
        <w:r w:rsidR="008061D8">
          <w:rPr>
            <w:noProof/>
            <w:webHidden/>
          </w:rPr>
          <w:tab/>
        </w:r>
        <w:r w:rsidR="008061D8">
          <w:rPr>
            <w:noProof/>
            <w:webHidden/>
          </w:rPr>
          <w:fldChar w:fldCharType="begin"/>
        </w:r>
        <w:r w:rsidR="008061D8">
          <w:rPr>
            <w:noProof/>
            <w:webHidden/>
          </w:rPr>
          <w:instrText xml:space="preserve"> PAGEREF _Toc396134128 \h </w:instrText>
        </w:r>
        <w:r w:rsidR="008061D8">
          <w:rPr>
            <w:noProof/>
            <w:webHidden/>
          </w:rPr>
        </w:r>
        <w:r w:rsidR="008061D8">
          <w:rPr>
            <w:noProof/>
            <w:webHidden/>
          </w:rPr>
          <w:fldChar w:fldCharType="separate"/>
        </w:r>
        <w:r w:rsidR="008D1B65">
          <w:rPr>
            <w:noProof/>
            <w:webHidden/>
          </w:rPr>
          <w:t>116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29" w:history="1">
        <w:r w:rsidR="008061D8" w:rsidRPr="00DB1E74">
          <w:rPr>
            <w:rStyle w:val="Hiperligao"/>
            <w:noProof/>
          </w:rPr>
          <w:t>Tabela 6 - Amostra do 2º inquérito (Europa)</w:t>
        </w:r>
        <w:r w:rsidR="008061D8">
          <w:rPr>
            <w:noProof/>
            <w:webHidden/>
          </w:rPr>
          <w:tab/>
        </w:r>
        <w:r w:rsidR="008061D8">
          <w:rPr>
            <w:noProof/>
            <w:webHidden/>
          </w:rPr>
          <w:fldChar w:fldCharType="begin"/>
        </w:r>
        <w:r w:rsidR="008061D8">
          <w:rPr>
            <w:noProof/>
            <w:webHidden/>
          </w:rPr>
          <w:instrText xml:space="preserve"> PAGEREF _Toc396134129 \h </w:instrText>
        </w:r>
        <w:r w:rsidR="008061D8">
          <w:rPr>
            <w:noProof/>
            <w:webHidden/>
          </w:rPr>
        </w:r>
        <w:r w:rsidR="008061D8">
          <w:rPr>
            <w:noProof/>
            <w:webHidden/>
          </w:rPr>
          <w:fldChar w:fldCharType="separate"/>
        </w:r>
        <w:r w:rsidR="008D1B65">
          <w:rPr>
            <w:noProof/>
            <w:webHidden/>
          </w:rPr>
          <w:t>117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0" w:history="1">
        <w:r w:rsidR="008061D8" w:rsidRPr="00DB1E74">
          <w:rPr>
            <w:rStyle w:val="Hiperligao"/>
            <w:noProof/>
          </w:rPr>
          <w:t>Tabela 7 - Escala de valores de KMO</w:t>
        </w:r>
        <w:r w:rsidR="008061D8">
          <w:rPr>
            <w:noProof/>
            <w:webHidden/>
          </w:rPr>
          <w:tab/>
        </w:r>
        <w:r w:rsidR="008061D8">
          <w:rPr>
            <w:noProof/>
            <w:webHidden/>
          </w:rPr>
          <w:fldChar w:fldCharType="begin"/>
        </w:r>
        <w:r w:rsidR="008061D8">
          <w:rPr>
            <w:noProof/>
            <w:webHidden/>
          </w:rPr>
          <w:instrText xml:space="preserve"> PAGEREF _Toc396134130 \h </w:instrText>
        </w:r>
        <w:r w:rsidR="008061D8">
          <w:rPr>
            <w:noProof/>
            <w:webHidden/>
          </w:rPr>
        </w:r>
        <w:r w:rsidR="008061D8">
          <w:rPr>
            <w:noProof/>
            <w:webHidden/>
          </w:rPr>
          <w:fldChar w:fldCharType="separate"/>
        </w:r>
        <w:r w:rsidR="008D1B65">
          <w:rPr>
            <w:noProof/>
            <w:webHidden/>
          </w:rPr>
          <w:t>126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1" w:history="1">
        <w:r w:rsidR="008061D8" w:rsidRPr="00DB1E74">
          <w:rPr>
            <w:rStyle w:val="Hiperligao"/>
            <w:noProof/>
          </w:rPr>
          <w:t>Tabela 8 – Estatística descritiva, 1º inquérito</w:t>
        </w:r>
        <w:r w:rsidR="008061D8">
          <w:rPr>
            <w:noProof/>
            <w:webHidden/>
          </w:rPr>
          <w:tab/>
        </w:r>
        <w:r w:rsidR="008061D8">
          <w:rPr>
            <w:noProof/>
            <w:webHidden/>
          </w:rPr>
          <w:fldChar w:fldCharType="begin"/>
        </w:r>
        <w:r w:rsidR="008061D8">
          <w:rPr>
            <w:noProof/>
            <w:webHidden/>
          </w:rPr>
          <w:instrText xml:space="preserve"> PAGEREF _Toc396134131 \h </w:instrText>
        </w:r>
        <w:r w:rsidR="008061D8">
          <w:rPr>
            <w:noProof/>
            <w:webHidden/>
          </w:rPr>
        </w:r>
        <w:r w:rsidR="008061D8">
          <w:rPr>
            <w:noProof/>
            <w:webHidden/>
          </w:rPr>
          <w:fldChar w:fldCharType="separate"/>
        </w:r>
        <w:r w:rsidR="008D1B65">
          <w:rPr>
            <w:noProof/>
            <w:webHidden/>
          </w:rPr>
          <w:t>135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2" w:history="1">
        <w:r w:rsidR="008061D8" w:rsidRPr="00DB1E74">
          <w:rPr>
            <w:rStyle w:val="Hiperligao"/>
            <w:noProof/>
          </w:rPr>
          <w:t>Tabela 9 – KMO, 1º inquérito, PCA, variáveis endógenas</w:t>
        </w:r>
        <w:r w:rsidR="008061D8">
          <w:rPr>
            <w:noProof/>
            <w:webHidden/>
          </w:rPr>
          <w:tab/>
        </w:r>
        <w:r w:rsidR="008061D8">
          <w:rPr>
            <w:noProof/>
            <w:webHidden/>
          </w:rPr>
          <w:fldChar w:fldCharType="begin"/>
        </w:r>
        <w:r w:rsidR="008061D8">
          <w:rPr>
            <w:noProof/>
            <w:webHidden/>
          </w:rPr>
          <w:instrText xml:space="preserve"> PAGEREF _Toc396134132 \h </w:instrText>
        </w:r>
        <w:r w:rsidR="008061D8">
          <w:rPr>
            <w:noProof/>
            <w:webHidden/>
          </w:rPr>
        </w:r>
        <w:r w:rsidR="008061D8">
          <w:rPr>
            <w:noProof/>
            <w:webHidden/>
          </w:rPr>
          <w:fldChar w:fldCharType="separate"/>
        </w:r>
        <w:r w:rsidR="008D1B65">
          <w:rPr>
            <w:noProof/>
            <w:webHidden/>
          </w:rPr>
          <w:t>136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3" w:history="1">
        <w:r w:rsidR="008061D8" w:rsidRPr="00DB1E74">
          <w:rPr>
            <w:rStyle w:val="Hiperligao"/>
            <w:noProof/>
          </w:rPr>
          <w:t>Tabela 10 - Rotated Factor Matrix, 1º inquérito, PCA/varimax, variáveis endógenas</w:t>
        </w:r>
        <w:r w:rsidR="008061D8">
          <w:rPr>
            <w:noProof/>
            <w:webHidden/>
          </w:rPr>
          <w:tab/>
        </w:r>
        <w:r w:rsidR="008061D8">
          <w:rPr>
            <w:noProof/>
            <w:webHidden/>
          </w:rPr>
          <w:fldChar w:fldCharType="begin"/>
        </w:r>
        <w:r w:rsidR="008061D8">
          <w:rPr>
            <w:noProof/>
            <w:webHidden/>
          </w:rPr>
          <w:instrText xml:space="preserve"> PAGEREF _Toc396134133 \h </w:instrText>
        </w:r>
        <w:r w:rsidR="008061D8">
          <w:rPr>
            <w:noProof/>
            <w:webHidden/>
          </w:rPr>
        </w:r>
        <w:r w:rsidR="008061D8">
          <w:rPr>
            <w:noProof/>
            <w:webHidden/>
          </w:rPr>
          <w:fldChar w:fldCharType="separate"/>
        </w:r>
        <w:r w:rsidR="008D1B65">
          <w:rPr>
            <w:noProof/>
            <w:webHidden/>
          </w:rPr>
          <w:t>136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4" w:history="1">
        <w:r w:rsidR="008061D8" w:rsidRPr="00DB1E74">
          <w:rPr>
            <w:rStyle w:val="Hiperligao"/>
            <w:noProof/>
          </w:rPr>
          <w:t>Tabela 11 - KMO, 1º inquérito, PCA, variáveis exógenas</w:t>
        </w:r>
        <w:r w:rsidR="008061D8">
          <w:rPr>
            <w:noProof/>
            <w:webHidden/>
          </w:rPr>
          <w:tab/>
        </w:r>
        <w:r w:rsidR="008061D8">
          <w:rPr>
            <w:noProof/>
            <w:webHidden/>
          </w:rPr>
          <w:fldChar w:fldCharType="begin"/>
        </w:r>
        <w:r w:rsidR="008061D8">
          <w:rPr>
            <w:noProof/>
            <w:webHidden/>
          </w:rPr>
          <w:instrText xml:space="preserve"> PAGEREF _Toc396134134 \h </w:instrText>
        </w:r>
        <w:r w:rsidR="008061D8">
          <w:rPr>
            <w:noProof/>
            <w:webHidden/>
          </w:rPr>
        </w:r>
        <w:r w:rsidR="008061D8">
          <w:rPr>
            <w:noProof/>
            <w:webHidden/>
          </w:rPr>
          <w:fldChar w:fldCharType="separate"/>
        </w:r>
        <w:r w:rsidR="008D1B65">
          <w:rPr>
            <w:noProof/>
            <w:webHidden/>
          </w:rPr>
          <w:t>137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5" w:history="1">
        <w:r w:rsidR="008061D8" w:rsidRPr="00DB1E74">
          <w:rPr>
            <w:rStyle w:val="Hiperligao"/>
            <w:noProof/>
          </w:rPr>
          <w:t>Tabela 12 - Rotated Factor Matrix, 1º inquérito, PCA/varimax, variáveis exógenas</w:t>
        </w:r>
        <w:r w:rsidR="008061D8">
          <w:rPr>
            <w:noProof/>
            <w:webHidden/>
          </w:rPr>
          <w:tab/>
        </w:r>
        <w:r w:rsidR="008061D8">
          <w:rPr>
            <w:noProof/>
            <w:webHidden/>
          </w:rPr>
          <w:fldChar w:fldCharType="begin"/>
        </w:r>
        <w:r w:rsidR="008061D8">
          <w:rPr>
            <w:noProof/>
            <w:webHidden/>
          </w:rPr>
          <w:instrText xml:space="preserve"> PAGEREF _Toc396134135 \h </w:instrText>
        </w:r>
        <w:r w:rsidR="008061D8">
          <w:rPr>
            <w:noProof/>
            <w:webHidden/>
          </w:rPr>
        </w:r>
        <w:r w:rsidR="008061D8">
          <w:rPr>
            <w:noProof/>
            <w:webHidden/>
          </w:rPr>
          <w:fldChar w:fldCharType="separate"/>
        </w:r>
        <w:r w:rsidR="008D1B65">
          <w:rPr>
            <w:noProof/>
            <w:webHidden/>
          </w:rPr>
          <w:t>138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6" w:history="1">
        <w:r w:rsidR="008061D8" w:rsidRPr="00DB1E74">
          <w:rPr>
            <w:rStyle w:val="Hiperligao"/>
            <w:noProof/>
          </w:rPr>
          <w:t>Tabela 13 – Estatística descrita das variáveis latentes, 1º inquérito</w:t>
        </w:r>
        <w:r w:rsidR="008061D8">
          <w:rPr>
            <w:noProof/>
            <w:webHidden/>
          </w:rPr>
          <w:tab/>
        </w:r>
        <w:r w:rsidR="008061D8">
          <w:rPr>
            <w:noProof/>
            <w:webHidden/>
          </w:rPr>
          <w:fldChar w:fldCharType="begin"/>
        </w:r>
        <w:r w:rsidR="008061D8">
          <w:rPr>
            <w:noProof/>
            <w:webHidden/>
          </w:rPr>
          <w:instrText xml:space="preserve"> PAGEREF _Toc396134136 \h </w:instrText>
        </w:r>
        <w:r w:rsidR="008061D8">
          <w:rPr>
            <w:noProof/>
            <w:webHidden/>
          </w:rPr>
        </w:r>
        <w:r w:rsidR="008061D8">
          <w:rPr>
            <w:noProof/>
            <w:webHidden/>
          </w:rPr>
          <w:fldChar w:fldCharType="separate"/>
        </w:r>
        <w:r w:rsidR="008D1B65">
          <w:rPr>
            <w:noProof/>
            <w:webHidden/>
          </w:rPr>
          <w:t>140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7" w:history="1">
        <w:r w:rsidR="008061D8" w:rsidRPr="00DB1E74">
          <w:rPr>
            <w:rStyle w:val="Hiperligao"/>
            <w:noProof/>
          </w:rPr>
          <w:t>Tabela 14 – Regressão de Eficiência, 1º inquérito (OLS)</w:t>
        </w:r>
        <w:r w:rsidR="008061D8">
          <w:rPr>
            <w:noProof/>
            <w:webHidden/>
          </w:rPr>
          <w:tab/>
        </w:r>
        <w:r w:rsidR="008061D8">
          <w:rPr>
            <w:noProof/>
            <w:webHidden/>
          </w:rPr>
          <w:fldChar w:fldCharType="begin"/>
        </w:r>
        <w:r w:rsidR="008061D8">
          <w:rPr>
            <w:noProof/>
            <w:webHidden/>
          </w:rPr>
          <w:instrText xml:space="preserve"> PAGEREF _Toc396134137 \h </w:instrText>
        </w:r>
        <w:r w:rsidR="008061D8">
          <w:rPr>
            <w:noProof/>
            <w:webHidden/>
          </w:rPr>
        </w:r>
        <w:r w:rsidR="008061D8">
          <w:rPr>
            <w:noProof/>
            <w:webHidden/>
          </w:rPr>
          <w:fldChar w:fldCharType="separate"/>
        </w:r>
        <w:r w:rsidR="008D1B65">
          <w:rPr>
            <w:noProof/>
            <w:webHidden/>
          </w:rPr>
          <w:t>141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8" w:history="1">
        <w:r w:rsidR="008061D8" w:rsidRPr="00DB1E74">
          <w:rPr>
            <w:rStyle w:val="Hiperligao"/>
            <w:noProof/>
          </w:rPr>
          <w:t>Tabela 15 - Regressão de Satisfação do Cliente, 1º inquérito, robusta (OLS)</w:t>
        </w:r>
        <w:r w:rsidR="008061D8">
          <w:rPr>
            <w:noProof/>
            <w:webHidden/>
          </w:rPr>
          <w:tab/>
        </w:r>
        <w:r w:rsidR="008061D8">
          <w:rPr>
            <w:noProof/>
            <w:webHidden/>
          </w:rPr>
          <w:fldChar w:fldCharType="begin"/>
        </w:r>
        <w:r w:rsidR="008061D8">
          <w:rPr>
            <w:noProof/>
            <w:webHidden/>
          </w:rPr>
          <w:instrText xml:space="preserve"> PAGEREF _Toc396134138 \h </w:instrText>
        </w:r>
        <w:r w:rsidR="008061D8">
          <w:rPr>
            <w:noProof/>
            <w:webHidden/>
          </w:rPr>
        </w:r>
        <w:r w:rsidR="008061D8">
          <w:rPr>
            <w:noProof/>
            <w:webHidden/>
          </w:rPr>
          <w:fldChar w:fldCharType="separate"/>
        </w:r>
        <w:r w:rsidR="008D1B65">
          <w:rPr>
            <w:noProof/>
            <w:webHidden/>
          </w:rPr>
          <w:t>142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39" w:history="1">
        <w:r w:rsidR="008061D8" w:rsidRPr="00DB1E74">
          <w:rPr>
            <w:rStyle w:val="Hiperligao"/>
            <w:noProof/>
          </w:rPr>
          <w:t>Tabela 16 - Regressão de Atividade, 1º inquérito, robusta (OLS)</w:t>
        </w:r>
        <w:r w:rsidR="008061D8">
          <w:rPr>
            <w:noProof/>
            <w:webHidden/>
          </w:rPr>
          <w:tab/>
        </w:r>
        <w:r w:rsidR="008061D8">
          <w:rPr>
            <w:noProof/>
            <w:webHidden/>
          </w:rPr>
          <w:fldChar w:fldCharType="begin"/>
        </w:r>
        <w:r w:rsidR="008061D8">
          <w:rPr>
            <w:noProof/>
            <w:webHidden/>
          </w:rPr>
          <w:instrText xml:space="preserve"> PAGEREF _Toc396134139 \h </w:instrText>
        </w:r>
        <w:r w:rsidR="008061D8">
          <w:rPr>
            <w:noProof/>
            <w:webHidden/>
          </w:rPr>
        </w:r>
        <w:r w:rsidR="008061D8">
          <w:rPr>
            <w:noProof/>
            <w:webHidden/>
          </w:rPr>
          <w:fldChar w:fldCharType="separate"/>
        </w:r>
        <w:r w:rsidR="008D1B65">
          <w:rPr>
            <w:noProof/>
            <w:webHidden/>
          </w:rPr>
          <w:t>143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0" w:history="1">
        <w:r w:rsidR="008061D8" w:rsidRPr="00DB1E74">
          <w:rPr>
            <w:rStyle w:val="Hiperligao"/>
            <w:noProof/>
          </w:rPr>
          <w:t>Tabela 17 – Consistência das latentes, modelo de medida, 1º inquérito</w:t>
        </w:r>
        <w:r w:rsidR="008061D8">
          <w:rPr>
            <w:noProof/>
            <w:webHidden/>
          </w:rPr>
          <w:tab/>
        </w:r>
        <w:r w:rsidR="008061D8">
          <w:rPr>
            <w:noProof/>
            <w:webHidden/>
          </w:rPr>
          <w:fldChar w:fldCharType="begin"/>
        </w:r>
        <w:r w:rsidR="008061D8">
          <w:rPr>
            <w:noProof/>
            <w:webHidden/>
          </w:rPr>
          <w:instrText xml:space="preserve"> PAGEREF _Toc396134140 \h </w:instrText>
        </w:r>
        <w:r w:rsidR="008061D8">
          <w:rPr>
            <w:noProof/>
            <w:webHidden/>
          </w:rPr>
        </w:r>
        <w:r w:rsidR="008061D8">
          <w:rPr>
            <w:noProof/>
            <w:webHidden/>
          </w:rPr>
          <w:fldChar w:fldCharType="separate"/>
        </w:r>
        <w:r w:rsidR="008D1B65">
          <w:rPr>
            <w:noProof/>
            <w:webHidden/>
          </w:rPr>
          <w:t>147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1" w:history="1">
        <w:r w:rsidR="008061D8" w:rsidRPr="00DB1E74">
          <w:rPr>
            <w:rStyle w:val="Hiperligao"/>
            <w:noProof/>
          </w:rPr>
          <w:t>Tabela 18– Consistência das latentes, modelo de medida</w:t>
        </w:r>
        <w:r w:rsidR="008061D8">
          <w:rPr>
            <w:noProof/>
            <w:webHidden/>
          </w:rPr>
          <w:tab/>
        </w:r>
        <w:r w:rsidR="008061D8">
          <w:rPr>
            <w:noProof/>
            <w:webHidden/>
          </w:rPr>
          <w:fldChar w:fldCharType="begin"/>
        </w:r>
        <w:r w:rsidR="008061D8">
          <w:rPr>
            <w:noProof/>
            <w:webHidden/>
          </w:rPr>
          <w:instrText xml:space="preserve"> PAGEREF _Toc396134141 \h </w:instrText>
        </w:r>
        <w:r w:rsidR="008061D8">
          <w:rPr>
            <w:noProof/>
            <w:webHidden/>
          </w:rPr>
        </w:r>
        <w:r w:rsidR="008061D8">
          <w:rPr>
            <w:noProof/>
            <w:webHidden/>
          </w:rPr>
          <w:fldChar w:fldCharType="separate"/>
        </w:r>
        <w:r w:rsidR="008D1B65">
          <w:rPr>
            <w:noProof/>
            <w:webHidden/>
          </w:rPr>
          <w:t>154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2" w:history="1">
        <w:r w:rsidR="008061D8" w:rsidRPr="00DB1E74">
          <w:rPr>
            <w:rStyle w:val="Hiperligao"/>
            <w:noProof/>
          </w:rPr>
          <w:t>Tabela 19 – Variável endógena DEA, 2º inquérito, Portugal e Espanha</w:t>
        </w:r>
        <w:r w:rsidR="008061D8">
          <w:rPr>
            <w:noProof/>
            <w:webHidden/>
          </w:rPr>
          <w:tab/>
        </w:r>
        <w:r w:rsidR="008061D8">
          <w:rPr>
            <w:noProof/>
            <w:webHidden/>
          </w:rPr>
          <w:fldChar w:fldCharType="begin"/>
        </w:r>
        <w:r w:rsidR="008061D8">
          <w:rPr>
            <w:noProof/>
            <w:webHidden/>
          </w:rPr>
          <w:instrText xml:space="preserve"> PAGEREF _Toc396134142 \h </w:instrText>
        </w:r>
        <w:r w:rsidR="008061D8">
          <w:rPr>
            <w:noProof/>
            <w:webHidden/>
          </w:rPr>
        </w:r>
        <w:r w:rsidR="008061D8">
          <w:rPr>
            <w:noProof/>
            <w:webHidden/>
          </w:rPr>
          <w:fldChar w:fldCharType="separate"/>
        </w:r>
        <w:r w:rsidR="008D1B65">
          <w:rPr>
            <w:noProof/>
            <w:webHidden/>
          </w:rPr>
          <w:t>158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3" w:history="1">
        <w:r w:rsidR="008061D8" w:rsidRPr="00DB1E74">
          <w:rPr>
            <w:rStyle w:val="Hiperligao"/>
            <w:noProof/>
          </w:rPr>
          <w:t>Tabela 20 – Estatística Descritiva, 2º inquérito, Portugal e Espanha</w:t>
        </w:r>
        <w:r w:rsidR="008061D8">
          <w:rPr>
            <w:noProof/>
            <w:webHidden/>
          </w:rPr>
          <w:tab/>
        </w:r>
        <w:r w:rsidR="008061D8">
          <w:rPr>
            <w:noProof/>
            <w:webHidden/>
          </w:rPr>
          <w:fldChar w:fldCharType="begin"/>
        </w:r>
        <w:r w:rsidR="008061D8">
          <w:rPr>
            <w:noProof/>
            <w:webHidden/>
          </w:rPr>
          <w:instrText xml:space="preserve"> PAGEREF _Toc396134143 \h </w:instrText>
        </w:r>
        <w:r w:rsidR="008061D8">
          <w:rPr>
            <w:noProof/>
            <w:webHidden/>
          </w:rPr>
        </w:r>
        <w:r w:rsidR="008061D8">
          <w:rPr>
            <w:noProof/>
            <w:webHidden/>
          </w:rPr>
          <w:fldChar w:fldCharType="separate"/>
        </w:r>
        <w:r w:rsidR="008D1B65">
          <w:rPr>
            <w:noProof/>
            <w:webHidden/>
          </w:rPr>
          <w:t>161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4" w:history="1">
        <w:r w:rsidR="008061D8" w:rsidRPr="00DB1E74">
          <w:rPr>
            <w:rStyle w:val="Hiperligao"/>
            <w:noProof/>
          </w:rPr>
          <w:t>Tabela 21 – KMO, 2º inquérito, Portugal e Espanha, PCA, variáveis endógenas</w:t>
        </w:r>
        <w:r w:rsidR="008061D8">
          <w:rPr>
            <w:noProof/>
            <w:webHidden/>
          </w:rPr>
          <w:tab/>
        </w:r>
        <w:r w:rsidR="008061D8">
          <w:rPr>
            <w:noProof/>
            <w:webHidden/>
          </w:rPr>
          <w:fldChar w:fldCharType="begin"/>
        </w:r>
        <w:r w:rsidR="008061D8">
          <w:rPr>
            <w:noProof/>
            <w:webHidden/>
          </w:rPr>
          <w:instrText xml:space="preserve"> PAGEREF _Toc396134144 \h </w:instrText>
        </w:r>
        <w:r w:rsidR="008061D8">
          <w:rPr>
            <w:noProof/>
            <w:webHidden/>
          </w:rPr>
        </w:r>
        <w:r w:rsidR="008061D8">
          <w:rPr>
            <w:noProof/>
            <w:webHidden/>
          </w:rPr>
          <w:fldChar w:fldCharType="separate"/>
        </w:r>
        <w:r w:rsidR="008D1B65">
          <w:rPr>
            <w:noProof/>
            <w:webHidden/>
          </w:rPr>
          <w:t>162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5" w:history="1">
        <w:r w:rsidR="008061D8" w:rsidRPr="00DB1E74">
          <w:rPr>
            <w:rStyle w:val="Hiperligao"/>
            <w:noProof/>
          </w:rPr>
          <w:t>Tabela 22 - Rotated factor Matrix, 2º inq., PT e ES, PCA/Varimax, variáveis endógenas</w:t>
        </w:r>
        <w:r w:rsidR="008061D8">
          <w:rPr>
            <w:noProof/>
            <w:webHidden/>
          </w:rPr>
          <w:tab/>
        </w:r>
        <w:r w:rsidR="008061D8">
          <w:rPr>
            <w:noProof/>
            <w:webHidden/>
          </w:rPr>
          <w:fldChar w:fldCharType="begin"/>
        </w:r>
        <w:r w:rsidR="008061D8">
          <w:rPr>
            <w:noProof/>
            <w:webHidden/>
          </w:rPr>
          <w:instrText xml:space="preserve"> PAGEREF _Toc396134145 \h </w:instrText>
        </w:r>
        <w:r w:rsidR="008061D8">
          <w:rPr>
            <w:noProof/>
            <w:webHidden/>
          </w:rPr>
        </w:r>
        <w:r w:rsidR="008061D8">
          <w:rPr>
            <w:noProof/>
            <w:webHidden/>
          </w:rPr>
          <w:fldChar w:fldCharType="separate"/>
        </w:r>
        <w:r w:rsidR="008D1B65">
          <w:rPr>
            <w:noProof/>
            <w:webHidden/>
          </w:rPr>
          <w:t>163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6" w:history="1">
        <w:r w:rsidR="008061D8" w:rsidRPr="00DB1E74">
          <w:rPr>
            <w:rStyle w:val="Hiperligao"/>
            <w:noProof/>
          </w:rPr>
          <w:t>Tabela 23 - KMO, 2º inquérito, Portugal e Espanha, PCA, variáveis exógenas</w:t>
        </w:r>
        <w:r w:rsidR="008061D8">
          <w:rPr>
            <w:noProof/>
            <w:webHidden/>
          </w:rPr>
          <w:tab/>
        </w:r>
        <w:r w:rsidR="008061D8">
          <w:rPr>
            <w:noProof/>
            <w:webHidden/>
          </w:rPr>
          <w:fldChar w:fldCharType="begin"/>
        </w:r>
        <w:r w:rsidR="008061D8">
          <w:rPr>
            <w:noProof/>
            <w:webHidden/>
          </w:rPr>
          <w:instrText xml:space="preserve"> PAGEREF _Toc396134146 \h </w:instrText>
        </w:r>
        <w:r w:rsidR="008061D8">
          <w:rPr>
            <w:noProof/>
            <w:webHidden/>
          </w:rPr>
        </w:r>
        <w:r w:rsidR="008061D8">
          <w:rPr>
            <w:noProof/>
            <w:webHidden/>
          </w:rPr>
          <w:fldChar w:fldCharType="separate"/>
        </w:r>
        <w:r w:rsidR="008D1B65">
          <w:rPr>
            <w:noProof/>
            <w:webHidden/>
          </w:rPr>
          <w:t>163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7" w:history="1">
        <w:r w:rsidR="008061D8" w:rsidRPr="00DB1E74">
          <w:rPr>
            <w:rStyle w:val="Hiperligao"/>
            <w:noProof/>
          </w:rPr>
          <w:t>Tabela 24 - Rotated Factor Matrix, 2º inq., PT e ES, PCA/varimax, variáveis exógenas</w:t>
        </w:r>
        <w:r w:rsidR="008061D8">
          <w:rPr>
            <w:noProof/>
            <w:webHidden/>
          </w:rPr>
          <w:tab/>
        </w:r>
        <w:r w:rsidR="008061D8">
          <w:rPr>
            <w:noProof/>
            <w:webHidden/>
          </w:rPr>
          <w:fldChar w:fldCharType="begin"/>
        </w:r>
        <w:r w:rsidR="008061D8">
          <w:rPr>
            <w:noProof/>
            <w:webHidden/>
          </w:rPr>
          <w:instrText xml:space="preserve"> PAGEREF _Toc396134147 \h </w:instrText>
        </w:r>
        <w:r w:rsidR="008061D8">
          <w:rPr>
            <w:noProof/>
            <w:webHidden/>
          </w:rPr>
        </w:r>
        <w:r w:rsidR="008061D8">
          <w:rPr>
            <w:noProof/>
            <w:webHidden/>
          </w:rPr>
          <w:fldChar w:fldCharType="separate"/>
        </w:r>
        <w:r w:rsidR="008D1B65">
          <w:rPr>
            <w:noProof/>
            <w:webHidden/>
          </w:rPr>
          <w:t>165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8" w:history="1">
        <w:r w:rsidR="008061D8" w:rsidRPr="00DB1E74">
          <w:rPr>
            <w:rStyle w:val="Hiperligao"/>
            <w:noProof/>
          </w:rPr>
          <w:t>Tabela 25 – Estatística descrita, 2º inquérito, Portugal e Espanha (OLS)</w:t>
        </w:r>
        <w:r w:rsidR="008061D8">
          <w:rPr>
            <w:noProof/>
            <w:webHidden/>
          </w:rPr>
          <w:tab/>
        </w:r>
        <w:r w:rsidR="008061D8">
          <w:rPr>
            <w:noProof/>
            <w:webHidden/>
          </w:rPr>
          <w:fldChar w:fldCharType="begin"/>
        </w:r>
        <w:r w:rsidR="008061D8">
          <w:rPr>
            <w:noProof/>
            <w:webHidden/>
          </w:rPr>
          <w:instrText xml:space="preserve"> PAGEREF _Toc396134148 \h </w:instrText>
        </w:r>
        <w:r w:rsidR="008061D8">
          <w:rPr>
            <w:noProof/>
            <w:webHidden/>
          </w:rPr>
        </w:r>
        <w:r w:rsidR="008061D8">
          <w:rPr>
            <w:noProof/>
            <w:webHidden/>
          </w:rPr>
          <w:fldChar w:fldCharType="separate"/>
        </w:r>
        <w:r w:rsidR="008D1B65">
          <w:rPr>
            <w:noProof/>
            <w:webHidden/>
          </w:rPr>
          <w:t>167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49" w:history="1">
        <w:r w:rsidR="008061D8" w:rsidRPr="00DB1E74">
          <w:rPr>
            <w:rStyle w:val="Hiperligao"/>
            <w:noProof/>
          </w:rPr>
          <w:t>Tabela 26 – Regressão satisfação do cliente, 2º inquérito, Portugal e Espanha(OLS)</w:t>
        </w:r>
        <w:r w:rsidR="008061D8">
          <w:rPr>
            <w:noProof/>
            <w:webHidden/>
          </w:rPr>
          <w:tab/>
        </w:r>
        <w:r w:rsidR="008061D8">
          <w:rPr>
            <w:noProof/>
            <w:webHidden/>
          </w:rPr>
          <w:fldChar w:fldCharType="begin"/>
        </w:r>
        <w:r w:rsidR="008061D8">
          <w:rPr>
            <w:noProof/>
            <w:webHidden/>
          </w:rPr>
          <w:instrText xml:space="preserve"> PAGEREF _Toc396134149 \h </w:instrText>
        </w:r>
        <w:r w:rsidR="008061D8">
          <w:rPr>
            <w:noProof/>
            <w:webHidden/>
          </w:rPr>
        </w:r>
        <w:r w:rsidR="008061D8">
          <w:rPr>
            <w:noProof/>
            <w:webHidden/>
          </w:rPr>
          <w:fldChar w:fldCharType="separate"/>
        </w:r>
        <w:r w:rsidR="008D1B65">
          <w:rPr>
            <w:noProof/>
            <w:webHidden/>
          </w:rPr>
          <w:t>168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0" w:history="1">
        <w:r w:rsidR="008061D8" w:rsidRPr="00DB1E74">
          <w:rPr>
            <w:rStyle w:val="Hiperligao"/>
            <w:noProof/>
          </w:rPr>
          <w:t>Tabela 27 - Regressão de satisfação do cliente, 2º inq., PT e ES, com potencias(OLS)</w:t>
        </w:r>
        <w:r w:rsidR="008061D8">
          <w:rPr>
            <w:noProof/>
            <w:webHidden/>
          </w:rPr>
          <w:tab/>
        </w:r>
        <w:r w:rsidR="008061D8">
          <w:rPr>
            <w:noProof/>
            <w:webHidden/>
          </w:rPr>
          <w:fldChar w:fldCharType="begin"/>
        </w:r>
        <w:r w:rsidR="008061D8">
          <w:rPr>
            <w:noProof/>
            <w:webHidden/>
          </w:rPr>
          <w:instrText xml:space="preserve"> PAGEREF _Toc396134150 \h </w:instrText>
        </w:r>
        <w:r w:rsidR="008061D8">
          <w:rPr>
            <w:noProof/>
            <w:webHidden/>
          </w:rPr>
        </w:r>
        <w:r w:rsidR="008061D8">
          <w:rPr>
            <w:noProof/>
            <w:webHidden/>
          </w:rPr>
          <w:fldChar w:fldCharType="separate"/>
        </w:r>
        <w:r w:rsidR="008D1B65">
          <w:rPr>
            <w:noProof/>
            <w:webHidden/>
          </w:rPr>
          <w:t>169</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1" w:history="1">
        <w:r w:rsidR="008061D8" w:rsidRPr="00DB1E74">
          <w:rPr>
            <w:rStyle w:val="Hiperligao"/>
            <w:noProof/>
          </w:rPr>
          <w:t>Tabela 28 – Regressão de atividade, 2º inquérito, Portugal e Espanha robusta (OLS)</w:t>
        </w:r>
        <w:r w:rsidR="008061D8">
          <w:rPr>
            <w:noProof/>
            <w:webHidden/>
          </w:rPr>
          <w:tab/>
        </w:r>
        <w:r w:rsidR="008061D8">
          <w:rPr>
            <w:noProof/>
            <w:webHidden/>
          </w:rPr>
          <w:fldChar w:fldCharType="begin"/>
        </w:r>
        <w:r w:rsidR="008061D8">
          <w:rPr>
            <w:noProof/>
            <w:webHidden/>
          </w:rPr>
          <w:instrText xml:space="preserve"> PAGEREF _Toc396134151 \h </w:instrText>
        </w:r>
        <w:r w:rsidR="008061D8">
          <w:rPr>
            <w:noProof/>
            <w:webHidden/>
          </w:rPr>
        </w:r>
        <w:r w:rsidR="008061D8">
          <w:rPr>
            <w:noProof/>
            <w:webHidden/>
          </w:rPr>
          <w:fldChar w:fldCharType="separate"/>
        </w:r>
        <w:r w:rsidR="008D1B65">
          <w:rPr>
            <w:noProof/>
            <w:webHidden/>
          </w:rPr>
          <w:t>170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2" w:history="1">
        <w:r w:rsidR="008061D8" w:rsidRPr="00DB1E74">
          <w:rPr>
            <w:rStyle w:val="Hiperligao"/>
            <w:noProof/>
          </w:rPr>
          <w:t>Tabela 29 – AVE e correlação entre latentes, modelo de medida, 2º inq., PT e ES</w:t>
        </w:r>
        <w:r w:rsidR="008061D8">
          <w:rPr>
            <w:noProof/>
            <w:webHidden/>
          </w:rPr>
          <w:tab/>
        </w:r>
        <w:r w:rsidR="008061D8">
          <w:rPr>
            <w:noProof/>
            <w:webHidden/>
          </w:rPr>
          <w:fldChar w:fldCharType="begin"/>
        </w:r>
        <w:r w:rsidR="008061D8">
          <w:rPr>
            <w:noProof/>
            <w:webHidden/>
          </w:rPr>
          <w:instrText xml:space="preserve"> PAGEREF _Toc396134152 \h </w:instrText>
        </w:r>
        <w:r w:rsidR="008061D8">
          <w:rPr>
            <w:noProof/>
            <w:webHidden/>
          </w:rPr>
        </w:r>
        <w:r w:rsidR="008061D8">
          <w:rPr>
            <w:noProof/>
            <w:webHidden/>
          </w:rPr>
          <w:fldChar w:fldCharType="separate"/>
        </w:r>
        <w:r w:rsidR="008D1B65">
          <w:rPr>
            <w:noProof/>
            <w:webHidden/>
          </w:rPr>
          <w:t>174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3" w:history="1">
        <w:r w:rsidR="008061D8" w:rsidRPr="00DB1E74">
          <w:rPr>
            <w:rStyle w:val="Hiperligao"/>
            <w:noProof/>
          </w:rPr>
          <w:t>Tabela 30 – Variável endógena DEA, 2º inquérito, Europa</w:t>
        </w:r>
        <w:r w:rsidR="008061D8">
          <w:rPr>
            <w:noProof/>
            <w:webHidden/>
          </w:rPr>
          <w:tab/>
        </w:r>
        <w:r w:rsidR="008061D8">
          <w:rPr>
            <w:noProof/>
            <w:webHidden/>
          </w:rPr>
          <w:fldChar w:fldCharType="begin"/>
        </w:r>
        <w:r w:rsidR="008061D8">
          <w:rPr>
            <w:noProof/>
            <w:webHidden/>
          </w:rPr>
          <w:instrText xml:space="preserve"> PAGEREF _Toc396134153 \h </w:instrText>
        </w:r>
        <w:r w:rsidR="008061D8">
          <w:rPr>
            <w:noProof/>
            <w:webHidden/>
          </w:rPr>
        </w:r>
        <w:r w:rsidR="008061D8">
          <w:rPr>
            <w:noProof/>
            <w:webHidden/>
          </w:rPr>
          <w:fldChar w:fldCharType="separate"/>
        </w:r>
        <w:r w:rsidR="008D1B65">
          <w:rPr>
            <w:noProof/>
            <w:webHidden/>
          </w:rPr>
          <w:t>180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4" w:history="1">
        <w:r w:rsidR="008061D8" w:rsidRPr="00DB1E74">
          <w:rPr>
            <w:rStyle w:val="Hiperligao"/>
            <w:noProof/>
          </w:rPr>
          <w:t>Tabela 31 - Estatística Descritiva, 2º inquérito, Europa</w:t>
        </w:r>
        <w:r w:rsidR="008061D8">
          <w:rPr>
            <w:noProof/>
            <w:webHidden/>
          </w:rPr>
          <w:tab/>
        </w:r>
        <w:r w:rsidR="008061D8">
          <w:rPr>
            <w:noProof/>
            <w:webHidden/>
          </w:rPr>
          <w:fldChar w:fldCharType="begin"/>
        </w:r>
        <w:r w:rsidR="008061D8">
          <w:rPr>
            <w:noProof/>
            <w:webHidden/>
          </w:rPr>
          <w:instrText xml:space="preserve"> PAGEREF _Toc396134154 \h </w:instrText>
        </w:r>
        <w:r w:rsidR="008061D8">
          <w:rPr>
            <w:noProof/>
            <w:webHidden/>
          </w:rPr>
        </w:r>
        <w:r w:rsidR="008061D8">
          <w:rPr>
            <w:noProof/>
            <w:webHidden/>
          </w:rPr>
          <w:fldChar w:fldCharType="separate"/>
        </w:r>
        <w:r w:rsidR="008D1B65">
          <w:rPr>
            <w:noProof/>
            <w:webHidden/>
          </w:rPr>
          <w:t>183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5" w:history="1">
        <w:r w:rsidR="008061D8" w:rsidRPr="00DB1E74">
          <w:rPr>
            <w:rStyle w:val="Hiperligao"/>
            <w:noProof/>
          </w:rPr>
          <w:t>Tabela 32 – KMO, 2º inquérito, Europa, PCA, variáveis endógenas</w:t>
        </w:r>
        <w:r w:rsidR="008061D8">
          <w:rPr>
            <w:noProof/>
            <w:webHidden/>
          </w:rPr>
          <w:tab/>
        </w:r>
        <w:r w:rsidR="008061D8">
          <w:rPr>
            <w:noProof/>
            <w:webHidden/>
          </w:rPr>
          <w:fldChar w:fldCharType="begin"/>
        </w:r>
        <w:r w:rsidR="008061D8">
          <w:rPr>
            <w:noProof/>
            <w:webHidden/>
          </w:rPr>
          <w:instrText xml:space="preserve"> PAGEREF _Toc396134155 \h </w:instrText>
        </w:r>
        <w:r w:rsidR="008061D8">
          <w:rPr>
            <w:noProof/>
            <w:webHidden/>
          </w:rPr>
        </w:r>
        <w:r w:rsidR="008061D8">
          <w:rPr>
            <w:noProof/>
            <w:webHidden/>
          </w:rPr>
          <w:fldChar w:fldCharType="separate"/>
        </w:r>
        <w:r w:rsidR="008D1B65">
          <w:rPr>
            <w:noProof/>
            <w:webHidden/>
          </w:rPr>
          <w:t>184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6" w:history="1">
        <w:r w:rsidR="008061D8" w:rsidRPr="00DB1E74">
          <w:rPr>
            <w:rStyle w:val="Hiperligao"/>
            <w:noProof/>
          </w:rPr>
          <w:t>Tabela 33 - Rotated Factor Matrix, 2º inquérito, Europa, PCA/varimax, var. endógenas</w:t>
        </w:r>
        <w:r w:rsidR="008061D8">
          <w:rPr>
            <w:noProof/>
            <w:webHidden/>
          </w:rPr>
          <w:tab/>
        </w:r>
        <w:r w:rsidR="008061D8">
          <w:rPr>
            <w:noProof/>
            <w:webHidden/>
          </w:rPr>
          <w:fldChar w:fldCharType="begin"/>
        </w:r>
        <w:r w:rsidR="008061D8">
          <w:rPr>
            <w:noProof/>
            <w:webHidden/>
          </w:rPr>
          <w:instrText xml:space="preserve"> PAGEREF _Toc396134156 \h </w:instrText>
        </w:r>
        <w:r w:rsidR="008061D8">
          <w:rPr>
            <w:noProof/>
            <w:webHidden/>
          </w:rPr>
        </w:r>
        <w:r w:rsidR="008061D8">
          <w:rPr>
            <w:noProof/>
            <w:webHidden/>
          </w:rPr>
          <w:fldChar w:fldCharType="separate"/>
        </w:r>
        <w:r w:rsidR="008D1B65">
          <w:rPr>
            <w:noProof/>
            <w:webHidden/>
          </w:rPr>
          <w:t>185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7" w:history="1">
        <w:r w:rsidR="008061D8" w:rsidRPr="00DB1E74">
          <w:rPr>
            <w:rStyle w:val="Hiperligao"/>
            <w:noProof/>
          </w:rPr>
          <w:t>Tabela 34 - KMO, 2º inquérito, Europa, PCA, variáveis exógenas</w:t>
        </w:r>
        <w:r w:rsidR="008061D8">
          <w:rPr>
            <w:noProof/>
            <w:webHidden/>
          </w:rPr>
          <w:tab/>
        </w:r>
        <w:r w:rsidR="008061D8">
          <w:rPr>
            <w:noProof/>
            <w:webHidden/>
          </w:rPr>
          <w:fldChar w:fldCharType="begin"/>
        </w:r>
        <w:r w:rsidR="008061D8">
          <w:rPr>
            <w:noProof/>
            <w:webHidden/>
          </w:rPr>
          <w:instrText xml:space="preserve"> PAGEREF _Toc396134157 \h </w:instrText>
        </w:r>
        <w:r w:rsidR="008061D8">
          <w:rPr>
            <w:noProof/>
            <w:webHidden/>
          </w:rPr>
        </w:r>
        <w:r w:rsidR="008061D8">
          <w:rPr>
            <w:noProof/>
            <w:webHidden/>
          </w:rPr>
          <w:fldChar w:fldCharType="separate"/>
        </w:r>
        <w:r w:rsidR="008D1B65">
          <w:rPr>
            <w:noProof/>
            <w:webHidden/>
          </w:rPr>
          <w:t>185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8" w:history="1">
        <w:r w:rsidR="008061D8" w:rsidRPr="00DB1E74">
          <w:rPr>
            <w:rStyle w:val="Hiperligao"/>
            <w:noProof/>
          </w:rPr>
          <w:t>Tabela 35 - Rotated Factor Matrix, 2º inq., Europa, PCA/varimax, variáveis exógenas</w:t>
        </w:r>
        <w:r w:rsidR="008061D8">
          <w:rPr>
            <w:noProof/>
            <w:webHidden/>
          </w:rPr>
          <w:tab/>
        </w:r>
        <w:r w:rsidR="008061D8">
          <w:rPr>
            <w:noProof/>
            <w:webHidden/>
          </w:rPr>
          <w:fldChar w:fldCharType="begin"/>
        </w:r>
        <w:r w:rsidR="008061D8">
          <w:rPr>
            <w:noProof/>
            <w:webHidden/>
          </w:rPr>
          <w:instrText xml:space="preserve"> PAGEREF _Toc396134158 \h </w:instrText>
        </w:r>
        <w:r w:rsidR="008061D8">
          <w:rPr>
            <w:noProof/>
            <w:webHidden/>
          </w:rPr>
        </w:r>
        <w:r w:rsidR="008061D8">
          <w:rPr>
            <w:noProof/>
            <w:webHidden/>
          </w:rPr>
          <w:fldChar w:fldCharType="separate"/>
        </w:r>
        <w:r w:rsidR="008D1B65">
          <w:rPr>
            <w:noProof/>
            <w:webHidden/>
          </w:rPr>
          <w:t>187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59" w:history="1">
        <w:r w:rsidR="008061D8" w:rsidRPr="00DB1E74">
          <w:rPr>
            <w:rStyle w:val="Hiperligao"/>
            <w:noProof/>
          </w:rPr>
          <w:t>Tabela 36 – Estatística descrita das variáveis latentes, 2º inquérito, Europa</w:t>
        </w:r>
        <w:r w:rsidR="008061D8">
          <w:rPr>
            <w:noProof/>
            <w:webHidden/>
          </w:rPr>
          <w:tab/>
        </w:r>
        <w:r w:rsidR="008061D8">
          <w:rPr>
            <w:noProof/>
            <w:webHidden/>
          </w:rPr>
          <w:fldChar w:fldCharType="begin"/>
        </w:r>
        <w:r w:rsidR="008061D8">
          <w:rPr>
            <w:noProof/>
            <w:webHidden/>
          </w:rPr>
          <w:instrText xml:space="preserve"> PAGEREF _Toc396134159 \h </w:instrText>
        </w:r>
        <w:r w:rsidR="008061D8">
          <w:rPr>
            <w:noProof/>
            <w:webHidden/>
          </w:rPr>
        </w:r>
        <w:r w:rsidR="008061D8">
          <w:rPr>
            <w:noProof/>
            <w:webHidden/>
          </w:rPr>
          <w:fldChar w:fldCharType="separate"/>
        </w:r>
        <w:r w:rsidR="008D1B65">
          <w:rPr>
            <w:noProof/>
            <w:webHidden/>
          </w:rPr>
          <w:t>188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0" w:history="1">
        <w:r w:rsidR="008061D8" w:rsidRPr="00DB1E74">
          <w:rPr>
            <w:rStyle w:val="Hiperligao"/>
            <w:noProof/>
          </w:rPr>
          <w:t>Tabela 37 – Regressão de satisfação do cliente, 2º inquérito, Europa</w:t>
        </w:r>
        <w:r w:rsidR="008061D8">
          <w:rPr>
            <w:noProof/>
            <w:webHidden/>
          </w:rPr>
          <w:tab/>
        </w:r>
        <w:r w:rsidR="008061D8">
          <w:rPr>
            <w:noProof/>
            <w:webHidden/>
          </w:rPr>
          <w:fldChar w:fldCharType="begin"/>
        </w:r>
        <w:r w:rsidR="008061D8">
          <w:rPr>
            <w:noProof/>
            <w:webHidden/>
          </w:rPr>
          <w:instrText xml:space="preserve"> PAGEREF _Toc396134160 \h </w:instrText>
        </w:r>
        <w:r w:rsidR="008061D8">
          <w:rPr>
            <w:noProof/>
            <w:webHidden/>
          </w:rPr>
        </w:r>
        <w:r w:rsidR="008061D8">
          <w:rPr>
            <w:noProof/>
            <w:webHidden/>
          </w:rPr>
          <w:fldChar w:fldCharType="separate"/>
        </w:r>
        <w:r w:rsidR="008D1B65">
          <w:rPr>
            <w:noProof/>
            <w:webHidden/>
          </w:rPr>
          <w:t>190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1" w:history="1">
        <w:r w:rsidR="008061D8" w:rsidRPr="00DB1E74">
          <w:rPr>
            <w:rStyle w:val="Hiperligao"/>
            <w:noProof/>
          </w:rPr>
          <w:t>Tabela 38 – Regressão de atividade, 2º inquérito, Europa</w:t>
        </w:r>
        <w:r w:rsidR="008061D8">
          <w:rPr>
            <w:noProof/>
            <w:webHidden/>
          </w:rPr>
          <w:tab/>
        </w:r>
        <w:r w:rsidR="008061D8">
          <w:rPr>
            <w:noProof/>
            <w:webHidden/>
          </w:rPr>
          <w:fldChar w:fldCharType="begin"/>
        </w:r>
        <w:r w:rsidR="008061D8">
          <w:rPr>
            <w:noProof/>
            <w:webHidden/>
          </w:rPr>
          <w:instrText xml:space="preserve"> PAGEREF _Toc396134161 \h </w:instrText>
        </w:r>
        <w:r w:rsidR="008061D8">
          <w:rPr>
            <w:noProof/>
            <w:webHidden/>
          </w:rPr>
        </w:r>
        <w:r w:rsidR="008061D8">
          <w:rPr>
            <w:noProof/>
            <w:webHidden/>
          </w:rPr>
          <w:fldChar w:fldCharType="separate"/>
        </w:r>
        <w:r w:rsidR="008D1B65">
          <w:rPr>
            <w:noProof/>
            <w:webHidden/>
          </w:rPr>
          <w:t>191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2" w:history="1">
        <w:r w:rsidR="008061D8" w:rsidRPr="00DB1E74">
          <w:rPr>
            <w:rStyle w:val="Hiperligao"/>
            <w:noProof/>
          </w:rPr>
          <w:t>Tabela 39 – Resultados para o constructo eficiência</w:t>
        </w:r>
        <w:r w:rsidR="008061D8">
          <w:rPr>
            <w:noProof/>
            <w:webHidden/>
          </w:rPr>
          <w:tab/>
        </w:r>
        <w:r w:rsidR="008061D8">
          <w:rPr>
            <w:noProof/>
            <w:webHidden/>
          </w:rPr>
          <w:fldChar w:fldCharType="begin"/>
        </w:r>
        <w:r w:rsidR="008061D8">
          <w:rPr>
            <w:noProof/>
            <w:webHidden/>
          </w:rPr>
          <w:instrText xml:space="preserve"> PAGEREF _Toc396134162 \h </w:instrText>
        </w:r>
        <w:r w:rsidR="008061D8">
          <w:rPr>
            <w:noProof/>
            <w:webHidden/>
          </w:rPr>
        </w:r>
        <w:r w:rsidR="008061D8">
          <w:rPr>
            <w:noProof/>
            <w:webHidden/>
          </w:rPr>
          <w:fldChar w:fldCharType="separate"/>
        </w:r>
        <w:r w:rsidR="008D1B65">
          <w:rPr>
            <w:noProof/>
            <w:webHidden/>
          </w:rPr>
          <w:t>206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3" w:history="1">
        <w:r w:rsidR="008061D8" w:rsidRPr="00DB1E74">
          <w:rPr>
            <w:rStyle w:val="Hiperligao"/>
            <w:noProof/>
          </w:rPr>
          <w:t>Tabela 40 – Resultados para o constructo satisfação do cliente</w:t>
        </w:r>
        <w:r w:rsidR="008061D8">
          <w:rPr>
            <w:noProof/>
            <w:webHidden/>
          </w:rPr>
          <w:tab/>
        </w:r>
        <w:r w:rsidR="008061D8">
          <w:rPr>
            <w:noProof/>
            <w:webHidden/>
          </w:rPr>
          <w:fldChar w:fldCharType="begin"/>
        </w:r>
        <w:r w:rsidR="008061D8">
          <w:rPr>
            <w:noProof/>
            <w:webHidden/>
          </w:rPr>
          <w:instrText xml:space="preserve"> PAGEREF _Toc396134163 \h </w:instrText>
        </w:r>
        <w:r w:rsidR="008061D8">
          <w:rPr>
            <w:noProof/>
            <w:webHidden/>
          </w:rPr>
        </w:r>
        <w:r w:rsidR="008061D8">
          <w:rPr>
            <w:noProof/>
            <w:webHidden/>
          </w:rPr>
          <w:fldChar w:fldCharType="separate"/>
        </w:r>
        <w:r w:rsidR="008D1B65">
          <w:rPr>
            <w:noProof/>
            <w:webHidden/>
          </w:rPr>
          <w:t>208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4" w:history="1">
        <w:r w:rsidR="008061D8" w:rsidRPr="00DB1E74">
          <w:rPr>
            <w:rStyle w:val="Hiperligao"/>
            <w:noProof/>
          </w:rPr>
          <w:t>Tabela 41 – Resultados para o constructo atividade</w:t>
        </w:r>
        <w:r w:rsidR="008061D8">
          <w:rPr>
            <w:noProof/>
            <w:webHidden/>
          </w:rPr>
          <w:tab/>
        </w:r>
        <w:r w:rsidR="008061D8">
          <w:rPr>
            <w:noProof/>
            <w:webHidden/>
          </w:rPr>
          <w:fldChar w:fldCharType="begin"/>
        </w:r>
        <w:r w:rsidR="008061D8">
          <w:rPr>
            <w:noProof/>
            <w:webHidden/>
          </w:rPr>
          <w:instrText xml:space="preserve"> PAGEREF _Toc396134164 \h </w:instrText>
        </w:r>
        <w:r w:rsidR="008061D8">
          <w:rPr>
            <w:noProof/>
            <w:webHidden/>
          </w:rPr>
        </w:r>
        <w:r w:rsidR="008061D8">
          <w:rPr>
            <w:noProof/>
            <w:webHidden/>
          </w:rPr>
          <w:fldChar w:fldCharType="separate"/>
        </w:r>
        <w:r w:rsidR="008D1B65">
          <w:rPr>
            <w:noProof/>
            <w:webHidden/>
          </w:rPr>
          <w:t>209</w:t>
        </w:r>
        <w:r w:rsidR="008061D8">
          <w:rPr>
            <w:noProof/>
            <w:webHidden/>
          </w:rPr>
          <w:fldChar w:fldCharType="end"/>
        </w:r>
      </w:hyperlink>
    </w:p>
    <w:p w:rsidR="00252026" w:rsidRPr="004D55DA" w:rsidRDefault="00252026" w:rsidP="00252026">
      <w:r w:rsidRPr="004D55DA">
        <w:fldChar w:fldCharType="end"/>
      </w:r>
      <w:r w:rsidRPr="004D55DA">
        <w:br w:type="page"/>
      </w:r>
    </w:p>
    <w:p w:rsidR="00104A12" w:rsidRPr="004D55DA" w:rsidRDefault="00104A12" w:rsidP="007F7964">
      <w:pPr>
        <w:spacing w:line="360" w:lineRule="auto"/>
        <w:jc w:val="both"/>
      </w:pPr>
    </w:p>
    <w:p w:rsidR="00252026" w:rsidRPr="004D55DA" w:rsidRDefault="00252026" w:rsidP="00252026">
      <w:pPr>
        <w:spacing w:line="360" w:lineRule="auto"/>
        <w:jc w:val="both"/>
        <w:rPr>
          <w:b/>
        </w:rPr>
      </w:pPr>
      <w:r w:rsidRPr="004D55DA">
        <w:rPr>
          <w:b/>
        </w:rPr>
        <w:t>Índice de Figuras</w:t>
      </w:r>
    </w:p>
    <w:p w:rsidR="00252026" w:rsidRPr="004D55DA" w:rsidRDefault="00252026" w:rsidP="00252026">
      <w:pPr>
        <w:spacing w:line="360" w:lineRule="auto"/>
        <w:jc w:val="both"/>
      </w:pPr>
    </w:p>
    <w:p w:rsidR="008061D8" w:rsidRDefault="00252026">
      <w:pPr>
        <w:pStyle w:val="ndicedeilustraes"/>
        <w:tabs>
          <w:tab w:val="right" w:leader="dot" w:pos="9062"/>
        </w:tabs>
        <w:rPr>
          <w:rFonts w:asciiTheme="minorHAnsi" w:eastAsiaTheme="minorEastAsia" w:hAnsiTheme="minorHAnsi" w:cstheme="minorBidi"/>
          <w:noProof/>
          <w:sz w:val="22"/>
          <w:szCs w:val="22"/>
        </w:rPr>
      </w:pPr>
      <w:r w:rsidRPr="004D55DA">
        <w:fldChar w:fldCharType="begin"/>
      </w:r>
      <w:r w:rsidRPr="004D55DA">
        <w:instrText xml:space="preserve"> TOC \h \z \c "Figura" </w:instrText>
      </w:r>
      <w:r w:rsidRPr="004D55DA">
        <w:fldChar w:fldCharType="separate"/>
      </w:r>
      <w:hyperlink w:anchor="_Toc396134165" w:history="1">
        <w:r w:rsidR="008061D8" w:rsidRPr="00E026AC">
          <w:rPr>
            <w:rStyle w:val="Hiperligao"/>
            <w:noProof/>
          </w:rPr>
          <w:t>Figura 1 - Principais rotas do tráfego marítimo de contentores e portos</w:t>
        </w:r>
        <w:r w:rsidR="008061D8">
          <w:rPr>
            <w:noProof/>
            <w:webHidden/>
          </w:rPr>
          <w:tab/>
        </w:r>
        <w:r w:rsidR="008061D8">
          <w:rPr>
            <w:noProof/>
            <w:webHidden/>
          </w:rPr>
          <w:fldChar w:fldCharType="begin"/>
        </w:r>
        <w:r w:rsidR="008061D8">
          <w:rPr>
            <w:noProof/>
            <w:webHidden/>
          </w:rPr>
          <w:instrText xml:space="preserve"> PAGEREF _Toc396134165 \h </w:instrText>
        </w:r>
        <w:r w:rsidR="008061D8">
          <w:rPr>
            <w:noProof/>
            <w:webHidden/>
          </w:rPr>
        </w:r>
        <w:r w:rsidR="008061D8">
          <w:rPr>
            <w:noProof/>
            <w:webHidden/>
          </w:rPr>
          <w:fldChar w:fldCharType="separate"/>
        </w:r>
        <w:r w:rsidR="008D1B65">
          <w:rPr>
            <w:noProof/>
            <w:webHidden/>
          </w:rPr>
          <w:t>18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6" w:history="1">
        <w:r w:rsidR="008061D8" w:rsidRPr="00E026AC">
          <w:rPr>
            <w:rStyle w:val="Hiperligao"/>
            <w:noProof/>
          </w:rPr>
          <w:t>Figura 2 - Crescimento do transporte marítimo de contentores no mundo</w:t>
        </w:r>
        <w:r w:rsidR="008061D8">
          <w:rPr>
            <w:noProof/>
            <w:webHidden/>
          </w:rPr>
          <w:tab/>
        </w:r>
        <w:r w:rsidR="008061D8">
          <w:rPr>
            <w:noProof/>
            <w:webHidden/>
          </w:rPr>
          <w:fldChar w:fldCharType="begin"/>
        </w:r>
        <w:r w:rsidR="008061D8">
          <w:rPr>
            <w:noProof/>
            <w:webHidden/>
          </w:rPr>
          <w:instrText xml:space="preserve"> PAGEREF _Toc396134166 \h </w:instrText>
        </w:r>
        <w:r w:rsidR="008061D8">
          <w:rPr>
            <w:noProof/>
            <w:webHidden/>
          </w:rPr>
        </w:r>
        <w:r w:rsidR="008061D8">
          <w:rPr>
            <w:noProof/>
            <w:webHidden/>
          </w:rPr>
          <w:fldChar w:fldCharType="separate"/>
        </w:r>
        <w:r w:rsidR="008D1B65">
          <w:rPr>
            <w:noProof/>
            <w:webHidden/>
          </w:rPr>
          <w:t>21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7" w:history="1">
        <w:r w:rsidR="008061D8" w:rsidRPr="00E026AC">
          <w:rPr>
            <w:rStyle w:val="Hiperligao"/>
            <w:noProof/>
          </w:rPr>
          <w:t>Figura 3 - Crescimento do transporte marítimo mundial</w:t>
        </w:r>
        <w:r w:rsidR="008061D8">
          <w:rPr>
            <w:noProof/>
            <w:webHidden/>
          </w:rPr>
          <w:tab/>
        </w:r>
        <w:r w:rsidR="008061D8">
          <w:rPr>
            <w:noProof/>
            <w:webHidden/>
          </w:rPr>
          <w:fldChar w:fldCharType="begin"/>
        </w:r>
        <w:r w:rsidR="008061D8">
          <w:rPr>
            <w:noProof/>
            <w:webHidden/>
          </w:rPr>
          <w:instrText xml:space="preserve"> PAGEREF _Toc396134167 \h </w:instrText>
        </w:r>
        <w:r w:rsidR="008061D8">
          <w:rPr>
            <w:noProof/>
            <w:webHidden/>
          </w:rPr>
        </w:r>
        <w:r w:rsidR="008061D8">
          <w:rPr>
            <w:noProof/>
            <w:webHidden/>
          </w:rPr>
          <w:fldChar w:fldCharType="separate"/>
        </w:r>
        <w:r w:rsidR="008D1B65">
          <w:rPr>
            <w:noProof/>
            <w:webHidden/>
          </w:rPr>
          <w:t>21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8" w:history="1">
        <w:r w:rsidR="008061D8" w:rsidRPr="00E026AC">
          <w:rPr>
            <w:rStyle w:val="Hiperligao"/>
            <w:noProof/>
          </w:rPr>
          <w:t>Figura 4 - Alargamento do Canal do Panamá</w:t>
        </w:r>
        <w:r w:rsidR="008061D8">
          <w:rPr>
            <w:noProof/>
            <w:webHidden/>
          </w:rPr>
          <w:tab/>
        </w:r>
        <w:r w:rsidR="008061D8">
          <w:rPr>
            <w:noProof/>
            <w:webHidden/>
          </w:rPr>
          <w:fldChar w:fldCharType="begin"/>
        </w:r>
        <w:r w:rsidR="008061D8">
          <w:rPr>
            <w:noProof/>
            <w:webHidden/>
          </w:rPr>
          <w:instrText xml:space="preserve"> PAGEREF _Toc396134168 \h </w:instrText>
        </w:r>
        <w:r w:rsidR="008061D8">
          <w:rPr>
            <w:noProof/>
            <w:webHidden/>
          </w:rPr>
        </w:r>
        <w:r w:rsidR="008061D8">
          <w:rPr>
            <w:noProof/>
            <w:webHidden/>
          </w:rPr>
          <w:fldChar w:fldCharType="separate"/>
        </w:r>
        <w:r w:rsidR="008D1B65">
          <w:rPr>
            <w:noProof/>
            <w:webHidden/>
          </w:rPr>
          <w:t>25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69" w:history="1">
        <w:r w:rsidR="008061D8" w:rsidRPr="00E026AC">
          <w:rPr>
            <w:rStyle w:val="Hiperligao"/>
            <w:noProof/>
          </w:rPr>
          <w:t>Figura 5 - Alianças no transporte marítimo de contentores global</w:t>
        </w:r>
        <w:r w:rsidR="008061D8">
          <w:rPr>
            <w:noProof/>
            <w:webHidden/>
          </w:rPr>
          <w:tab/>
        </w:r>
        <w:r w:rsidR="008061D8">
          <w:rPr>
            <w:noProof/>
            <w:webHidden/>
          </w:rPr>
          <w:fldChar w:fldCharType="begin"/>
        </w:r>
        <w:r w:rsidR="008061D8">
          <w:rPr>
            <w:noProof/>
            <w:webHidden/>
          </w:rPr>
          <w:instrText xml:space="preserve"> PAGEREF _Toc396134169 \h </w:instrText>
        </w:r>
        <w:r w:rsidR="008061D8">
          <w:rPr>
            <w:noProof/>
            <w:webHidden/>
          </w:rPr>
        </w:r>
        <w:r w:rsidR="008061D8">
          <w:rPr>
            <w:noProof/>
            <w:webHidden/>
          </w:rPr>
          <w:fldChar w:fldCharType="separate"/>
        </w:r>
        <w:r w:rsidR="008D1B65">
          <w:rPr>
            <w:noProof/>
            <w:webHidden/>
          </w:rPr>
          <w:t>26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0" w:history="1">
        <w:r w:rsidR="008061D8" w:rsidRPr="00E026AC">
          <w:rPr>
            <w:rStyle w:val="Hiperligao"/>
            <w:noProof/>
          </w:rPr>
          <w:t>Figura 6 - Integração da logística terrestre pelo operador marítimo</w:t>
        </w:r>
        <w:r w:rsidR="008061D8">
          <w:rPr>
            <w:noProof/>
            <w:webHidden/>
          </w:rPr>
          <w:tab/>
        </w:r>
        <w:r w:rsidR="008061D8">
          <w:rPr>
            <w:noProof/>
            <w:webHidden/>
          </w:rPr>
          <w:fldChar w:fldCharType="begin"/>
        </w:r>
        <w:r w:rsidR="008061D8">
          <w:rPr>
            <w:noProof/>
            <w:webHidden/>
          </w:rPr>
          <w:instrText xml:space="preserve"> PAGEREF _Toc396134170 \h </w:instrText>
        </w:r>
        <w:r w:rsidR="008061D8">
          <w:rPr>
            <w:noProof/>
            <w:webHidden/>
          </w:rPr>
        </w:r>
        <w:r w:rsidR="008061D8">
          <w:rPr>
            <w:noProof/>
            <w:webHidden/>
          </w:rPr>
          <w:fldChar w:fldCharType="separate"/>
        </w:r>
        <w:r w:rsidR="008D1B65">
          <w:rPr>
            <w:noProof/>
            <w:webHidden/>
          </w:rPr>
          <w:t>27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1" w:history="1">
        <w:r w:rsidR="008061D8" w:rsidRPr="00E026AC">
          <w:rPr>
            <w:rStyle w:val="Hiperligao"/>
            <w:noProof/>
          </w:rPr>
          <w:t>Figura 7 - “hinterland” dos portos do norte da Europa</w:t>
        </w:r>
        <w:r w:rsidR="008061D8">
          <w:rPr>
            <w:noProof/>
            <w:webHidden/>
          </w:rPr>
          <w:tab/>
        </w:r>
        <w:r w:rsidR="008061D8">
          <w:rPr>
            <w:noProof/>
            <w:webHidden/>
          </w:rPr>
          <w:fldChar w:fldCharType="begin"/>
        </w:r>
        <w:r w:rsidR="008061D8">
          <w:rPr>
            <w:noProof/>
            <w:webHidden/>
          </w:rPr>
          <w:instrText xml:space="preserve"> PAGEREF _Toc396134171 \h </w:instrText>
        </w:r>
        <w:r w:rsidR="008061D8">
          <w:rPr>
            <w:noProof/>
            <w:webHidden/>
          </w:rPr>
        </w:r>
        <w:r w:rsidR="008061D8">
          <w:rPr>
            <w:noProof/>
            <w:webHidden/>
          </w:rPr>
          <w:fldChar w:fldCharType="separate"/>
        </w:r>
        <w:r w:rsidR="008D1B65">
          <w:rPr>
            <w:noProof/>
            <w:webHidden/>
          </w:rPr>
          <w:t>52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2" w:history="1">
        <w:r w:rsidR="008061D8" w:rsidRPr="00E026AC">
          <w:rPr>
            <w:rStyle w:val="Hiperligao"/>
            <w:noProof/>
          </w:rPr>
          <w:t>Figura 8 - “hinterland” dos portos europeus por regiões de portos</w:t>
        </w:r>
        <w:r w:rsidR="008061D8">
          <w:rPr>
            <w:noProof/>
            <w:webHidden/>
          </w:rPr>
          <w:tab/>
        </w:r>
        <w:r w:rsidR="008061D8">
          <w:rPr>
            <w:noProof/>
            <w:webHidden/>
          </w:rPr>
          <w:fldChar w:fldCharType="begin"/>
        </w:r>
        <w:r w:rsidR="008061D8">
          <w:rPr>
            <w:noProof/>
            <w:webHidden/>
          </w:rPr>
          <w:instrText xml:space="preserve"> PAGEREF _Toc396134172 \h </w:instrText>
        </w:r>
        <w:r w:rsidR="008061D8">
          <w:rPr>
            <w:noProof/>
            <w:webHidden/>
          </w:rPr>
        </w:r>
        <w:r w:rsidR="008061D8">
          <w:rPr>
            <w:noProof/>
            <w:webHidden/>
          </w:rPr>
          <w:fldChar w:fldCharType="separate"/>
        </w:r>
        <w:r w:rsidR="008D1B65">
          <w:rPr>
            <w:noProof/>
            <w:webHidden/>
          </w:rPr>
          <w:t>52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3" w:history="1">
        <w:r w:rsidR="008061D8" w:rsidRPr="00E026AC">
          <w:rPr>
            <w:rStyle w:val="Hiperligao"/>
            <w:noProof/>
          </w:rPr>
          <w:t>Figura 9 - Localização e “hinterland” dos portos europeus</w:t>
        </w:r>
        <w:r w:rsidR="008061D8">
          <w:rPr>
            <w:noProof/>
            <w:webHidden/>
          </w:rPr>
          <w:tab/>
        </w:r>
        <w:r w:rsidR="008061D8">
          <w:rPr>
            <w:noProof/>
            <w:webHidden/>
          </w:rPr>
          <w:fldChar w:fldCharType="begin"/>
        </w:r>
        <w:r w:rsidR="008061D8">
          <w:rPr>
            <w:noProof/>
            <w:webHidden/>
          </w:rPr>
          <w:instrText xml:space="preserve"> PAGEREF _Toc396134173 \h </w:instrText>
        </w:r>
        <w:r w:rsidR="008061D8">
          <w:rPr>
            <w:noProof/>
            <w:webHidden/>
          </w:rPr>
        </w:r>
        <w:r w:rsidR="008061D8">
          <w:rPr>
            <w:noProof/>
            <w:webHidden/>
          </w:rPr>
          <w:fldChar w:fldCharType="separate"/>
        </w:r>
        <w:r w:rsidR="008D1B65">
          <w:rPr>
            <w:noProof/>
            <w:webHidden/>
          </w:rPr>
          <w:t>53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4" w:history="1">
        <w:r w:rsidR="008061D8" w:rsidRPr="00E026AC">
          <w:rPr>
            <w:rStyle w:val="Hiperligao"/>
            <w:noProof/>
          </w:rPr>
          <w:t>Figura 10 - “hubs” intermédios do Mediterrâneo</w:t>
        </w:r>
        <w:r w:rsidR="008061D8">
          <w:rPr>
            <w:noProof/>
            <w:webHidden/>
          </w:rPr>
          <w:tab/>
        </w:r>
        <w:r w:rsidR="008061D8">
          <w:rPr>
            <w:noProof/>
            <w:webHidden/>
          </w:rPr>
          <w:fldChar w:fldCharType="begin"/>
        </w:r>
        <w:r w:rsidR="008061D8">
          <w:rPr>
            <w:noProof/>
            <w:webHidden/>
          </w:rPr>
          <w:instrText xml:space="preserve"> PAGEREF _Toc396134174 \h </w:instrText>
        </w:r>
        <w:r w:rsidR="008061D8">
          <w:rPr>
            <w:noProof/>
            <w:webHidden/>
          </w:rPr>
        </w:r>
        <w:r w:rsidR="008061D8">
          <w:rPr>
            <w:noProof/>
            <w:webHidden/>
          </w:rPr>
          <w:fldChar w:fldCharType="separate"/>
        </w:r>
        <w:r w:rsidR="008D1B65">
          <w:rPr>
            <w:noProof/>
            <w:webHidden/>
          </w:rPr>
          <w:t>53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5" w:history="1">
        <w:r w:rsidR="008061D8" w:rsidRPr="00E026AC">
          <w:rPr>
            <w:rStyle w:val="Hiperligao"/>
            <w:noProof/>
          </w:rPr>
          <w:t>Figura 11 - Modelo de investigação</w:t>
        </w:r>
        <w:r w:rsidR="008061D8">
          <w:rPr>
            <w:noProof/>
            <w:webHidden/>
          </w:rPr>
          <w:tab/>
        </w:r>
        <w:r w:rsidR="008061D8">
          <w:rPr>
            <w:noProof/>
            <w:webHidden/>
          </w:rPr>
          <w:fldChar w:fldCharType="begin"/>
        </w:r>
        <w:r w:rsidR="008061D8">
          <w:rPr>
            <w:noProof/>
            <w:webHidden/>
          </w:rPr>
          <w:instrText xml:space="preserve"> PAGEREF _Toc396134175 \h </w:instrText>
        </w:r>
        <w:r w:rsidR="008061D8">
          <w:rPr>
            <w:noProof/>
            <w:webHidden/>
          </w:rPr>
        </w:r>
        <w:r w:rsidR="008061D8">
          <w:rPr>
            <w:noProof/>
            <w:webHidden/>
          </w:rPr>
          <w:fldChar w:fldCharType="separate"/>
        </w:r>
        <w:r w:rsidR="008D1B65">
          <w:rPr>
            <w:noProof/>
            <w:webHidden/>
          </w:rPr>
          <w:t>98</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6" w:history="1">
        <w:r w:rsidR="008061D8" w:rsidRPr="00E026AC">
          <w:rPr>
            <w:rStyle w:val="Hiperligao"/>
            <w:noProof/>
          </w:rPr>
          <w:t>Figura 12 – Sequência dos inquéritos</w:t>
        </w:r>
        <w:r w:rsidR="008061D8">
          <w:rPr>
            <w:noProof/>
            <w:webHidden/>
          </w:rPr>
          <w:tab/>
        </w:r>
        <w:r w:rsidR="008061D8">
          <w:rPr>
            <w:noProof/>
            <w:webHidden/>
          </w:rPr>
          <w:fldChar w:fldCharType="begin"/>
        </w:r>
        <w:r w:rsidR="008061D8">
          <w:rPr>
            <w:noProof/>
            <w:webHidden/>
          </w:rPr>
          <w:instrText xml:space="preserve"> PAGEREF _Toc396134176 \h </w:instrText>
        </w:r>
        <w:r w:rsidR="008061D8">
          <w:rPr>
            <w:noProof/>
            <w:webHidden/>
          </w:rPr>
        </w:r>
        <w:r w:rsidR="008061D8">
          <w:rPr>
            <w:noProof/>
            <w:webHidden/>
          </w:rPr>
          <w:fldChar w:fldCharType="separate"/>
        </w:r>
        <w:r w:rsidR="008D1B65">
          <w:rPr>
            <w:noProof/>
            <w:webHidden/>
          </w:rPr>
          <w:t>109</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7" w:history="1">
        <w:r w:rsidR="008061D8" w:rsidRPr="00E026AC">
          <w:rPr>
            <w:rStyle w:val="Hiperligao"/>
            <w:noProof/>
          </w:rPr>
          <w:t>Figura 13 – Distribuição geográfica dos portos europeus observados no inquérito</w:t>
        </w:r>
        <w:r w:rsidR="008061D8">
          <w:rPr>
            <w:noProof/>
            <w:webHidden/>
          </w:rPr>
          <w:tab/>
        </w:r>
        <w:r w:rsidR="008061D8">
          <w:rPr>
            <w:noProof/>
            <w:webHidden/>
          </w:rPr>
          <w:fldChar w:fldCharType="begin"/>
        </w:r>
        <w:r w:rsidR="008061D8">
          <w:rPr>
            <w:noProof/>
            <w:webHidden/>
          </w:rPr>
          <w:instrText xml:space="preserve"> PAGEREF _Toc396134177 \h </w:instrText>
        </w:r>
        <w:r w:rsidR="008061D8">
          <w:rPr>
            <w:noProof/>
            <w:webHidden/>
          </w:rPr>
        </w:r>
        <w:r w:rsidR="008061D8">
          <w:rPr>
            <w:noProof/>
            <w:webHidden/>
          </w:rPr>
          <w:fldChar w:fldCharType="separate"/>
        </w:r>
        <w:r w:rsidR="008D1B65">
          <w:rPr>
            <w:noProof/>
            <w:webHidden/>
          </w:rPr>
          <w:t>117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8" w:history="1">
        <w:r w:rsidR="008061D8" w:rsidRPr="00E026AC">
          <w:rPr>
            <w:rStyle w:val="Hiperligao"/>
            <w:noProof/>
          </w:rPr>
          <w:t>Figura 14 - Modelo DEA CCR e BCC</w:t>
        </w:r>
        <w:r w:rsidR="008061D8">
          <w:rPr>
            <w:noProof/>
            <w:webHidden/>
          </w:rPr>
          <w:tab/>
        </w:r>
        <w:r w:rsidR="008061D8">
          <w:rPr>
            <w:noProof/>
            <w:webHidden/>
          </w:rPr>
          <w:fldChar w:fldCharType="begin"/>
        </w:r>
        <w:r w:rsidR="008061D8">
          <w:rPr>
            <w:noProof/>
            <w:webHidden/>
          </w:rPr>
          <w:instrText xml:space="preserve"> PAGEREF _Toc396134178 \h </w:instrText>
        </w:r>
        <w:r w:rsidR="008061D8">
          <w:rPr>
            <w:noProof/>
            <w:webHidden/>
          </w:rPr>
        </w:r>
        <w:r w:rsidR="008061D8">
          <w:rPr>
            <w:noProof/>
            <w:webHidden/>
          </w:rPr>
          <w:fldChar w:fldCharType="separate"/>
        </w:r>
        <w:r w:rsidR="008D1B65">
          <w:rPr>
            <w:noProof/>
            <w:webHidden/>
          </w:rPr>
          <w:t>121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79" w:history="1">
        <w:r w:rsidR="008061D8" w:rsidRPr="00E026AC">
          <w:rPr>
            <w:rStyle w:val="Hiperligao"/>
            <w:noProof/>
          </w:rPr>
          <w:t>Figura 15 - Produtividade e eficiência</w:t>
        </w:r>
        <w:r w:rsidR="008061D8">
          <w:rPr>
            <w:noProof/>
            <w:webHidden/>
          </w:rPr>
          <w:tab/>
        </w:r>
        <w:r w:rsidR="008061D8">
          <w:rPr>
            <w:noProof/>
            <w:webHidden/>
          </w:rPr>
          <w:fldChar w:fldCharType="begin"/>
        </w:r>
        <w:r w:rsidR="008061D8">
          <w:rPr>
            <w:noProof/>
            <w:webHidden/>
          </w:rPr>
          <w:instrText xml:space="preserve"> PAGEREF _Toc396134179 \h </w:instrText>
        </w:r>
        <w:r w:rsidR="008061D8">
          <w:rPr>
            <w:noProof/>
            <w:webHidden/>
          </w:rPr>
        </w:r>
        <w:r w:rsidR="008061D8">
          <w:rPr>
            <w:noProof/>
            <w:webHidden/>
          </w:rPr>
          <w:fldChar w:fldCharType="separate"/>
        </w:r>
        <w:r w:rsidR="008D1B65">
          <w:rPr>
            <w:noProof/>
            <w:webHidden/>
          </w:rPr>
          <w:t>122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0" w:history="1">
        <w:r w:rsidR="008061D8" w:rsidRPr="00E026AC">
          <w:rPr>
            <w:rStyle w:val="Hiperligao"/>
            <w:noProof/>
          </w:rPr>
          <w:t>Figura 16 – Gráfico de frequências pela escala de Likert(5), 1º inquérito</w:t>
        </w:r>
        <w:r w:rsidR="008061D8">
          <w:rPr>
            <w:noProof/>
            <w:webHidden/>
          </w:rPr>
          <w:tab/>
        </w:r>
        <w:r w:rsidR="008061D8">
          <w:rPr>
            <w:noProof/>
            <w:webHidden/>
          </w:rPr>
          <w:fldChar w:fldCharType="begin"/>
        </w:r>
        <w:r w:rsidR="008061D8">
          <w:rPr>
            <w:noProof/>
            <w:webHidden/>
          </w:rPr>
          <w:instrText xml:space="preserve"> PAGEREF _Toc396134180 \h </w:instrText>
        </w:r>
        <w:r w:rsidR="008061D8">
          <w:rPr>
            <w:noProof/>
            <w:webHidden/>
          </w:rPr>
        </w:r>
        <w:r w:rsidR="008061D8">
          <w:rPr>
            <w:noProof/>
            <w:webHidden/>
          </w:rPr>
          <w:fldChar w:fldCharType="separate"/>
        </w:r>
        <w:r w:rsidR="008D1B65">
          <w:rPr>
            <w:noProof/>
            <w:webHidden/>
          </w:rPr>
          <w:t>134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1" w:history="1">
        <w:r w:rsidR="008061D8" w:rsidRPr="00E026AC">
          <w:rPr>
            <w:rStyle w:val="Hiperligao"/>
            <w:noProof/>
          </w:rPr>
          <w:t>Figura 17 – Path analysis do 1º inquérito (estimativas estandardizadas)</w:t>
        </w:r>
        <w:r w:rsidR="008061D8">
          <w:rPr>
            <w:noProof/>
            <w:webHidden/>
          </w:rPr>
          <w:tab/>
        </w:r>
        <w:r w:rsidR="008061D8">
          <w:rPr>
            <w:noProof/>
            <w:webHidden/>
          </w:rPr>
          <w:fldChar w:fldCharType="begin"/>
        </w:r>
        <w:r w:rsidR="008061D8">
          <w:rPr>
            <w:noProof/>
            <w:webHidden/>
          </w:rPr>
          <w:instrText xml:space="preserve"> PAGEREF _Toc396134181 \h </w:instrText>
        </w:r>
        <w:r w:rsidR="008061D8">
          <w:rPr>
            <w:noProof/>
            <w:webHidden/>
          </w:rPr>
        </w:r>
        <w:r w:rsidR="008061D8">
          <w:rPr>
            <w:noProof/>
            <w:webHidden/>
          </w:rPr>
          <w:fldChar w:fldCharType="separate"/>
        </w:r>
        <w:r w:rsidR="008D1B65">
          <w:rPr>
            <w:noProof/>
            <w:webHidden/>
          </w:rPr>
          <w:t>145</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2" w:history="1">
        <w:r w:rsidR="008061D8" w:rsidRPr="00E026AC">
          <w:rPr>
            <w:rStyle w:val="Hiperligao"/>
            <w:noProof/>
          </w:rPr>
          <w:t>Figura 18 - Modelo estrutural reflexivo, 1º inquérito</w:t>
        </w:r>
        <w:r w:rsidR="008061D8">
          <w:rPr>
            <w:noProof/>
            <w:webHidden/>
          </w:rPr>
          <w:tab/>
        </w:r>
        <w:r w:rsidR="008061D8">
          <w:rPr>
            <w:noProof/>
            <w:webHidden/>
          </w:rPr>
          <w:fldChar w:fldCharType="begin"/>
        </w:r>
        <w:r w:rsidR="008061D8">
          <w:rPr>
            <w:noProof/>
            <w:webHidden/>
          </w:rPr>
          <w:instrText xml:space="preserve"> PAGEREF _Toc396134182 \h </w:instrText>
        </w:r>
        <w:r w:rsidR="008061D8">
          <w:rPr>
            <w:noProof/>
            <w:webHidden/>
          </w:rPr>
        </w:r>
        <w:r w:rsidR="008061D8">
          <w:rPr>
            <w:noProof/>
            <w:webHidden/>
          </w:rPr>
          <w:fldChar w:fldCharType="separate"/>
        </w:r>
        <w:r w:rsidR="008D1B65">
          <w:rPr>
            <w:noProof/>
            <w:webHidden/>
          </w:rPr>
          <w:t>150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3" w:history="1">
        <w:r w:rsidR="008061D8" w:rsidRPr="00E026AC">
          <w:rPr>
            <w:rStyle w:val="Hiperligao"/>
            <w:noProof/>
          </w:rPr>
          <w:t>Figura 19 - Modelo estrutural reflexivo simplificado, 1º inquérito</w:t>
        </w:r>
        <w:r w:rsidR="008061D8">
          <w:rPr>
            <w:noProof/>
            <w:webHidden/>
          </w:rPr>
          <w:tab/>
        </w:r>
        <w:r w:rsidR="008061D8">
          <w:rPr>
            <w:noProof/>
            <w:webHidden/>
          </w:rPr>
          <w:fldChar w:fldCharType="begin"/>
        </w:r>
        <w:r w:rsidR="008061D8">
          <w:rPr>
            <w:noProof/>
            <w:webHidden/>
          </w:rPr>
          <w:instrText xml:space="preserve"> PAGEREF _Toc396134183 \h </w:instrText>
        </w:r>
        <w:r w:rsidR="008061D8">
          <w:rPr>
            <w:noProof/>
            <w:webHidden/>
          </w:rPr>
        </w:r>
        <w:r w:rsidR="008061D8">
          <w:rPr>
            <w:noProof/>
            <w:webHidden/>
          </w:rPr>
          <w:fldChar w:fldCharType="separate"/>
        </w:r>
        <w:r w:rsidR="008D1B65">
          <w:rPr>
            <w:noProof/>
            <w:webHidden/>
          </w:rPr>
          <w:t>151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4" w:history="1">
        <w:r w:rsidR="008061D8" w:rsidRPr="00E026AC">
          <w:rPr>
            <w:rStyle w:val="Hiperligao"/>
            <w:noProof/>
          </w:rPr>
          <w:t>Figura 20 - Modelo formativo, 1º inquérito</w:t>
        </w:r>
        <w:r w:rsidR="008061D8">
          <w:rPr>
            <w:noProof/>
            <w:webHidden/>
          </w:rPr>
          <w:tab/>
        </w:r>
        <w:r w:rsidR="008061D8">
          <w:rPr>
            <w:noProof/>
            <w:webHidden/>
          </w:rPr>
          <w:fldChar w:fldCharType="begin"/>
        </w:r>
        <w:r w:rsidR="008061D8">
          <w:rPr>
            <w:noProof/>
            <w:webHidden/>
          </w:rPr>
          <w:instrText xml:space="preserve"> PAGEREF _Toc396134184 \h </w:instrText>
        </w:r>
        <w:r w:rsidR="008061D8">
          <w:rPr>
            <w:noProof/>
            <w:webHidden/>
          </w:rPr>
        </w:r>
        <w:r w:rsidR="008061D8">
          <w:rPr>
            <w:noProof/>
            <w:webHidden/>
          </w:rPr>
          <w:fldChar w:fldCharType="separate"/>
        </w:r>
        <w:r w:rsidR="008D1B65">
          <w:rPr>
            <w:noProof/>
            <w:webHidden/>
          </w:rPr>
          <w:t>152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5" w:history="1">
        <w:r w:rsidR="008061D8" w:rsidRPr="00E026AC">
          <w:rPr>
            <w:rStyle w:val="Hiperligao"/>
            <w:noProof/>
          </w:rPr>
          <w:t>Figura 21 – Modelo final ajustado para o Desempenho, 1º inquérito</w:t>
        </w:r>
        <w:r w:rsidR="008061D8">
          <w:rPr>
            <w:noProof/>
            <w:webHidden/>
          </w:rPr>
          <w:tab/>
        </w:r>
        <w:r w:rsidR="008061D8">
          <w:rPr>
            <w:noProof/>
            <w:webHidden/>
          </w:rPr>
          <w:fldChar w:fldCharType="begin"/>
        </w:r>
        <w:r w:rsidR="008061D8">
          <w:rPr>
            <w:noProof/>
            <w:webHidden/>
          </w:rPr>
          <w:instrText xml:space="preserve"> PAGEREF _Toc396134185 \h </w:instrText>
        </w:r>
        <w:r w:rsidR="008061D8">
          <w:rPr>
            <w:noProof/>
            <w:webHidden/>
          </w:rPr>
        </w:r>
        <w:r w:rsidR="008061D8">
          <w:rPr>
            <w:noProof/>
            <w:webHidden/>
          </w:rPr>
          <w:fldChar w:fldCharType="separate"/>
        </w:r>
        <w:r w:rsidR="008D1B65">
          <w:rPr>
            <w:noProof/>
            <w:webHidden/>
          </w:rPr>
          <w:t>153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6" w:history="1">
        <w:r w:rsidR="008061D8" w:rsidRPr="00E026AC">
          <w:rPr>
            <w:rStyle w:val="Hiperligao"/>
            <w:noProof/>
          </w:rPr>
          <w:t>Figura 22 – Modelo SEM final com Desempenho do terminal de contentores</w:t>
        </w:r>
        <w:r w:rsidR="008061D8">
          <w:rPr>
            <w:noProof/>
            <w:webHidden/>
          </w:rPr>
          <w:tab/>
        </w:r>
        <w:r w:rsidR="008061D8">
          <w:rPr>
            <w:noProof/>
            <w:webHidden/>
          </w:rPr>
          <w:fldChar w:fldCharType="begin"/>
        </w:r>
        <w:r w:rsidR="008061D8">
          <w:rPr>
            <w:noProof/>
            <w:webHidden/>
          </w:rPr>
          <w:instrText xml:space="preserve"> PAGEREF _Toc396134186 \h </w:instrText>
        </w:r>
        <w:r w:rsidR="008061D8">
          <w:rPr>
            <w:noProof/>
            <w:webHidden/>
          </w:rPr>
        </w:r>
        <w:r w:rsidR="008061D8">
          <w:rPr>
            <w:noProof/>
            <w:webHidden/>
          </w:rPr>
          <w:fldChar w:fldCharType="separate"/>
        </w:r>
        <w:r w:rsidR="008D1B65">
          <w:rPr>
            <w:noProof/>
            <w:webHidden/>
          </w:rPr>
          <w:t>156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7" w:history="1">
        <w:r w:rsidR="008061D8" w:rsidRPr="00E026AC">
          <w:rPr>
            <w:rStyle w:val="Hiperligao"/>
            <w:noProof/>
          </w:rPr>
          <w:t>Figura 23 – Gráfico de frequências para Likert(7), segundo inquérito</w:t>
        </w:r>
        <w:r w:rsidR="008061D8">
          <w:rPr>
            <w:noProof/>
            <w:webHidden/>
          </w:rPr>
          <w:tab/>
        </w:r>
        <w:r w:rsidR="008061D8">
          <w:rPr>
            <w:noProof/>
            <w:webHidden/>
          </w:rPr>
          <w:fldChar w:fldCharType="begin"/>
        </w:r>
        <w:r w:rsidR="008061D8">
          <w:rPr>
            <w:noProof/>
            <w:webHidden/>
          </w:rPr>
          <w:instrText xml:space="preserve"> PAGEREF _Toc396134187 \h </w:instrText>
        </w:r>
        <w:r w:rsidR="008061D8">
          <w:rPr>
            <w:noProof/>
            <w:webHidden/>
          </w:rPr>
        </w:r>
        <w:r w:rsidR="008061D8">
          <w:rPr>
            <w:noProof/>
            <w:webHidden/>
          </w:rPr>
          <w:fldChar w:fldCharType="separate"/>
        </w:r>
        <w:r w:rsidR="008D1B65">
          <w:rPr>
            <w:noProof/>
            <w:webHidden/>
          </w:rPr>
          <w:t>160</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8" w:history="1">
        <w:r w:rsidR="008061D8" w:rsidRPr="00E026AC">
          <w:rPr>
            <w:rStyle w:val="Hiperligao"/>
            <w:noProof/>
          </w:rPr>
          <w:t>Figura 24 – Path Analysis do 2º inq., Portugal e Espanha (estimativas estandardizadas)</w:t>
        </w:r>
        <w:r w:rsidR="008061D8">
          <w:rPr>
            <w:noProof/>
            <w:webHidden/>
          </w:rPr>
          <w:tab/>
        </w:r>
        <w:r w:rsidR="008061D8">
          <w:rPr>
            <w:noProof/>
            <w:webHidden/>
          </w:rPr>
          <w:fldChar w:fldCharType="begin"/>
        </w:r>
        <w:r w:rsidR="008061D8">
          <w:rPr>
            <w:noProof/>
            <w:webHidden/>
          </w:rPr>
          <w:instrText xml:space="preserve"> PAGEREF _Toc396134188 \h </w:instrText>
        </w:r>
        <w:r w:rsidR="008061D8">
          <w:rPr>
            <w:noProof/>
            <w:webHidden/>
          </w:rPr>
        </w:r>
        <w:r w:rsidR="008061D8">
          <w:rPr>
            <w:noProof/>
            <w:webHidden/>
          </w:rPr>
          <w:fldChar w:fldCharType="separate"/>
        </w:r>
        <w:r w:rsidR="008D1B65">
          <w:rPr>
            <w:noProof/>
            <w:webHidden/>
          </w:rPr>
          <w:t>171</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89" w:history="1">
        <w:r w:rsidR="008061D8" w:rsidRPr="00E026AC">
          <w:rPr>
            <w:rStyle w:val="Hiperligao"/>
            <w:noProof/>
          </w:rPr>
          <w:t>Figura 25 – Path Analysis da Atividade, 2º Inquérito, Portugal e Espanha</w:t>
        </w:r>
        <w:r w:rsidR="008061D8">
          <w:rPr>
            <w:noProof/>
            <w:webHidden/>
          </w:rPr>
          <w:tab/>
        </w:r>
        <w:r w:rsidR="008061D8">
          <w:rPr>
            <w:noProof/>
            <w:webHidden/>
          </w:rPr>
          <w:fldChar w:fldCharType="begin"/>
        </w:r>
        <w:r w:rsidR="008061D8">
          <w:rPr>
            <w:noProof/>
            <w:webHidden/>
          </w:rPr>
          <w:instrText xml:space="preserve"> PAGEREF _Toc396134189 \h </w:instrText>
        </w:r>
        <w:r w:rsidR="008061D8">
          <w:rPr>
            <w:noProof/>
            <w:webHidden/>
          </w:rPr>
        </w:r>
        <w:r w:rsidR="008061D8">
          <w:rPr>
            <w:noProof/>
            <w:webHidden/>
          </w:rPr>
          <w:fldChar w:fldCharType="separate"/>
        </w:r>
        <w:r w:rsidR="008D1B65">
          <w:rPr>
            <w:noProof/>
            <w:webHidden/>
          </w:rPr>
          <w:t>172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0" w:history="1">
        <w:r w:rsidR="008061D8" w:rsidRPr="00E026AC">
          <w:rPr>
            <w:rStyle w:val="Hiperligao"/>
            <w:noProof/>
          </w:rPr>
          <w:t>Figura 26 - Modelo estrutural, 2º inquérito, Portugal e Espanha</w:t>
        </w:r>
        <w:r w:rsidR="008061D8">
          <w:rPr>
            <w:noProof/>
            <w:webHidden/>
          </w:rPr>
          <w:tab/>
        </w:r>
        <w:r w:rsidR="008061D8">
          <w:rPr>
            <w:noProof/>
            <w:webHidden/>
          </w:rPr>
          <w:fldChar w:fldCharType="begin"/>
        </w:r>
        <w:r w:rsidR="008061D8">
          <w:rPr>
            <w:noProof/>
            <w:webHidden/>
          </w:rPr>
          <w:instrText xml:space="preserve"> PAGEREF _Toc396134190 \h </w:instrText>
        </w:r>
        <w:r w:rsidR="008061D8">
          <w:rPr>
            <w:noProof/>
            <w:webHidden/>
          </w:rPr>
        </w:r>
        <w:r w:rsidR="008061D8">
          <w:rPr>
            <w:noProof/>
            <w:webHidden/>
          </w:rPr>
          <w:fldChar w:fldCharType="separate"/>
        </w:r>
        <w:r w:rsidR="008D1B65">
          <w:rPr>
            <w:noProof/>
            <w:webHidden/>
          </w:rPr>
          <w:t>176</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1" w:history="1">
        <w:r w:rsidR="008061D8" w:rsidRPr="00E026AC">
          <w:rPr>
            <w:rStyle w:val="Hiperligao"/>
            <w:noProof/>
          </w:rPr>
          <w:t>Figura 27 - Modelo estrutural reflexivo, com menos variáveis observ., 2º inq.o, PT e ES</w:t>
        </w:r>
        <w:r w:rsidR="008061D8">
          <w:rPr>
            <w:noProof/>
            <w:webHidden/>
          </w:rPr>
          <w:tab/>
        </w:r>
        <w:r w:rsidR="008061D8">
          <w:rPr>
            <w:noProof/>
            <w:webHidden/>
          </w:rPr>
          <w:fldChar w:fldCharType="begin"/>
        </w:r>
        <w:r w:rsidR="008061D8">
          <w:rPr>
            <w:noProof/>
            <w:webHidden/>
          </w:rPr>
          <w:instrText xml:space="preserve"> PAGEREF _Toc396134191 \h </w:instrText>
        </w:r>
        <w:r w:rsidR="008061D8">
          <w:rPr>
            <w:noProof/>
            <w:webHidden/>
          </w:rPr>
        </w:r>
        <w:r w:rsidR="008061D8">
          <w:rPr>
            <w:noProof/>
            <w:webHidden/>
          </w:rPr>
          <w:fldChar w:fldCharType="separate"/>
        </w:r>
        <w:r w:rsidR="008D1B65">
          <w:rPr>
            <w:noProof/>
            <w:webHidden/>
          </w:rPr>
          <w:t>177</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2" w:history="1">
        <w:r w:rsidR="008061D8" w:rsidRPr="00E026AC">
          <w:rPr>
            <w:rStyle w:val="Hiperligao"/>
            <w:noProof/>
          </w:rPr>
          <w:t>Figura 28 - Modelo formativo, 2º inquérito, Portugal e Espanha</w:t>
        </w:r>
        <w:r w:rsidR="008061D8">
          <w:rPr>
            <w:noProof/>
            <w:webHidden/>
          </w:rPr>
          <w:tab/>
        </w:r>
        <w:r w:rsidR="008061D8">
          <w:rPr>
            <w:noProof/>
            <w:webHidden/>
          </w:rPr>
          <w:fldChar w:fldCharType="begin"/>
        </w:r>
        <w:r w:rsidR="008061D8">
          <w:rPr>
            <w:noProof/>
            <w:webHidden/>
          </w:rPr>
          <w:instrText xml:space="preserve"> PAGEREF _Toc396134192 \h </w:instrText>
        </w:r>
        <w:r w:rsidR="008061D8">
          <w:rPr>
            <w:noProof/>
            <w:webHidden/>
          </w:rPr>
        </w:r>
        <w:r w:rsidR="008061D8">
          <w:rPr>
            <w:noProof/>
            <w:webHidden/>
          </w:rPr>
          <w:fldChar w:fldCharType="separate"/>
        </w:r>
        <w:r w:rsidR="008D1B65">
          <w:rPr>
            <w:noProof/>
            <w:webHidden/>
          </w:rPr>
          <w:t>179</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3" w:history="1">
        <w:r w:rsidR="008061D8" w:rsidRPr="00E026AC">
          <w:rPr>
            <w:rStyle w:val="Hiperligao"/>
            <w:noProof/>
          </w:rPr>
          <w:t>Figura 29 - Modelo ajustado para o Desempenho, 2º inquérito, Portugal e Espanha</w:t>
        </w:r>
        <w:r w:rsidR="008061D8">
          <w:rPr>
            <w:noProof/>
            <w:webHidden/>
          </w:rPr>
          <w:tab/>
        </w:r>
        <w:r w:rsidR="008061D8">
          <w:rPr>
            <w:noProof/>
            <w:webHidden/>
          </w:rPr>
          <w:fldChar w:fldCharType="begin"/>
        </w:r>
        <w:r w:rsidR="008061D8">
          <w:rPr>
            <w:noProof/>
            <w:webHidden/>
          </w:rPr>
          <w:instrText xml:space="preserve"> PAGEREF _Toc396134193 \h </w:instrText>
        </w:r>
        <w:r w:rsidR="008061D8">
          <w:rPr>
            <w:noProof/>
            <w:webHidden/>
          </w:rPr>
        </w:r>
        <w:r w:rsidR="008061D8">
          <w:rPr>
            <w:noProof/>
            <w:webHidden/>
          </w:rPr>
          <w:fldChar w:fldCharType="separate"/>
        </w:r>
        <w:r w:rsidR="008D1B65">
          <w:rPr>
            <w:noProof/>
            <w:webHidden/>
          </w:rPr>
          <w:t>179</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4" w:history="1">
        <w:r w:rsidR="008061D8" w:rsidRPr="00E026AC">
          <w:rPr>
            <w:rStyle w:val="Hiperligao"/>
            <w:noProof/>
          </w:rPr>
          <w:t>Figura 30 - Gráfico de frequências com Likert(7), segundo inquérito, Europa</w:t>
        </w:r>
        <w:r w:rsidR="008061D8">
          <w:rPr>
            <w:noProof/>
            <w:webHidden/>
          </w:rPr>
          <w:tab/>
        </w:r>
        <w:r w:rsidR="008061D8">
          <w:rPr>
            <w:noProof/>
            <w:webHidden/>
          </w:rPr>
          <w:fldChar w:fldCharType="begin"/>
        </w:r>
        <w:r w:rsidR="008061D8">
          <w:rPr>
            <w:noProof/>
            <w:webHidden/>
          </w:rPr>
          <w:instrText xml:space="preserve"> PAGEREF _Toc396134194 \h </w:instrText>
        </w:r>
        <w:r w:rsidR="008061D8">
          <w:rPr>
            <w:noProof/>
            <w:webHidden/>
          </w:rPr>
        </w:r>
        <w:r w:rsidR="008061D8">
          <w:rPr>
            <w:noProof/>
            <w:webHidden/>
          </w:rPr>
          <w:fldChar w:fldCharType="separate"/>
        </w:r>
        <w:r w:rsidR="008D1B65">
          <w:rPr>
            <w:noProof/>
            <w:webHidden/>
          </w:rPr>
          <w:t>182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5" w:history="1">
        <w:r w:rsidR="008061D8" w:rsidRPr="008061D8">
          <w:rPr>
            <w:rStyle w:val="Hiperligao"/>
            <w:noProof/>
          </w:rPr>
          <w:t>Figura 31 – Path analysis do 2º inquérito, Europa (estimativas estandardizadas)</w:t>
        </w:r>
        <w:r w:rsidR="008061D8">
          <w:rPr>
            <w:noProof/>
            <w:webHidden/>
          </w:rPr>
          <w:tab/>
        </w:r>
        <w:r w:rsidR="008061D8">
          <w:rPr>
            <w:noProof/>
            <w:webHidden/>
          </w:rPr>
          <w:fldChar w:fldCharType="begin"/>
        </w:r>
        <w:r w:rsidR="008061D8">
          <w:rPr>
            <w:noProof/>
            <w:webHidden/>
          </w:rPr>
          <w:instrText xml:space="preserve"> PAGEREF _Toc396134195 \h </w:instrText>
        </w:r>
        <w:r w:rsidR="008061D8">
          <w:rPr>
            <w:noProof/>
            <w:webHidden/>
          </w:rPr>
        </w:r>
        <w:r w:rsidR="008061D8">
          <w:rPr>
            <w:noProof/>
            <w:webHidden/>
          </w:rPr>
          <w:fldChar w:fldCharType="separate"/>
        </w:r>
        <w:r w:rsidR="008D1B65">
          <w:rPr>
            <w:noProof/>
            <w:webHidden/>
          </w:rPr>
          <w:t>192</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6" w:history="1">
        <w:r w:rsidR="008061D8" w:rsidRPr="00E026AC">
          <w:rPr>
            <w:rStyle w:val="Hiperligao"/>
            <w:noProof/>
          </w:rPr>
          <w:t>Figura 32 – Path analysis da atividade, 2º Inquérito, Europa</w:t>
        </w:r>
        <w:r w:rsidR="008061D8">
          <w:rPr>
            <w:noProof/>
            <w:webHidden/>
          </w:rPr>
          <w:tab/>
        </w:r>
        <w:r w:rsidR="008061D8">
          <w:rPr>
            <w:noProof/>
            <w:webHidden/>
          </w:rPr>
          <w:fldChar w:fldCharType="begin"/>
        </w:r>
        <w:r w:rsidR="008061D8">
          <w:rPr>
            <w:noProof/>
            <w:webHidden/>
          </w:rPr>
          <w:instrText xml:space="preserve"> PAGEREF _Toc396134196 \h </w:instrText>
        </w:r>
        <w:r w:rsidR="008061D8">
          <w:rPr>
            <w:noProof/>
            <w:webHidden/>
          </w:rPr>
        </w:r>
        <w:r w:rsidR="008061D8">
          <w:rPr>
            <w:noProof/>
            <w:webHidden/>
          </w:rPr>
          <w:fldChar w:fldCharType="separate"/>
        </w:r>
        <w:r w:rsidR="008D1B65">
          <w:rPr>
            <w:noProof/>
            <w:webHidden/>
          </w:rPr>
          <w:t>193</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7" w:history="1">
        <w:r w:rsidR="008061D8" w:rsidRPr="00E026AC">
          <w:rPr>
            <w:rStyle w:val="Hiperligao"/>
            <w:noProof/>
          </w:rPr>
          <w:t>Figura 33 – Modelo Formativo, 2º inquérito, Europa</w:t>
        </w:r>
        <w:r w:rsidR="008061D8">
          <w:rPr>
            <w:noProof/>
            <w:webHidden/>
          </w:rPr>
          <w:tab/>
        </w:r>
        <w:r w:rsidR="008061D8">
          <w:rPr>
            <w:noProof/>
            <w:webHidden/>
          </w:rPr>
          <w:fldChar w:fldCharType="begin"/>
        </w:r>
        <w:r w:rsidR="008061D8">
          <w:rPr>
            <w:noProof/>
            <w:webHidden/>
          </w:rPr>
          <w:instrText xml:space="preserve"> PAGEREF _Toc396134197 \h </w:instrText>
        </w:r>
        <w:r w:rsidR="008061D8">
          <w:rPr>
            <w:noProof/>
            <w:webHidden/>
          </w:rPr>
        </w:r>
        <w:r w:rsidR="008061D8">
          <w:rPr>
            <w:noProof/>
            <w:webHidden/>
          </w:rPr>
          <w:fldChar w:fldCharType="separate"/>
        </w:r>
        <w:r w:rsidR="008D1B65">
          <w:rPr>
            <w:noProof/>
            <w:webHidden/>
          </w:rPr>
          <w:t>194</w:t>
        </w:r>
        <w:r w:rsidR="008061D8">
          <w:rPr>
            <w:noProof/>
            <w:webHidden/>
          </w:rPr>
          <w:fldChar w:fldCharType="end"/>
        </w:r>
      </w:hyperlink>
    </w:p>
    <w:p w:rsidR="008061D8" w:rsidRDefault="00E56916">
      <w:pPr>
        <w:pStyle w:val="ndicedeilustraes"/>
        <w:tabs>
          <w:tab w:val="right" w:leader="dot" w:pos="9062"/>
        </w:tabs>
        <w:rPr>
          <w:rFonts w:asciiTheme="minorHAnsi" w:eastAsiaTheme="minorEastAsia" w:hAnsiTheme="minorHAnsi" w:cstheme="minorBidi"/>
          <w:noProof/>
          <w:sz w:val="22"/>
          <w:szCs w:val="22"/>
        </w:rPr>
      </w:pPr>
      <w:hyperlink w:anchor="_Toc396134198" w:history="1">
        <w:r w:rsidR="008061D8" w:rsidRPr="00E026AC">
          <w:rPr>
            <w:rStyle w:val="Hiperligao"/>
            <w:noProof/>
          </w:rPr>
          <w:t>Figura 34 – Modelo simplificado dos resultados do 2º inquérito</w:t>
        </w:r>
        <w:r w:rsidR="008061D8">
          <w:rPr>
            <w:noProof/>
            <w:webHidden/>
          </w:rPr>
          <w:tab/>
        </w:r>
        <w:r w:rsidR="008061D8">
          <w:rPr>
            <w:noProof/>
            <w:webHidden/>
          </w:rPr>
          <w:fldChar w:fldCharType="begin"/>
        </w:r>
        <w:r w:rsidR="008061D8">
          <w:rPr>
            <w:noProof/>
            <w:webHidden/>
          </w:rPr>
          <w:instrText xml:space="preserve"> PAGEREF _Toc396134198 \h </w:instrText>
        </w:r>
        <w:r w:rsidR="008061D8">
          <w:rPr>
            <w:noProof/>
            <w:webHidden/>
          </w:rPr>
        </w:r>
        <w:r w:rsidR="008061D8">
          <w:rPr>
            <w:noProof/>
            <w:webHidden/>
          </w:rPr>
          <w:fldChar w:fldCharType="separate"/>
        </w:r>
        <w:r w:rsidR="008D1B65">
          <w:rPr>
            <w:noProof/>
            <w:webHidden/>
          </w:rPr>
          <w:t>210</w:t>
        </w:r>
        <w:r w:rsidR="008061D8">
          <w:rPr>
            <w:noProof/>
            <w:webHidden/>
          </w:rPr>
          <w:fldChar w:fldCharType="end"/>
        </w:r>
      </w:hyperlink>
    </w:p>
    <w:p w:rsidR="00252026" w:rsidRPr="004D55DA" w:rsidRDefault="00252026" w:rsidP="00252026">
      <w:pPr>
        <w:spacing w:line="360" w:lineRule="auto"/>
        <w:jc w:val="both"/>
      </w:pPr>
      <w:r w:rsidRPr="004D55DA">
        <w:fldChar w:fldCharType="end"/>
      </w:r>
    </w:p>
    <w:p w:rsidR="00252026" w:rsidRPr="004D55DA" w:rsidRDefault="00252026" w:rsidP="007F7964">
      <w:pPr>
        <w:spacing w:line="360" w:lineRule="auto"/>
        <w:jc w:val="both"/>
      </w:pPr>
    </w:p>
    <w:p w:rsidR="00252026" w:rsidRPr="004D55DA" w:rsidRDefault="00252026" w:rsidP="007F7964">
      <w:pPr>
        <w:spacing w:line="360" w:lineRule="auto"/>
        <w:jc w:val="both"/>
      </w:pPr>
    </w:p>
    <w:p w:rsidR="00104A12" w:rsidRPr="004D55DA" w:rsidRDefault="00104A12" w:rsidP="00252026">
      <w:r w:rsidRPr="004D55DA">
        <w:br w:type="page"/>
      </w:r>
    </w:p>
    <w:p w:rsidR="00104A12" w:rsidRPr="004D55DA" w:rsidRDefault="00104A12" w:rsidP="007F7964">
      <w:pPr>
        <w:spacing w:line="360" w:lineRule="auto"/>
        <w:jc w:val="both"/>
        <w:rPr>
          <w:b/>
        </w:rPr>
      </w:pPr>
      <w:r w:rsidRPr="004D55DA">
        <w:rPr>
          <w:b/>
        </w:rPr>
        <w:lastRenderedPageBreak/>
        <w:t>Índice de A</w:t>
      </w:r>
      <w:r w:rsidR="00BF783B">
        <w:rPr>
          <w:b/>
        </w:rPr>
        <w:t>pêndices</w:t>
      </w:r>
    </w:p>
    <w:p w:rsidR="00104A12" w:rsidRPr="004D55DA" w:rsidRDefault="00104A12" w:rsidP="007F7964">
      <w:pPr>
        <w:spacing w:line="360" w:lineRule="auto"/>
        <w:jc w:val="both"/>
      </w:pPr>
    </w:p>
    <w:p w:rsidR="00BE22BE" w:rsidRDefault="00104A12">
      <w:pPr>
        <w:pStyle w:val="ndicedeilustraes"/>
        <w:tabs>
          <w:tab w:val="right" w:leader="dot" w:pos="9062"/>
        </w:tabs>
        <w:rPr>
          <w:rFonts w:asciiTheme="minorHAnsi" w:eastAsiaTheme="minorEastAsia" w:hAnsiTheme="minorHAnsi" w:cstheme="minorBidi"/>
          <w:noProof/>
          <w:sz w:val="22"/>
          <w:szCs w:val="22"/>
        </w:rPr>
      </w:pPr>
      <w:r w:rsidRPr="004D55DA">
        <w:fldChar w:fldCharType="begin"/>
      </w:r>
      <w:r w:rsidRPr="004D55DA">
        <w:instrText xml:space="preserve"> TOC \h \z \c "Anexo" </w:instrText>
      </w:r>
      <w:r w:rsidRPr="004D55DA">
        <w:fldChar w:fldCharType="separate"/>
      </w:r>
      <w:hyperlink w:anchor="_Toc395730310" w:history="1">
        <w:r w:rsidR="00BE22BE" w:rsidRPr="00C10730">
          <w:rPr>
            <w:rStyle w:val="Hiperligao"/>
            <w:noProof/>
          </w:rPr>
          <w:t>Apêndice 1 - Primeiro inquérito (Portugal e Espanha)</w:t>
        </w:r>
        <w:r w:rsidR="00BE22BE">
          <w:rPr>
            <w:noProof/>
            <w:webHidden/>
          </w:rPr>
          <w:tab/>
        </w:r>
        <w:r w:rsidR="00BE22BE">
          <w:rPr>
            <w:noProof/>
            <w:webHidden/>
          </w:rPr>
          <w:fldChar w:fldCharType="begin"/>
        </w:r>
        <w:r w:rsidR="00BE22BE">
          <w:rPr>
            <w:noProof/>
            <w:webHidden/>
          </w:rPr>
          <w:instrText xml:space="preserve"> PAGEREF _Toc395730310 \h </w:instrText>
        </w:r>
        <w:r w:rsidR="00BE22BE">
          <w:rPr>
            <w:noProof/>
            <w:webHidden/>
          </w:rPr>
        </w:r>
        <w:r w:rsidR="00BE22BE">
          <w:rPr>
            <w:noProof/>
            <w:webHidden/>
          </w:rPr>
          <w:fldChar w:fldCharType="separate"/>
        </w:r>
        <w:r w:rsidR="008D1B65">
          <w:rPr>
            <w:noProof/>
            <w:webHidden/>
          </w:rPr>
          <w:t>236</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1" w:history="1">
        <w:r w:rsidR="00BE22BE" w:rsidRPr="00C10730">
          <w:rPr>
            <w:rStyle w:val="Hiperligao"/>
            <w:noProof/>
          </w:rPr>
          <w:t>Apêndice 2 - Segundo Inquérito, realizado em Portugal, Espanha e portos da Europa</w:t>
        </w:r>
        <w:r w:rsidR="00BE22BE">
          <w:rPr>
            <w:noProof/>
            <w:webHidden/>
          </w:rPr>
          <w:tab/>
        </w:r>
        <w:r w:rsidR="00BE22BE">
          <w:rPr>
            <w:noProof/>
            <w:webHidden/>
          </w:rPr>
          <w:fldChar w:fldCharType="begin"/>
        </w:r>
        <w:r w:rsidR="00BE22BE">
          <w:rPr>
            <w:noProof/>
            <w:webHidden/>
          </w:rPr>
          <w:instrText xml:space="preserve"> PAGEREF _Toc395730311 \h </w:instrText>
        </w:r>
        <w:r w:rsidR="00BE22BE">
          <w:rPr>
            <w:noProof/>
            <w:webHidden/>
          </w:rPr>
        </w:r>
        <w:r w:rsidR="00BE22BE">
          <w:rPr>
            <w:noProof/>
            <w:webHidden/>
          </w:rPr>
          <w:fldChar w:fldCharType="separate"/>
        </w:r>
        <w:r w:rsidR="008D1B65">
          <w:rPr>
            <w:noProof/>
            <w:webHidden/>
          </w:rPr>
          <w:t>242</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2" w:history="1">
        <w:r w:rsidR="00BE22BE" w:rsidRPr="00C10730">
          <w:rPr>
            <w:rStyle w:val="Hiperligao"/>
            <w:noProof/>
          </w:rPr>
          <w:t>Apêndice 3 – Correlação entre as variáveis no 1º inquérito</w:t>
        </w:r>
        <w:r w:rsidR="00BE22BE">
          <w:rPr>
            <w:noProof/>
            <w:webHidden/>
          </w:rPr>
          <w:tab/>
        </w:r>
        <w:r w:rsidR="00BE22BE">
          <w:rPr>
            <w:noProof/>
            <w:webHidden/>
          </w:rPr>
          <w:fldChar w:fldCharType="begin"/>
        </w:r>
        <w:r w:rsidR="00BE22BE">
          <w:rPr>
            <w:noProof/>
            <w:webHidden/>
          </w:rPr>
          <w:instrText xml:space="preserve"> PAGEREF _Toc395730312 \h </w:instrText>
        </w:r>
        <w:r w:rsidR="00BE22BE">
          <w:rPr>
            <w:noProof/>
            <w:webHidden/>
          </w:rPr>
        </w:r>
        <w:r w:rsidR="00BE22BE">
          <w:rPr>
            <w:noProof/>
            <w:webHidden/>
          </w:rPr>
          <w:fldChar w:fldCharType="separate"/>
        </w:r>
        <w:r w:rsidR="008D1B65">
          <w:rPr>
            <w:noProof/>
            <w:webHidden/>
          </w:rPr>
          <w:t>246</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3" w:history="1">
        <w:r w:rsidR="00BE22BE" w:rsidRPr="00C10730">
          <w:rPr>
            <w:rStyle w:val="Hiperligao"/>
            <w:noProof/>
          </w:rPr>
          <w:t>Apêndice 4 –</w:t>
        </w:r>
        <w:r w:rsidR="00BE22BE" w:rsidRPr="00C10730">
          <w:rPr>
            <w:rStyle w:val="Hiperligao"/>
            <w:rFonts w:ascii="Cambria" w:hAnsi="Cambria" w:cs="Arial"/>
            <w:noProof/>
          </w:rPr>
          <w:t xml:space="preserve"> Total Variance Explained, 1º inquérito, PCA, variáveis endógenas</w:t>
        </w:r>
        <w:r w:rsidR="00BE22BE">
          <w:rPr>
            <w:noProof/>
            <w:webHidden/>
          </w:rPr>
          <w:tab/>
        </w:r>
        <w:r w:rsidR="00BE22BE">
          <w:rPr>
            <w:noProof/>
            <w:webHidden/>
          </w:rPr>
          <w:fldChar w:fldCharType="begin"/>
        </w:r>
        <w:r w:rsidR="00BE22BE">
          <w:rPr>
            <w:noProof/>
            <w:webHidden/>
          </w:rPr>
          <w:instrText xml:space="preserve"> PAGEREF _Toc395730313 \h </w:instrText>
        </w:r>
        <w:r w:rsidR="00BE22BE">
          <w:rPr>
            <w:noProof/>
            <w:webHidden/>
          </w:rPr>
        </w:r>
        <w:r w:rsidR="00BE22BE">
          <w:rPr>
            <w:noProof/>
            <w:webHidden/>
          </w:rPr>
          <w:fldChar w:fldCharType="separate"/>
        </w:r>
        <w:r w:rsidR="008D1B65">
          <w:rPr>
            <w:noProof/>
            <w:webHidden/>
          </w:rPr>
          <w:t>247</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4" w:history="1">
        <w:r w:rsidR="00BE22BE" w:rsidRPr="00C10730">
          <w:rPr>
            <w:rStyle w:val="Hiperligao"/>
            <w:noProof/>
          </w:rPr>
          <w:t xml:space="preserve">Apêndice 5 – </w:t>
        </w:r>
        <w:r w:rsidR="00BE22BE" w:rsidRPr="00C10730">
          <w:rPr>
            <w:rStyle w:val="Hiperligao"/>
            <w:rFonts w:ascii="Cambria" w:hAnsi="Cambria" w:cs="Arial"/>
            <w:noProof/>
          </w:rPr>
          <w:t>Total Variance Explained, 1º inquérito, PCA, variáveis exógenas</w:t>
        </w:r>
        <w:r w:rsidR="00BE22BE">
          <w:rPr>
            <w:noProof/>
            <w:webHidden/>
          </w:rPr>
          <w:tab/>
        </w:r>
        <w:r w:rsidR="00BE22BE">
          <w:rPr>
            <w:noProof/>
            <w:webHidden/>
          </w:rPr>
          <w:fldChar w:fldCharType="begin"/>
        </w:r>
        <w:r w:rsidR="00BE22BE">
          <w:rPr>
            <w:noProof/>
            <w:webHidden/>
          </w:rPr>
          <w:instrText xml:space="preserve"> PAGEREF _Toc395730314 \h </w:instrText>
        </w:r>
        <w:r w:rsidR="00BE22BE">
          <w:rPr>
            <w:noProof/>
            <w:webHidden/>
          </w:rPr>
        </w:r>
        <w:r w:rsidR="00BE22BE">
          <w:rPr>
            <w:noProof/>
            <w:webHidden/>
          </w:rPr>
          <w:fldChar w:fldCharType="separate"/>
        </w:r>
        <w:r w:rsidR="008D1B65">
          <w:rPr>
            <w:noProof/>
            <w:webHidden/>
          </w:rPr>
          <w:t>248</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5" w:history="1">
        <w:r w:rsidR="00BE22BE" w:rsidRPr="00C10730">
          <w:rPr>
            <w:rStyle w:val="Hiperligao"/>
            <w:noProof/>
          </w:rPr>
          <w:t>Apêndice 6 - Correlação entre as variáveis no 2º inquérito, Portugal e Espanha</w:t>
        </w:r>
        <w:r w:rsidR="00BE22BE">
          <w:rPr>
            <w:noProof/>
            <w:webHidden/>
          </w:rPr>
          <w:tab/>
        </w:r>
        <w:r w:rsidR="00BE22BE">
          <w:rPr>
            <w:noProof/>
            <w:webHidden/>
          </w:rPr>
          <w:fldChar w:fldCharType="begin"/>
        </w:r>
        <w:r w:rsidR="00BE22BE">
          <w:rPr>
            <w:noProof/>
            <w:webHidden/>
          </w:rPr>
          <w:instrText xml:space="preserve"> PAGEREF _Toc395730315 \h </w:instrText>
        </w:r>
        <w:r w:rsidR="00BE22BE">
          <w:rPr>
            <w:noProof/>
            <w:webHidden/>
          </w:rPr>
        </w:r>
        <w:r w:rsidR="00BE22BE">
          <w:rPr>
            <w:noProof/>
            <w:webHidden/>
          </w:rPr>
          <w:fldChar w:fldCharType="separate"/>
        </w:r>
        <w:r w:rsidR="008D1B65">
          <w:rPr>
            <w:noProof/>
            <w:webHidden/>
          </w:rPr>
          <w:t>249</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6" w:history="1">
        <w:r w:rsidR="00BE22BE" w:rsidRPr="00C10730">
          <w:rPr>
            <w:rStyle w:val="Hiperligao"/>
            <w:noProof/>
          </w:rPr>
          <w:t>Apêndice 7 - Médias dos terminais, 2º inquérito, Portugal e Espanha</w:t>
        </w:r>
        <w:r w:rsidR="00BE22BE">
          <w:rPr>
            <w:noProof/>
            <w:webHidden/>
          </w:rPr>
          <w:tab/>
        </w:r>
        <w:r w:rsidR="00BE22BE">
          <w:rPr>
            <w:noProof/>
            <w:webHidden/>
          </w:rPr>
          <w:fldChar w:fldCharType="begin"/>
        </w:r>
        <w:r w:rsidR="00BE22BE">
          <w:rPr>
            <w:noProof/>
            <w:webHidden/>
          </w:rPr>
          <w:instrText xml:space="preserve"> PAGEREF _Toc395730316 \h </w:instrText>
        </w:r>
        <w:r w:rsidR="00BE22BE">
          <w:rPr>
            <w:noProof/>
            <w:webHidden/>
          </w:rPr>
        </w:r>
        <w:r w:rsidR="00BE22BE">
          <w:rPr>
            <w:noProof/>
            <w:webHidden/>
          </w:rPr>
          <w:fldChar w:fldCharType="separate"/>
        </w:r>
        <w:r w:rsidR="008D1B65">
          <w:rPr>
            <w:noProof/>
            <w:webHidden/>
          </w:rPr>
          <w:t>250</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7" w:history="1">
        <w:r w:rsidR="00BE22BE" w:rsidRPr="00C10730">
          <w:rPr>
            <w:rStyle w:val="Hiperligao"/>
            <w:noProof/>
          </w:rPr>
          <w:t>Apêndice 8 - Médias de Portugal e Espanha, 2º inquérito</w:t>
        </w:r>
        <w:r w:rsidR="00BE22BE">
          <w:rPr>
            <w:noProof/>
            <w:webHidden/>
          </w:rPr>
          <w:tab/>
        </w:r>
        <w:r w:rsidR="00BE22BE">
          <w:rPr>
            <w:noProof/>
            <w:webHidden/>
          </w:rPr>
          <w:fldChar w:fldCharType="begin"/>
        </w:r>
        <w:r w:rsidR="00BE22BE">
          <w:rPr>
            <w:noProof/>
            <w:webHidden/>
          </w:rPr>
          <w:instrText xml:space="preserve"> PAGEREF _Toc395730317 \h </w:instrText>
        </w:r>
        <w:r w:rsidR="00BE22BE">
          <w:rPr>
            <w:noProof/>
            <w:webHidden/>
          </w:rPr>
        </w:r>
        <w:r w:rsidR="00BE22BE">
          <w:rPr>
            <w:noProof/>
            <w:webHidden/>
          </w:rPr>
          <w:fldChar w:fldCharType="separate"/>
        </w:r>
        <w:r w:rsidR="008D1B65">
          <w:rPr>
            <w:noProof/>
            <w:webHidden/>
          </w:rPr>
          <w:t>253</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8" w:history="1">
        <w:r w:rsidR="00BE22BE" w:rsidRPr="00C10730">
          <w:rPr>
            <w:rStyle w:val="Hiperligao"/>
            <w:noProof/>
          </w:rPr>
          <w:t>Apêndice 9 – Variância explicada, PCA, Varimax, 2º inq., PT e ES, variáveis endógenas</w:t>
        </w:r>
        <w:r w:rsidR="00BE22BE">
          <w:rPr>
            <w:noProof/>
            <w:webHidden/>
          </w:rPr>
          <w:tab/>
        </w:r>
        <w:r w:rsidR="00BE22BE">
          <w:rPr>
            <w:noProof/>
            <w:webHidden/>
          </w:rPr>
          <w:fldChar w:fldCharType="begin"/>
        </w:r>
        <w:r w:rsidR="00BE22BE">
          <w:rPr>
            <w:noProof/>
            <w:webHidden/>
          </w:rPr>
          <w:instrText xml:space="preserve"> PAGEREF _Toc395730318 \h </w:instrText>
        </w:r>
        <w:r w:rsidR="00BE22BE">
          <w:rPr>
            <w:noProof/>
            <w:webHidden/>
          </w:rPr>
        </w:r>
        <w:r w:rsidR="00BE22BE">
          <w:rPr>
            <w:noProof/>
            <w:webHidden/>
          </w:rPr>
          <w:fldChar w:fldCharType="separate"/>
        </w:r>
        <w:r w:rsidR="008D1B65">
          <w:rPr>
            <w:noProof/>
            <w:webHidden/>
          </w:rPr>
          <w:t>254</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19" w:history="1">
        <w:r w:rsidR="00BE22BE" w:rsidRPr="00C10730">
          <w:rPr>
            <w:rStyle w:val="Hiperligao"/>
            <w:noProof/>
          </w:rPr>
          <w:t>Apêndice 10 - Variância explicada, PCA, Varimax, 2º inq., PT e ES, variáveis exógenas</w:t>
        </w:r>
        <w:r w:rsidR="00BE22BE">
          <w:rPr>
            <w:noProof/>
            <w:webHidden/>
          </w:rPr>
          <w:tab/>
        </w:r>
        <w:r w:rsidR="00BE22BE">
          <w:rPr>
            <w:noProof/>
            <w:webHidden/>
          </w:rPr>
          <w:fldChar w:fldCharType="begin"/>
        </w:r>
        <w:r w:rsidR="00BE22BE">
          <w:rPr>
            <w:noProof/>
            <w:webHidden/>
          </w:rPr>
          <w:instrText xml:space="preserve"> PAGEREF _Toc395730319 \h </w:instrText>
        </w:r>
        <w:r w:rsidR="00BE22BE">
          <w:rPr>
            <w:noProof/>
            <w:webHidden/>
          </w:rPr>
        </w:r>
        <w:r w:rsidR="00BE22BE">
          <w:rPr>
            <w:noProof/>
            <w:webHidden/>
          </w:rPr>
          <w:fldChar w:fldCharType="separate"/>
        </w:r>
        <w:r w:rsidR="008D1B65">
          <w:rPr>
            <w:noProof/>
            <w:webHidden/>
          </w:rPr>
          <w:t>255</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20" w:history="1">
        <w:r w:rsidR="00BE22BE" w:rsidRPr="00C10730">
          <w:rPr>
            <w:rStyle w:val="Hiperligao"/>
            <w:noProof/>
          </w:rPr>
          <w:t>Apêndice 11 - Correlação entre as variáveis no 2º inquérito, Europa</w:t>
        </w:r>
        <w:r w:rsidR="00BE22BE">
          <w:rPr>
            <w:noProof/>
            <w:webHidden/>
          </w:rPr>
          <w:tab/>
        </w:r>
        <w:r w:rsidR="00BE22BE">
          <w:rPr>
            <w:noProof/>
            <w:webHidden/>
          </w:rPr>
          <w:fldChar w:fldCharType="begin"/>
        </w:r>
        <w:r w:rsidR="00BE22BE">
          <w:rPr>
            <w:noProof/>
            <w:webHidden/>
          </w:rPr>
          <w:instrText xml:space="preserve"> PAGEREF _Toc395730320 \h </w:instrText>
        </w:r>
        <w:r w:rsidR="00BE22BE">
          <w:rPr>
            <w:noProof/>
            <w:webHidden/>
          </w:rPr>
        </w:r>
        <w:r w:rsidR="00BE22BE">
          <w:rPr>
            <w:noProof/>
            <w:webHidden/>
          </w:rPr>
          <w:fldChar w:fldCharType="separate"/>
        </w:r>
        <w:r w:rsidR="008D1B65">
          <w:rPr>
            <w:noProof/>
            <w:webHidden/>
          </w:rPr>
          <w:t>256</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21" w:history="1">
        <w:r w:rsidR="00BE22BE" w:rsidRPr="00C10730">
          <w:rPr>
            <w:rStyle w:val="Hiperligao"/>
            <w:noProof/>
          </w:rPr>
          <w:t>Apêndice 12 – Médias por porto, 2º inquérito, Europa</w:t>
        </w:r>
        <w:r w:rsidR="00BE22BE">
          <w:rPr>
            <w:noProof/>
            <w:webHidden/>
          </w:rPr>
          <w:tab/>
        </w:r>
        <w:r w:rsidR="00BE22BE">
          <w:rPr>
            <w:noProof/>
            <w:webHidden/>
          </w:rPr>
          <w:fldChar w:fldCharType="begin"/>
        </w:r>
        <w:r w:rsidR="00BE22BE">
          <w:rPr>
            <w:noProof/>
            <w:webHidden/>
          </w:rPr>
          <w:instrText xml:space="preserve"> PAGEREF _Toc395730321 \h </w:instrText>
        </w:r>
        <w:r w:rsidR="00BE22BE">
          <w:rPr>
            <w:noProof/>
            <w:webHidden/>
          </w:rPr>
        </w:r>
        <w:r w:rsidR="00BE22BE">
          <w:rPr>
            <w:noProof/>
            <w:webHidden/>
          </w:rPr>
          <w:fldChar w:fldCharType="separate"/>
        </w:r>
        <w:r w:rsidR="008D1B65">
          <w:rPr>
            <w:noProof/>
            <w:webHidden/>
          </w:rPr>
          <w:t>257</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22" w:history="1">
        <w:r w:rsidR="00BE22BE" w:rsidRPr="00C10730">
          <w:rPr>
            <w:rStyle w:val="Hiperligao"/>
            <w:noProof/>
          </w:rPr>
          <w:t>Apêndice 13 – Médias por países, 2º inquérito, Europa</w:t>
        </w:r>
        <w:r w:rsidR="00BE22BE">
          <w:rPr>
            <w:noProof/>
            <w:webHidden/>
          </w:rPr>
          <w:tab/>
        </w:r>
        <w:r w:rsidR="00BE22BE">
          <w:rPr>
            <w:noProof/>
            <w:webHidden/>
          </w:rPr>
          <w:fldChar w:fldCharType="begin"/>
        </w:r>
        <w:r w:rsidR="00BE22BE">
          <w:rPr>
            <w:noProof/>
            <w:webHidden/>
          </w:rPr>
          <w:instrText xml:space="preserve"> PAGEREF _Toc395730322 \h </w:instrText>
        </w:r>
        <w:r w:rsidR="00BE22BE">
          <w:rPr>
            <w:noProof/>
            <w:webHidden/>
          </w:rPr>
        </w:r>
        <w:r w:rsidR="00BE22BE">
          <w:rPr>
            <w:noProof/>
            <w:webHidden/>
          </w:rPr>
          <w:fldChar w:fldCharType="separate"/>
        </w:r>
        <w:r w:rsidR="008D1B65">
          <w:rPr>
            <w:noProof/>
            <w:webHidden/>
          </w:rPr>
          <w:t>260</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23" w:history="1">
        <w:r w:rsidR="00BE22BE" w:rsidRPr="00C10730">
          <w:rPr>
            <w:rStyle w:val="Hiperligao"/>
            <w:noProof/>
          </w:rPr>
          <w:t>Apêndice 14 – Variância explicada, análise fact.PCA varimax, 2ºinq., Europa, var.endog.</w:t>
        </w:r>
        <w:r w:rsidR="00BE22BE">
          <w:rPr>
            <w:noProof/>
            <w:webHidden/>
          </w:rPr>
          <w:tab/>
        </w:r>
        <w:r w:rsidR="00BE22BE">
          <w:rPr>
            <w:noProof/>
            <w:webHidden/>
          </w:rPr>
          <w:fldChar w:fldCharType="begin"/>
        </w:r>
        <w:r w:rsidR="00BE22BE">
          <w:rPr>
            <w:noProof/>
            <w:webHidden/>
          </w:rPr>
          <w:instrText xml:space="preserve"> PAGEREF _Toc395730323 \h </w:instrText>
        </w:r>
        <w:r w:rsidR="00BE22BE">
          <w:rPr>
            <w:noProof/>
            <w:webHidden/>
          </w:rPr>
        </w:r>
        <w:r w:rsidR="00BE22BE">
          <w:rPr>
            <w:noProof/>
            <w:webHidden/>
          </w:rPr>
          <w:fldChar w:fldCharType="separate"/>
        </w:r>
        <w:r w:rsidR="008D1B65">
          <w:rPr>
            <w:noProof/>
            <w:webHidden/>
          </w:rPr>
          <w:t>262</w:t>
        </w:r>
        <w:r w:rsidR="00BE22BE">
          <w:rPr>
            <w:noProof/>
            <w:webHidden/>
          </w:rPr>
          <w:fldChar w:fldCharType="end"/>
        </w:r>
      </w:hyperlink>
    </w:p>
    <w:p w:rsidR="00BE22BE" w:rsidRDefault="00E56916">
      <w:pPr>
        <w:pStyle w:val="ndicedeilustraes"/>
        <w:tabs>
          <w:tab w:val="right" w:leader="dot" w:pos="9062"/>
        </w:tabs>
        <w:rPr>
          <w:rFonts w:asciiTheme="minorHAnsi" w:eastAsiaTheme="minorEastAsia" w:hAnsiTheme="minorHAnsi" w:cstheme="minorBidi"/>
          <w:noProof/>
          <w:sz w:val="22"/>
          <w:szCs w:val="22"/>
        </w:rPr>
      </w:pPr>
      <w:hyperlink w:anchor="_Toc395730324" w:history="1">
        <w:r w:rsidR="00BE22BE" w:rsidRPr="00C10730">
          <w:rPr>
            <w:rStyle w:val="Hiperligao"/>
            <w:noProof/>
          </w:rPr>
          <w:t>Apêndice 15 - Variância explicada, análise fact.PCA varimax, 2ºinq., Europa, var.exóg.</w:t>
        </w:r>
        <w:r w:rsidR="00BE22BE">
          <w:rPr>
            <w:noProof/>
            <w:webHidden/>
          </w:rPr>
          <w:tab/>
        </w:r>
        <w:r w:rsidR="00BE22BE">
          <w:rPr>
            <w:noProof/>
            <w:webHidden/>
          </w:rPr>
          <w:fldChar w:fldCharType="begin"/>
        </w:r>
        <w:r w:rsidR="00BE22BE">
          <w:rPr>
            <w:noProof/>
            <w:webHidden/>
          </w:rPr>
          <w:instrText xml:space="preserve"> PAGEREF _Toc395730324 \h </w:instrText>
        </w:r>
        <w:r w:rsidR="00BE22BE">
          <w:rPr>
            <w:noProof/>
            <w:webHidden/>
          </w:rPr>
        </w:r>
        <w:r w:rsidR="00BE22BE">
          <w:rPr>
            <w:noProof/>
            <w:webHidden/>
          </w:rPr>
          <w:fldChar w:fldCharType="separate"/>
        </w:r>
        <w:r w:rsidR="008D1B65">
          <w:rPr>
            <w:noProof/>
            <w:webHidden/>
          </w:rPr>
          <w:t>263</w:t>
        </w:r>
        <w:r w:rsidR="00BE22BE">
          <w:rPr>
            <w:noProof/>
            <w:webHidden/>
          </w:rPr>
          <w:fldChar w:fldCharType="end"/>
        </w:r>
      </w:hyperlink>
    </w:p>
    <w:p w:rsidR="00104A12" w:rsidRPr="004D55DA" w:rsidRDefault="00104A12" w:rsidP="007F7964">
      <w:pPr>
        <w:spacing w:line="360" w:lineRule="auto"/>
        <w:jc w:val="both"/>
      </w:pPr>
      <w:r w:rsidRPr="004D55DA">
        <w:fldChar w:fldCharType="end"/>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rPr>
          <w:b/>
        </w:rPr>
      </w:pPr>
    </w:p>
    <w:p w:rsidR="00104A12" w:rsidRPr="00F72F59" w:rsidRDefault="00104A12" w:rsidP="00F72F59">
      <w:pPr>
        <w:pStyle w:val="Cabealho1"/>
        <w:numPr>
          <w:ilvl w:val="0"/>
          <w:numId w:val="1"/>
        </w:numPr>
        <w:rPr>
          <w:rFonts w:ascii="Times New Roman" w:hAnsi="Times New Roman"/>
          <w:sz w:val="24"/>
          <w:szCs w:val="24"/>
        </w:rPr>
      </w:pPr>
      <w:bookmarkStart w:id="1" w:name="_Toc395730122"/>
      <w:r w:rsidRPr="00F72F59">
        <w:rPr>
          <w:rFonts w:ascii="Times New Roman" w:hAnsi="Times New Roman"/>
          <w:sz w:val="24"/>
          <w:szCs w:val="24"/>
        </w:rPr>
        <w:t>Introdução</w:t>
      </w:r>
      <w:bookmarkEnd w:id="1"/>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presente tese está dividida nas seguintes partes: introdução, revisão da literatura, modelo de investigação e hipóteses de trabalho, inquéritos e técnicas estatísticas, resultados, discussão dos resultados, conclusões e implicações e trabalhos futuros.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Neste capítulo é referido o enquadramento geral do tema dos portos e dos terminais de contentores, o enquadramento </w:t>
      </w:r>
      <w:r w:rsidR="00966D63" w:rsidRPr="004D55DA">
        <w:t>teórico</w:t>
      </w:r>
      <w:r w:rsidRPr="004D55DA">
        <w:t xml:space="preserve"> do estudo</w:t>
      </w:r>
      <w:r w:rsidR="00966D63" w:rsidRPr="004D55DA">
        <w:t xml:space="preserve"> com reporte a trabalhos recentes, as lacunas d</w:t>
      </w:r>
      <w:r w:rsidRPr="004D55DA">
        <w:t xml:space="preserve">a investigação e </w:t>
      </w:r>
      <w:r w:rsidR="00966D63" w:rsidRPr="004D55DA">
        <w:t>o propósito,</w:t>
      </w:r>
      <w:r w:rsidRPr="004D55DA">
        <w:t xml:space="preserve"> objetivos do estudo</w:t>
      </w:r>
      <w:r w:rsidR="00966D63" w:rsidRPr="004D55DA">
        <w:t xml:space="preserve"> e metodologia</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br w:type="page"/>
      </w:r>
    </w:p>
    <w:p w:rsidR="00104A12" w:rsidRPr="004D55DA" w:rsidRDefault="00104A12" w:rsidP="004D55DA">
      <w:pPr>
        <w:pStyle w:val="Cabealho2"/>
        <w:tabs>
          <w:tab w:val="clear" w:pos="576"/>
        </w:tabs>
        <w:spacing w:line="360" w:lineRule="auto"/>
        <w:ind w:left="0" w:firstLine="0"/>
        <w:jc w:val="both"/>
        <w:rPr>
          <w:sz w:val="24"/>
          <w:szCs w:val="24"/>
          <w:lang w:val="pt-PT"/>
        </w:rPr>
      </w:pPr>
      <w:bookmarkStart w:id="2" w:name="_Toc395730123"/>
      <w:r w:rsidRPr="004D55DA">
        <w:rPr>
          <w:sz w:val="24"/>
          <w:szCs w:val="24"/>
          <w:lang w:val="pt-PT"/>
        </w:rPr>
        <w:lastRenderedPageBreak/>
        <w:t>Enquadramento geral</w:t>
      </w:r>
      <w:r w:rsidR="00966D63" w:rsidRPr="004D55DA">
        <w:rPr>
          <w:sz w:val="24"/>
          <w:szCs w:val="24"/>
          <w:lang w:val="pt-PT"/>
        </w:rPr>
        <w:t xml:space="preserve"> dos portos e terminais de contentores</w:t>
      </w:r>
      <w:bookmarkEnd w:id="2"/>
    </w:p>
    <w:p w:rsidR="00104A12" w:rsidRPr="004D55DA" w:rsidRDefault="00104A12" w:rsidP="007F7964">
      <w:pPr>
        <w:spacing w:line="360" w:lineRule="auto"/>
        <w:jc w:val="both"/>
      </w:pPr>
      <w:r w:rsidRPr="004D55DA">
        <w:rPr>
          <w:rStyle w:val="hps"/>
        </w:rPr>
        <w:t>Ao transporte marítimo associa-se, em geral,</w:t>
      </w:r>
      <w:r w:rsidRPr="004D55DA">
        <w:t xml:space="preserve"> </w:t>
      </w:r>
      <w:r w:rsidRPr="004D55DA">
        <w:rPr>
          <w:rStyle w:val="hps"/>
        </w:rPr>
        <w:t>a atividade do transporte por mar e a</w:t>
      </w:r>
      <w:r w:rsidR="00966D63" w:rsidRPr="004D55DA">
        <w:rPr>
          <w:rStyle w:val="hps"/>
        </w:rPr>
        <w:t xml:space="preserve"> atividade</w:t>
      </w:r>
      <w:r w:rsidRPr="004D55DA">
        <w:rPr>
          <w:rStyle w:val="hps"/>
        </w:rPr>
        <w:t xml:space="preserve"> realizada nos portos, sendo expectável que </w:t>
      </w:r>
      <w:r w:rsidR="00966D63" w:rsidRPr="004D55DA">
        <w:rPr>
          <w:rStyle w:val="hps"/>
        </w:rPr>
        <w:t>t</w:t>
      </w:r>
      <w:r w:rsidRPr="004D55DA">
        <w:rPr>
          <w:rStyle w:val="hps"/>
        </w:rPr>
        <w:t>enha papel cada vez mais relevante no futuro dos transportes e na economia mundial, por força das grandes alterações tecnológicas e do impacto das</w:t>
      </w:r>
      <w:r w:rsidRPr="004D55DA">
        <w:t xml:space="preserve"> </w:t>
      </w:r>
      <w:r w:rsidRPr="004D55DA">
        <w:rPr>
          <w:rStyle w:val="hps"/>
        </w:rPr>
        <w:t>políticas dos Estados ao</w:t>
      </w:r>
      <w:r w:rsidRPr="004D55DA">
        <w:t xml:space="preserve"> </w:t>
      </w:r>
      <w:r w:rsidRPr="004D55DA">
        <w:rPr>
          <w:rStyle w:val="hps"/>
        </w:rPr>
        <w:t>promover</w:t>
      </w:r>
      <w:r w:rsidRPr="004D55DA">
        <w:t xml:space="preserve"> </w:t>
      </w:r>
      <w:r w:rsidRPr="004D55DA">
        <w:rPr>
          <w:rStyle w:val="hps"/>
        </w:rPr>
        <w:t>um</w:t>
      </w:r>
      <w:r w:rsidRPr="004D55DA">
        <w:t xml:space="preserve"> </w:t>
      </w:r>
      <w:r w:rsidRPr="004D55DA">
        <w:rPr>
          <w:rStyle w:val="hps"/>
        </w:rPr>
        <w:t>sistema de transportes mais</w:t>
      </w:r>
      <w:r w:rsidRPr="004D55DA">
        <w:t xml:space="preserve"> </w:t>
      </w:r>
      <w:r w:rsidRPr="004D55DA">
        <w:rPr>
          <w:rStyle w:val="hps"/>
        </w:rPr>
        <w:t>sustentável e mais eficiente</w:t>
      </w:r>
      <w:r w:rsidRPr="004D55DA">
        <w:t>.</w:t>
      </w:r>
      <w:r w:rsidR="00D87901">
        <w:rPr>
          <w:rStyle w:val="hps"/>
        </w:rPr>
        <w:t xml:space="preserve"> </w:t>
      </w:r>
      <w:r w:rsidRPr="004D55DA">
        <w:rPr>
          <w:rStyle w:val="hps"/>
        </w:rPr>
        <w:t>A</w:t>
      </w:r>
      <w:r w:rsidRPr="004D55DA">
        <w:t xml:space="preserve"> </w:t>
      </w:r>
      <w:r w:rsidRPr="004D55DA">
        <w:rPr>
          <w:rStyle w:val="hps"/>
        </w:rPr>
        <w:t>relevância económica</w:t>
      </w:r>
      <w:r w:rsidRPr="004D55DA">
        <w:t xml:space="preserve"> </w:t>
      </w:r>
      <w:r w:rsidRPr="004D55DA">
        <w:rPr>
          <w:rStyle w:val="hps"/>
        </w:rPr>
        <w:t>dos portos</w:t>
      </w:r>
      <w:r w:rsidRPr="004D55DA">
        <w:t xml:space="preserve"> </w:t>
      </w:r>
      <w:r w:rsidRPr="004D55DA">
        <w:rPr>
          <w:rStyle w:val="hps"/>
        </w:rPr>
        <w:t xml:space="preserve">decorre do facto </w:t>
      </w:r>
      <w:r w:rsidR="001031C5">
        <w:rPr>
          <w:rStyle w:val="hps"/>
        </w:rPr>
        <w:t>de 90%</w:t>
      </w:r>
      <w:r w:rsidRPr="004D55DA">
        <w:t xml:space="preserve"> </w:t>
      </w:r>
      <w:r w:rsidRPr="004D55DA">
        <w:rPr>
          <w:rStyle w:val="hps"/>
        </w:rPr>
        <w:t>do comércio exterior</w:t>
      </w:r>
      <w:r w:rsidRPr="004D55DA">
        <w:t xml:space="preserve"> </w:t>
      </w:r>
      <w:r w:rsidRPr="004D55DA">
        <w:rPr>
          <w:rStyle w:val="hps"/>
        </w:rPr>
        <w:t>dos países ser</w:t>
      </w:r>
      <w:r w:rsidRPr="004D55DA">
        <w:t xml:space="preserve"> </w:t>
      </w:r>
      <w:r w:rsidRPr="004D55DA">
        <w:rPr>
          <w:rStyle w:val="hps"/>
        </w:rPr>
        <w:t>realizado</w:t>
      </w:r>
      <w:r w:rsidRPr="004D55DA">
        <w:t xml:space="preserve"> </w:t>
      </w:r>
      <w:r w:rsidRPr="004D55DA">
        <w:rPr>
          <w:rStyle w:val="hps"/>
        </w:rPr>
        <w:t>por via marítima</w:t>
      </w:r>
      <w:r w:rsidR="001031C5">
        <w:rPr>
          <w:rStyle w:val="hps"/>
        </w:rPr>
        <w:t xml:space="preserve"> (UNCTAD, 2011)</w:t>
      </w:r>
      <w:r w:rsidRPr="004D55DA">
        <w:t xml:space="preserve">. Por exemplo, </w:t>
      </w:r>
      <w:r w:rsidRPr="004D55DA">
        <w:rPr>
          <w:rStyle w:val="hps"/>
        </w:rPr>
        <w:t>a grande maioria do comércio internacional</w:t>
      </w:r>
      <w:r w:rsidRPr="004D55DA">
        <w:t xml:space="preserve"> </w:t>
      </w:r>
      <w:r w:rsidRPr="004D55DA">
        <w:rPr>
          <w:rStyle w:val="hps"/>
        </w:rPr>
        <w:t>da União Europeia</w:t>
      </w:r>
      <w:r w:rsidRPr="004D55DA">
        <w:t xml:space="preserve"> </w:t>
      </w:r>
      <w:r w:rsidRPr="004D55DA">
        <w:rPr>
          <w:rStyle w:val="hps"/>
        </w:rPr>
        <w:t>utiliza a via marítima</w:t>
      </w:r>
      <w:r w:rsidRPr="004D55DA">
        <w:t xml:space="preserve">, </w:t>
      </w:r>
      <w:r w:rsidR="00966D63" w:rsidRPr="004D55DA">
        <w:t>pelo</w:t>
      </w:r>
      <w:r w:rsidR="004E71D2">
        <w:t xml:space="preserve"> facto d</w:t>
      </w:r>
      <w:r w:rsidRPr="004D55DA">
        <w:t xml:space="preserve">a grande península europeia estar rodeada pelo mar. </w:t>
      </w:r>
      <w:r w:rsidRPr="004D55DA">
        <w:rPr>
          <w:rStyle w:val="hps"/>
        </w:rPr>
        <w:t>Os portos constituem assim uma das</w:t>
      </w:r>
      <w:r w:rsidRPr="004D55DA">
        <w:t xml:space="preserve"> </w:t>
      </w:r>
      <w:r w:rsidRPr="004D55DA">
        <w:rPr>
          <w:rStyle w:val="hps"/>
        </w:rPr>
        <w:t>principais forças</w:t>
      </w:r>
      <w:r w:rsidRPr="004D55DA">
        <w:t xml:space="preserve"> </w:t>
      </w:r>
      <w:r w:rsidRPr="004D55DA">
        <w:rPr>
          <w:rStyle w:val="hps"/>
        </w:rPr>
        <w:t>da</w:t>
      </w:r>
      <w:r w:rsidRPr="004D55DA">
        <w:t xml:space="preserve"> </w:t>
      </w:r>
      <w:r w:rsidRPr="004D55DA">
        <w:rPr>
          <w:rStyle w:val="hps"/>
        </w:rPr>
        <w:t>economia, alvo da política de transportes da União Europeia</w:t>
      </w:r>
      <w:r w:rsidRPr="004D55DA">
        <w:t xml:space="preserve"> </w:t>
      </w:r>
      <w:r w:rsidRPr="004D55DA">
        <w:rPr>
          <w:rStyle w:val="hps"/>
        </w:rPr>
        <w:t>com vista a promover</w:t>
      </w:r>
      <w:r w:rsidRPr="004D55DA">
        <w:t xml:space="preserve"> </w:t>
      </w:r>
      <w:r w:rsidRPr="004D55DA">
        <w:rPr>
          <w:rStyle w:val="hps"/>
        </w:rPr>
        <w:t>a coesão económica.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rStyle w:val="hps"/>
        </w:rPr>
        <w:t>O transporte</w:t>
      </w:r>
      <w:r w:rsidRPr="004D55DA">
        <w:t xml:space="preserve"> </w:t>
      </w:r>
      <w:r w:rsidRPr="004D55DA">
        <w:rPr>
          <w:rStyle w:val="hps"/>
        </w:rPr>
        <w:t>marítimo</w:t>
      </w:r>
      <w:r w:rsidR="00E40CEF">
        <w:rPr>
          <w:rStyle w:val="hps"/>
        </w:rPr>
        <w:fldChar w:fldCharType="begin"/>
      </w:r>
      <w:r w:rsidR="00E40CEF">
        <w:instrText xml:space="preserve"> XE "</w:instrText>
      </w:r>
      <w:r w:rsidR="00E40CEF" w:rsidRPr="00F075E5">
        <w:rPr>
          <w:rStyle w:val="hps"/>
        </w:rPr>
        <w:instrText>transporte</w:instrText>
      </w:r>
      <w:r w:rsidR="00E40CEF" w:rsidRPr="00F075E5">
        <w:instrText xml:space="preserve"> </w:instrText>
      </w:r>
      <w:r w:rsidR="00E40CEF" w:rsidRPr="00F075E5">
        <w:rPr>
          <w:rStyle w:val="hps"/>
        </w:rPr>
        <w:instrText>marítimo</w:instrText>
      </w:r>
      <w:r w:rsidR="00E40CEF">
        <w:instrText xml:space="preserve">" </w:instrText>
      </w:r>
      <w:r w:rsidR="00E40CEF">
        <w:rPr>
          <w:rStyle w:val="hps"/>
        </w:rPr>
        <w:fldChar w:fldCharType="end"/>
      </w:r>
      <w:r w:rsidRPr="004D55DA">
        <w:t xml:space="preserve"> </w:t>
      </w:r>
      <w:r w:rsidRPr="004D55DA">
        <w:rPr>
          <w:rStyle w:val="hps"/>
        </w:rPr>
        <w:t>assegura também</w:t>
      </w:r>
      <w:r w:rsidRPr="004D55DA">
        <w:t xml:space="preserve"> </w:t>
      </w:r>
      <w:r w:rsidRPr="004D55DA">
        <w:rPr>
          <w:rStyle w:val="hps"/>
        </w:rPr>
        <w:t>grande parte</w:t>
      </w:r>
      <w:r w:rsidR="00966D63" w:rsidRPr="004D55DA">
        <w:t xml:space="preserve"> do</w:t>
      </w:r>
      <w:r w:rsidRPr="004D55DA">
        <w:t xml:space="preserve"> </w:t>
      </w:r>
      <w:r w:rsidRPr="004D55DA">
        <w:rPr>
          <w:rStyle w:val="hps"/>
        </w:rPr>
        <w:t>volume</w:t>
      </w:r>
      <w:r w:rsidRPr="004D55DA">
        <w:t xml:space="preserve"> </w:t>
      </w:r>
      <w:r w:rsidRPr="004D55DA">
        <w:rPr>
          <w:rStyle w:val="hps"/>
        </w:rPr>
        <w:t>do comércio mundial,</w:t>
      </w:r>
      <w:r w:rsidRPr="004D55DA">
        <w:t xml:space="preserve"> </w:t>
      </w:r>
      <w:r w:rsidRPr="004D55DA">
        <w:rPr>
          <w:rStyle w:val="hps"/>
        </w:rPr>
        <w:t>verificando-se um processo continuado de reorganização da rede global do transporte marítimo, com a criação de portos intermédios de “transhipment” nas rotas principais e de linhas alimentadoras nas ligações secundárias.</w:t>
      </w:r>
      <w:r w:rsidR="00D87901">
        <w:rPr>
          <w:rStyle w:val="hps"/>
        </w:rPr>
        <w:t xml:space="preserve"> </w:t>
      </w:r>
      <w:r w:rsidRPr="004D55DA">
        <w:t>Com a globalização, o</w:t>
      </w:r>
      <w:r w:rsidR="00966D63" w:rsidRPr="004D55DA">
        <w:t>s portos possuem</w:t>
      </w:r>
      <w:r w:rsidRPr="004D55DA">
        <w:t xml:space="preserve"> papel importante no desenvolvimento do comércio nacional e internacional dos países, funda</w:t>
      </w:r>
      <w:r w:rsidR="00966D63" w:rsidRPr="004D55DA">
        <w:t xml:space="preserve">mental para </w:t>
      </w:r>
      <w:r w:rsidRPr="004D55DA">
        <w:t xml:space="preserve">o desenvolvimento sustentado da economia (Gaur, 2005). Por um lado, desempenham um papel aglutinador </w:t>
      </w:r>
      <w:r w:rsidR="00966D63" w:rsidRPr="004D55DA">
        <w:t xml:space="preserve">para </w:t>
      </w:r>
      <w:r w:rsidRPr="004D55DA">
        <w:t>o desenvolvimento regional e nacional, atraindo investimentos e negócio</w:t>
      </w:r>
      <w:r w:rsidR="00966D63" w:rsidRPr="004D55DA">
        <w:t>s para a sua área de influência</w:t>
      </w:r>
      <w:r w:rsidRPr="004D55DA">
        <w:t xml:space="preserve"> e</w:t>
      </w:r>
      <w:r w:rsidR="00966D63" w:rsidRPr="004D55DA">
        <w:t>,</w:t>
      </w:r>
      <w:r w:rsidRPr="004D55DA">
        <w:t xml:space="preserve"> por outro, um papel na ligação direta com outras economias a nível mundial, permitindo a exportação e a importação de bens a custos baixos.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portos são estruturas dinâmicas com importante papel na gestão das cadeias logísticas como pontos de interconexão entre modos de transporte, mas, também</w:t>
      </w:r>
      <w:r w:rsidR="00966D63" w:rsidRPr="004D55DA">
        <w:t>,</w:t>
      </w:r>
      <w:r w:rsidRPr="004D55DA">
        <w:t xml:space="preserve"> cada vez mais</w:t>
      </w:r>
      <w:r w:rsidR="00966D63" w:rsidRPr="004D55DA">
        <w:t>,</w:t>
      </w:r>
      <w:r w:rsidRPr="004D55DA">
        <w:t xml:space="preserve"> como elos da cadeia de abastecimento, sendo-lhes exigido assegurar o movimento </w:t>
      </w:r>
      <w:r w:rsidR="00966D63" w:rsidRPr="004D55DA">
        <w:t xml:space="preserve">do navio e da carga. Além disso, </w:t>
      </w:r>
      <w:r w:rsidRPr="004D55DA">
        <w:t>que esse movimento seja realizado com eficiência e rapidez, de forma fiável, com valor acrescentado</w:t>
      </w:r>
      <w:r w:rsidR="00966D63" w:rsidRPr="004D55DA">
        <w:t>,</w:t>
      </w:r>
      <w:r w:rsidRPr="004D55DA">
        <w:t xml:space="preserve"> e de acordo com as especificações da cadeia de transporte. A essência dos portos marítimos é, no fundo, ligar as redes marítimas </w:t>
      </w:r>
      <w:r w:rsidR="00966D63" w:rsidRPr="004D55DA">
        <w:t>com</w:t>
      </w:r>
      <w:r w:rsidRPr="004D55DA">
        <w:t xml:space="preserve"> as redes terrestres. Nas últimas décadas, as tendências de crescente contentorização, de ganhos de eficiência através do recurso às economias de escala e de integração das empresas de transporte marítimo, têm vindo a ter</w:t>
      </w:r>
      <w:r w:rsidR="00966D63" w:rsidRPr="004D55DA">
        <w:t xml:space="preserve"> impacto económico</w:t>
      </w:r>
      <w:r w:rsidRPr="004D55DA">
        <w:t xml:space="preserve"> sobre os portos</w:t>
      </w:r>
      <w:r w:rsidR="00966D63" w:rsidRPr="004D55DA">
        <w:t>,</w:t>
      </w:r>
      <w:r w:rsidRPr="004D55DA">
        <w:t xml:space="preserve"> nos aspetos da qualidade do serviço e frequência das linhas marítimas (Notteboom, 2004), resultando na</w:t>
      </w:r>
      <w:r w:rsidR="00966D63" w:rsidRPr="004D55DA">
        <w:t xml:space="preserve"> elevada</w:t>
      </w:r>
      <w:r w:rsidRPr="004D55DA">
        <w:t xml:space="preserve"> competição pelos tráfegos e pelas cadeias logísticas.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rStyle w:val="hps"/>
        </w:rPr>
        <w:t>Por outro lado, os operadores marítimos</w:t>
      </w:r>
      <w:r w:rsidR="00E40CEF">
        <w:rPr>
          <w:rStyle w:val="hps"/>
        </w:rPr>
        <w:fldChar w:fldCharType="begin"/>
      </w:r>
      <w:r w:rsidR="00E40CEF">
        <w:instrText xml:space="preserve"> XE "</w:instrText>
      </w:r>
      <w:r w:rsidR="00E40CEF" w:rsidRPr="001B6C57">
        <w:rPr>
          <w:rStyle w:val="hps"/>
        </w:rPr>
        <w:instrText>operadores marítimos</w:instrText>
      </w:r>
      <w:r w:rsidR="00E40CEF">
        <w:instrText xml:space="preserve">" </w:instrText>
      </w:r>
      <w:r w:rsidR="00E40CEF">
        <w:rPr>
          <w:rStyle w:val="hps"/>
        </w:rPr>
        <w:fldChar w:fldCharType="end"/>
      </w:r>
      <w:r w:rsidRPr="004D55DA">
        <w:rPr>
          <w:rStyle w:val="hps"/>
        </w:rPr>
        <w:t xml:space="preserve"> mundiais</w:t>
      </w:r>
      <w:r w:rsidRPr="004D55DA">
        <w:t xml:space="preserve"> </w:t>
      </w:r>
      <w:r w:rsidRPr="004D55DA">
        <w:rPr>
          <w:rStyle w:val="hps"/>
        </w:rPr>
        <w:t>estão a alterar a sua</w:t>
      </w:r>
      <w:r w:rsidRPr="004D55DA">
        <w:t xml:space="preserve"> </w:t>
      </w:r>
      <w:r w:rsidRPr="004D55DA">
        <w:rPr>
          <w:rStyle w:val="hps"/>
        </w:rPr>
        <w:t>posição</w:t>
      </w:r>
      <w:r w:rsidRPr="004D55DA">
        <w:t xml:space="preserve"> </w:t>
      </w:r>
      <w:r w:rsidRPr="004D55DA">
        <w:rPr>
          <w:rStyle w:val="hps"/>
        </w:rPr>
        <w:t>em vários portos</w:t>
      </w:r>
      <w:r w:rsidRPr="004D55DA">
        <w:t xml:space="preserve"> </w:t>
      </w:r>
      <w:r w:rsidRPr="004D55DA">
        <w:rPr>
          <w:rStyle w:val="hps"/>
        </w:rPr>
        <w:t>e escalas</w:t>
      </w:r>
      <w:r w:rsidRPr="004D55DA">
        <w:t>, ao escolherem</w:t>
      </w:r>
      <w:r w:rsidRPr="004D55DA">
        <w:rPr>
          <w:rStyle w:val="hps"/>
        </w:rPr>
        <w:t xml:space="preserve"> portos “hub” principais dotados de maior integração</w:t>
      </w:r>
      <w:r w:rsidRPr="004D55DA">
        <w:t xml:space="preserve"> </w:t>
      </w:r>
      <w:r w:rsidRPr="004D55DA">
        <w:rPr>
          <w:rStyle w:val="hps"/>
        </w:rPr>
        <w:t>espacial das linhas</w:t>
      </w:r>
      <w:r w:rsidRPr="004D55DA">
        <w:t xml:space="preserve"> </w:t>
      </w:r>
      <w:r w:rsidRPr="004D55DA">
        <w:rPr>
          <w:rStyle w:val="hps"/>
        </w:rPr>
        <w:t xml:space="preserve">de transporte </w:t>
      </w:r>
      <w:r w:rsidRPr="004D55DA">
        <w:t>(Ducruet et al.</w:t>
      </w:r>
      <w:r w:rsidRPr="004D55DA">
        <w:rPr>
          <w:rStyle w:val="hps"/>
        </w:rPr>
        <w:t>, 2010), levando também a crescente competição entre portos</w:t>
      </w:r>
      <w:r w:rsidRPr="004D55DA">
        <w:t xml:space="preserve">. No fundo, tem-se verificado a tendência no transporte marítimo para a racionalização da rede de cobertura geográfica do transporte e das linhas, resultantes da estratégia de criação de portos “hub” intermédios de transhipment.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Estas tendências são verificadas em diversas análises, por exemplo, através do estudo da geografia dos portos e da evolução da hierarquia dos portos “hub”. No entanto, o posicionamento do porto na hierarquia das redes marítimas não pode ser explicado apenas através do estudo da componente marítima, mas deve ter em consideração vários outros elementos, designadamente a integração nas cadeias terrestres. As redes marítimas são influenciadas pelos padrões do comércio e do transporte, enquanto aos portos acresce a importância da região onde se localizam os sistemas logísticos que integram, a distância a outros portos e as acessibilidades rodoferroviárias.</w:t>
      </w:r>
      <w:r w:rsidR="00D87901">
        <w:t xml:space="preserve"> </w:t>
      </w:r>
      <w:r w:rsidRPr="004D55DA">
        <w:t xml:space="preserve">Esta dinâmica geográfica depende da região onde se localiza o porto. Por exemplo, as regiões </w:t>
      </w:r>
      <w:r w:rsidR="00966D63" w:rsidRPr="004D55DA">
        <w:t>das C</w:t>
      </w:r>
      <w:r w:rsidRPr="004D55DA">
        <w:t xml:space="preserve">araíbas e do Mediterrâneo tornaram-se zonas de portos “hub” intermediários com os restantes portos e regiões do Atlântico devido à sua localização (Figura 1). Na Europa, são importantes as tendências de concentração do tráfego no Norte da Europa e no Mediterrâneo em “hub” intermédios (Notteboom, 2006), seja por proximidade com a procura concentrada do centro da Europa, seja por proximidade com o grande eixo marítimo Ásia-Europa e “round-the-world”, influenciando de forma determinante o sucesso dos portos. </w:t>
      </w:r>
    </w:p>
    <w:p w:rsidR="00D713C2" w:rsidRDefault="00D713C2">
      <w:r>
        <w:br w:type="page"/>
      </w:r>
    </w:p>
    <w:p w:rsidR="00104A12" w:rsidRPr="004D55DA" w:rsidRDefault="00104A12" w:rsidP="007F7964">
      <w:pPr>
        <w:spacing w:line="360" w:lineRule="auto"/>
        <w:jc w:val="both"/>
      </w:pPr>
    </w:p>
    <w:p w:rsidR="00104A12" w:rsidRPr="004D55DA" w:rsidRDefault="00104A12" w:rsidP="007F7964">
      <w:pPr>
        <w:pStyle w:val="Legenda"/>
        <w:jc w:val="both"/>
      </w:pPr>
      <w:bookmarkStart w:id="3" w:name="_Toc396134165"/>
      <w:r w:rsidRPr="004D55DA">
        <w:t xml:space="preserve">Figura </w:t>
      </w:r>
      <w:fldSimple w:instr=" SEQ Figura \* ARABIC ">
        <w:r w:rsidR="008D1B65">
          <w:rPr>
            <w:noProof/>
          </w:rPr>
          <w:t>1</w:t>
        </w:r>
      </w:fldSimple>
      <w:r w:rsidRPr="004D55DA">
        <w:t xml:space="preserve"> - Principais rotas do tráfego marítimo de contentores e portos</w:t>
      </w:r>
      <w:bookmarkEnd w:id="3"/>
    </w:p>
    <w:p w:rsidR="00104A12" w:rsidRPr="004D55DA" w:rsidRDefault="00BF31C8" w:rsidP="007F7964">
      <w:pPr>
        <w:spacing w:line="360" w:lineRule="auto"/>
        <w:jc w:val="both"/>
      </w:pPr>
      <w:r w:rsidRPr="004D55DA">
        <w:rPr>
          <w:noProof/>
        </w:rPr>
        <w:drawing>
          <wp:inline distT="0" distB="0" distL="0" distR="0" wp14:anchorId="28230E75" wp14:editId="63EE7186">
            <wp:extent cx="4993640" cy="2846070"/>
            <wp:effectExtent l="0" t="0" r="0" b="0"/>
            <wp:docPr id="25" name="Imagem 2" descr="Emerging Global Maritime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Emerging Global Maritime System.png"/>
                    <pic:cNvPicPr>
                      <a:picLocks noChangeAspect="1" noChangeArrowheads="1"/>
                    </pic:cNvPicPr>
                  </pic:nvPicPr>
                  <pic:blipFill>
                    <a:blip r:embed="rId16">
                      <a:extLst>
                        <a:ext uri="{28A0092B-C50C-407E-A947-70E740481C1C}">
                          <a14:useLocalDpi xmlns:a14="http://schemas.microsoft.com/office/drawing/2010/main" val="0"/>
                        </a:ext>
                      </a:extLst>
                    </a:blip>
                    <a:srcRect l="2087" t="12160" b="7005"/>
                    <a:stretch>
                      <a:fillRect/>
                    </a:stretch>
                  </pic:blipFill>
                  <pic:spPr bwMode="auto">
                    <a:xfrm>
                      <a:off x="0" y="0"/>
                      <a:ext cx="4993640" cy="284607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Rodrigue,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Já no Atlântico, o principal problema da estratégia dos armadores reside na organização dos serviços de linha através da racionalização da ligação intercontinental, para servirem melhor África e a América do Sul, onde ocorrem as maiores taxas de crescimento do comércio marítimo, em especial</w:t>
      </w:r>
      <w:r w:rsidR="00966D63" w:rsidRPr="004D55DA">
        <w:t>,</w:t>
      </w:r>
      <w:r w:rsidRPr="004D55DA">
        <w:t xml:space="preserve"> do comércio Ásia-África-América Latina.</w:t>
      </w:r>
      <w:r w:rsidR="00D87901">
        <w:t xml:space="preserve"> </w:t>
      </w:r>
      <w:r w:rsidRPr="004D55DA">
        <w:t>Muitas linhas marítimas diretas entre Europa e costa leste dos EUA têm sido redirecionadas para o transbordo nos portos das Caraíbas, o que se relaciona com o sucesso dos portos “hub” e com o impacto do crescimento do comércio a Sul na deslocação do centro de gravidade do oceano Atlântico, de Norte para Sul.</w:t>
      </w:r>
      <w:r w:rsidR="00D87901">
        <w:t xml:space="preserve"> </w:t>
      </w:r>
      <w:r w:rsidRPr="004D55DA">
        <w:t xml:space="preserve">Algumas linhas principais de transporte têm sido desviadas do Canal do Suez para a rota do Cabo da Boa Esperança, </w:t>
      </w:r>
      <w:r w:rsidR="00966D63" w:rsidRPr="004D55DA">
        <w:t>caso da</w:t>
      </w:r>
      <w:r w:rsidRPr="004D55DA">
        <w:t xml:space="preserve"> CMA-CGM, em especial do comércio Ásia-África-América do Sul. Em breve, é expectável algum desvio de tráfego Ásia-Europa-EUA para o canal do Panamá, com reforço do papel dos portos “hub” das Caraíbas, podendo Sines ter um papel relevante nesta reorganização das ligações marítimas</w:t>
      </w:r>
      <w:r w:rsidR="00D87901">
        <w:t xml:space="preserve"> (</w:t>
      </w:r>
      <w:r w:rsidR="00D87901" w:rsidRPr="004D55DA">
        <w:t>Rodrigue, 2010</w:t>
      </w:r>
      <w:r w:rsidR="00D87901">
        <w:t>)</w:t>
      </w:r>
      <w:r w:rsidRPr="004D55DA">
        <w:t>.</w:t>
      </w:r>
    </w:p>
    <w:p w:rsidR="00104A12" w:rsidRPr="004D55DA" w:rsidRDefault="00104A12" w:rsidP="007F7964">
      <w:pPr>
        <w:spacing w:line="360" w:lineRule="auto"/>
        <w:jc w:val="both"/>
        <w:rPr>
          <w:lang w:eastAsia="en-US"/>
        </w:rPr>
      </w:pPr>
    </w:p>
    <w:p w:rsidR="00104A12" w:rsidRPr="004D55DA" w:rsidRDefault="00104A12" w:rsidP="007F7964">
      <w:pPr>
        <w:spacing w:line="360" w:lineRule="auto"/>
        <w:jc w:val="both"/>
      </w:pPr>
      <w:r w:rsidRPr="004D55DA">
        <w:t xml:space="preserve">Tradicionalmente os portos eram vistos como locais onde cargas e passageiros </w:t>
      </w:r>
      <w:r w:rsidR="00966D63" w:rsidRPr="004D55DA">
        <w:t>se</w:t>
      </w:r>
      <w:r w:rsidRPr="004D55DA">
        <w:t xml:space="preserve"> transfer</w:t>
      </w:r>
      <w:r w:rsidR="00966D63" w:rsidRPr="004D55DA">
        <w:t>iam</w:t>
      </w:r>
      <w:r w:rsidRPr="004D55DA">
        <w:t xml:space="preserve"> do navio para terra ou de terra para o navio (Winkelmans, 2003; Goss, 1990), sem qualquer outro valor acrescentado e sem que se vislumbrasse a sua integração nas cadeias logísticas de abastecimento.</w:t>
      </w:r>
    </w:p>
    <w:p w:rsidR="00104A12" w:rsidRPr="004D55DA" w:rsidRDefault="00104A12" w:rsidP="007F7964">
      <w:pPr>
        <w:spacing w:line="360" w:lineRule="auto"/>
        <w:jc w:val="both"/>
      </w:pPr>
    </w:p>
    <w:p w:rsidR="00104A12" w:rsidRPr="004D55DA" w:rsidRDefault="00966D63" w:rsidP="007F7964">
      <w:pPr>
        <w:spacing w:line="360" w:lineRule="auto"/>
        <w:jc w:val="both"/>
      </w:pPr>
      <w:r w:rsidRPr="004D55DA">
        <w:lastRenderedPageBreak/>
        <w:t>O</w:t>
      </w:r>
      <w:r w:rsidR="00104A12" w:rsidRPr="004D55DA">
        <w:t xml:space="preserve"> porto oferece um cabaz de produtos ou serviços</w:t>
      </w:r>
      <w:r w:rsidRPr="004D55DA">
        <w:t>, e</w:t>
      </w:r>
      <w:r w:rsidR="00104A12" w:rsidRPr="004D55DA">
        <w:t>m local dotado com infraestruturas e meios e assegura a prestação de serviços ao navio e à carga, aos quais acrescenta valor. Os portos modernos passaram a se</w:t>
      </w:r>
      <w:r w:rsidR="003E10EB" w:rsidRPr="004D55DA">
        <w:t xml:space="preserve">r, </w:t>
      </w:r>
      <w:r w:rsidR="00104A12" w:rsidRPr="004D55DA">
        <w:t>também</w:t>
      </w:r>
      <w:r w:rsidR="003E10EB" w:rsidRPr="004D55DA">
        <w:t>,</w:t>
      </w:r>
      <w:r w:rsidR="00104A12" w:rsidRPr="004D55DA">
        <w:t xml:space="preserve"> locais onde</w:t>
      </w:r>
      <w:r w:rsidRPr="004D55DA">
        <w:t xml:space="preserve"> se cruzam cadeias logísticas,</w:t>
      </w:r>
      <w:r w:rsidR="00104A12" w:rsidRPr="004D55DA">
        <w:t xml:space="preserve"> nos quais, ou junto aos quais, as mercadorias sofrem diversos processos de alteração</w:t>
      </w:r>
      <w:r w:rsidR="003E10EB" w:rsidRPr="004D55DA">
        <w:t>,</w:t>
      </w:r>
      <w:r w:rsidR="00104A12" w:rsidRPr="004D55DA">
        <w:t xml:space="preserve"> d</w:t>
      </w:r>
      <w:r w:rsidR="003E10EB" w:rsidRPr="004D55DA">
        <w:t>e</w:t>
      </w:r>
      <w:r w:rsidR="00104A12" w:rsidRPr="004D55DA">
        <w:t xml:space="preserve"> forma ou de conteúdo, aproveitando a proximidade ou a</w:t>
      </w:r>
      <w:r w:rsidR="003E10EB" w:rsidRPr="004D55DA">
        <w:t xml:space="preserve"> sua</w:t>
      </w:r>
      <w:r w:rsidR="00104A12" w:rsidRPr="004D55DA">
        <w:t xml:space="preserve"> estadia em trânsito por mar ou terra para outros lugares (Estrada, 2007).</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porto desempenha um papel importante para os importadores e exportadores e para todos quantos dependem das atividades industriais e comerciais que se localizam no seu “hinterland” e que aproveitam as suas ligações marítimas (Estrada, 2007), sendo fundamental que o faça de forma a cumprir as necessidades dos seus utilizadores ou clientes, com o melhor nível de desempenho.</w:t>
      </w:r>
    </w:p>
    <w:p w:rsidR="00104A12" w:rsidRPr="004D55DA" w:rsidRDefault="00104A12" w:rsidP="007F7964">
      <w:pPr>
        <w:spacing w:line="360" w:lineRule="auto"/>
        <w:jc w:val="both"/>
        <w:rPr>
          <w:lang w:eastAsia="en-US"/>
        </w:rPr>
      </w:pPr>
    </w:p>
    <w:p w:rsidR="00104A12" w:rsidRPr="004D55DA" w:rsidRDefault="00104A12" w:rsidP="007F7964">
      <w:pPr>
        <w:spacing w:line="360" w:lineRule="auto"/>
        <w:jc w:val="both"/>
        <w:rPr>
          <w:lang w:eastAsia="en-US"/>
        </w:rPr>
      </w:pPr>
      <w:r w:rsidRPr="004D55DA">
        <w:rPr>
          <w:lang w:eastAsia="en-US"/>
        </w:rPr>
        <w:t xml:space="preserve">Os terminais de contentores são </w:t>
      </w:r>
      <w:r w:rsidR="00D87901">
        <w:rPr>
          <w:lang w:eastAsia="en-US"/>
        </w:rPr>
        <w:t>importante</w:t>
      </w:r>
      <w:r w:rsidRPr="004D55DA">
        <w:rPr>
          <w:lang w:eastAsia="en-US"/>
        </w:rPr>
        <w:t xml:space="preserve"> interface do transporte contentorizado de mercadorias de elevado valor, cada vez mais utilizados para acrescentar valor às cargas recorrendo a operações de preparação para o consumo, tendência que se reflecte crescentemente na competição entre portos.</w:t>
      </w:r>
      <w:r w:rsidR="00D87901">
        <w:rPr>
          <w:lang w:eastAsia="en-US"/>
        </w:rPr>
        <w:t xml:space="preserve"> </w:t>
      </w:r>
      <w:r w:rsidRPr="004D55DA">
        <w:rPr>
          <w:rStyle w:val="hps"/>
        </w:rPr>
        <w:t>Um</w:t>
      </w:r>
      <w:r w:rsidRPr="004D55DA">
        <w:t xml:space="preserve"> </w:t>
      </w:r>
      <w:r w:rsidRPr="004D55DA">
        <w:rPr>
          <w:rStyle w:val="hps"/>
        </w:rPr>
        <w:t xml:space="preserve">porto marítimo </w:t>
      </w:r>
      <w:r w:rsidR="003E10EB" w:rsidRPr="004D55DA">
        <w:rPr>
          <w:rStyle w:val="hps"/>
        </w:rPr>
        <w:t>refere-se a</w:t>
      </w:r>
      <w:r w:rsidRPr="004D55DA">
        <w:t xml:space="preserve"> </w:t>
      </w:r>
      <w:r w:rsidRPr="004D55DA">
        <w:rPr>
          <w:rStyle w:val="hps"/>
        </w:rPr>
        <w:t>um local de trânsito</w:t>
      </w:r>
      <w:r w:rsidRPr="004D55DA">
        <w:t xml:space="preserve">, </w:t>
      </w:r>
      <w:r w:rsidR="003E10EB" w:rsidRPr="004D55DA">
        <w:rPr>
          <w:rStyle w:val="hps"/>
        </w:rPr>
        <w:t>das cargas e mercadorias ou</w:t>
      </w:r>
      <w:r w:rsidRPr="004D55DA">
        <w:rPr>
          <w:rStyle w:val="hps"/>
        </w:rPr>
        <w:t xml:space="preserve"> pessoas se deslocam</w:t>
      </w:r>
      <w:r w:rsidRPr="004D55DA">
        <w:t xml:space="preserve"> </w:t>
      </w:r>
      <w:r w:rsidRPr="004D55DA">
        <w:rPr>
          <w:rStyle w:val="hps"/>
        </w:rPr>
        <w:t>de e para o</w:t>
      </w:r>
      <w:r w:rsidRPr="004D55DA">
        <w:t xml:space="preserve"> </w:t>
      </w:r>
      <w:r w:rsidRPr="004D55DA">
        <w:rPr>
          <w:rStyle w:val="hps"/>
        </w:rPr>
        <w:t>mar.</w:t>
      </w:r>
      <w:r w:rsidRPr="004D55DA">
        <w:t xml:space="preserve"> </w:t>
      </w:r>
      <w:r w:rsidRPr="004D55DA">
        <w:rPr>
          <w:rStyle w:val="hps"/>
        </w:rPr>
        <w:t>Como tal</w:t>
      </w:r>
      <w:r w:rsidRPr="004D55DA">
        <w:t xml:space="preserve">, os portos são </w:t>
      </w:r>
      <w:r w:rsidRPr="004D55DA">
        <w:rPr>
          <w:rStyle w:val="hps"/>
        </w:rPr>
        <w:t>pontos de</w:t>
      </w:r>
      <w:r w:rsidRPr="004D55DA">
        <w:t xml:space="preserve"> </w:t>
      </w:r>
      <w:r w:rsidRPr="004D55DA">
        <w:rPr>
          <w:rStyle w:val="hps"/>
        </w:rPr>
        <w:t>contato</w:t>
      </w:r>
      <w:r w:rsidRPr="004D55DA">
        <w:t xml:space="preserve"> </w:t>
      </w:r>
      <w:r w:rsidRPr="004D55DA">
        <w:rPr>
          <w:rStyle w:val="hps"/>
        </w:rPr>
        <w:t>entre a terra</w:t>
      </w:r>
      <w:r w:rsidRPr="004D55DA">
        <w:t xml:space="preserve"> </w:t>
      </w:r>
      <w:r w:rsidRPr="004D55DA">
        <w:rPr>
          <w:rStyle w:val="hps"/>
        </w:rPr>
        <w:t>e os espaços</w:t>
      </w:r>
      <w:r w:rsidRPr="004D55DA">
        <w:t xml:space="preserve"> </w:t>
      </w:r>
      <w:r w:rsidRPr="004D55DA">
        <w:rPr>
          <w:rStyle w:val="hps"/>
        </w:rPr>
        <w:t>marítimos, “nós”</w:t>
      </w:r>
      <w:r w:rsidRPr="004D55DA">
        <w:t xml:space="preserve"> </w:t>
      </w:r>
      <w:r w:rsidRPr="004D55DA">
        <w:rPr>
          <w:rStyle w:val="hps"/>
        </w:rPr>
        <w:t>onde o oceano</w:t>
      </w:r>
      <w:r w:rsidRPr="004D55DA">
        <w:t xml:space="preserve"> </w:t>
      </w:r>
      <w:r w:rsidRPr="004D55DA">
        <w:rPr>
          <w:rStyle w:val="hps"/>
        </w:rPr>
        <w:t>e as linhas de</w:t>
      </w:r>
      <w:r w:rsidRPr="004D55DA">
        <w:t xml:space="preserve"> </w:t>
      </w:r>
      <w:r w:rsidRPr="004D55DA">
        <w:rPr>
          <w:rStyle w:val="hps"/>
        </w:rPr>
        <w:t>transporte terrestre</w:t>
      </w:r>
      <w:r w:rsidRPr="004D55DA">
        <w:t xml:space="preserve"> </w:t>
      </w:r>
      <w:r w:rsidRPr="004D55DA">
        <w:rPr>
          <w:rStyle w:val="hps"/>
        </w:rPr>
        <w:t>se encontram e</w:t>
      </w:r>
      <w:r w:rsidRPr="004D55DA">
        <w:t xml:space="preserve"> </w:t>
      </w:r>
      <w:r w:rsidRPr="004D55DA">
        <w:rPr>
          <w:rStyle w:val="hps"/>
        </w:rPr>
        <w:t>se entrelaçam</w:t>
      </w:r>
      <w:r w:rsidRPr="004D55DA">
        <w:t xml:space="preserve">, ou </w:t>
      </w:r>
      <w:r w:rsidRPr="004D55DA">
        <w:rPr>
          <w:rStyle w:val="hps"/>
        </w:rPr>
        <w:t>locais de convergência</w:t>
      </w:r>
      <w:r w:rsidRPr="004D55DA">
        <w:t xml:space="preserve"> </w:t>
      </w:r>
      <w:r w:rsidRPr="004D55DA">
        <w:rPr>
          <w:rStyle w:val="hps"/>
        </w:rPr>
        <w:t>(</w:t>
      </w:r>
      <w:r w:rsidRPr="004D55DA">
        <w:t xml:space="preserve">Hayuth, 1985), cada vez mais integrados nas cadeias logísticas.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rStyle w:val="hps"/>
        </w:rPr>
        <w:t>Os portos são</w:t>
      </w:r>
      <w:r w:rsidRPr="004D55DA">
        <w:t xml:space="preserve"> </w:t>
      </w:r>
      <w:r w:rsidRPr="004D55DA">
        <w:rPr>
          <w:rStyle w:val="hps"/>
        </w:rPr>
        <w:t>parte de um sistema logístico maior</w:t>
      </w:r>
      <w:r w:rsidRPr="004D55DA">
        <w:t xml:space="preserve">. </w:t>
      </w:r>
      <w:r w:rsidRPr="004D55DA">
        <w:rPr>
          <w:rStyle w:val="hps"/>
        </w:rPr>
        <w:t>O conceito</w:t>
      </w:r>
      <w:r w:rsidRPr="004D55DA">
        <w:t xml:space="preserve"> “foreland” </w:t>
      </w:r>
      <w:r w:rsidRPr="004D55DA">
        <w:rPr>
          <w:rStyle w:val="atn"/>
        </w:rPr>
        <w:t>-porto-</w:t>
      </w:r>
      <w:r w:rsidRPr="004D55DA">
        <w:t xml:space="preserve">hinterland </w:t>
      </w:r>
      <w:r w:rsidRPr="004D55DA">
        <w:rPr>
          <w:rStyle w:val="hps"/>
        </w:rPr>
        <w:t>acentua os laços</w:t>
      </w:r>
      <w:r w:rsidRPr="004D55DA">
        <w:t xml:space="preserve"> </w:t>
      </w:r>
      <w:r w:rsidRPr="004D55DA">
        <w:rPr>
          <w:rStyle w:val="hps"/>
        </w:rPr>
        <w:t>do porto na ligação à componente marítima e</w:t>
      </w:r>
      <w:r w:rsidRPr="004D55DA">
        <w:t xml:space="preserve"> </w:t>
      </w:r>
      <w:r w:rsidRPr="004D55DA">
        <w:rPr>
          <w:rStyle w:val="hps"/>
        </w:rPr>
        <w:t>terrestre</w:t>
      </w:r>
      <w:r w:rsidRPr="004D55DA">
        <w:t>. Ou seja, os portos são mais do que simples infraestruturas</w:t>
      </w:r>
      <w:r w:rsidR="003E10EB" w:rsidRPr="004D55DA">
        <w:t>, por serem</w:t>
      </w:r>
      <w:r w:rsidRPr="004D55DA">
        <w:t xml:space="preserve"> elementos complexos da cadeia logística, dotados de meios humanos, organização, sistemas de informação e ligações a redes internacionais que influenciam os seus resultados e</w:t>
      </w:r>
      <w:r w:rsidR="003E10EB" w:rsidRPr="004D55DA">
        <w:t xml:space="preserve"> o</w:t>
      </w:r>
      <w:r w:rsidRPr="004D55DA">
        <w:t xml:space="preserve"> nível de competitividade. </w:t>
      </w:r>
      <w:r w:rsidRPr="004D55DA">
        <w:rPr>
          <w:rStyle w:val="hps"/>
        </w:rPr>
        <w:t>A atual expansão</w:t>
      </w:r>
      <w:r w:rsidRPr="004D55DA">
        <w:t xml:space="preserve"> </w:t>
      </w:r>
      <w:r w:rsidRPr="004D55DA">
        <w:rPr>
          <w:rStyle w:val="hps"/>
        </w:rPr>
        <w:t>do comércio global</w:t>
      </w:r>
      <w:r w:rsidRPr="004D55DA">
        <w:t xml:space="preserve"> </w:t>
      </w:r>
      <w:r w:rsidRPr="004D55DA">
        <w:rPr>
          <w:rStyle w:val="hps"/>
        </w:rPr>
        <w:t>exige</w:t>
      </w:r>
      <w:r w:rsidRPr="004D55DA">
        <w:t xml:space="preserve"> </w:t>
      </w:r>
      <w:r w:rsidRPr="004D55DA">
        <w:rPr>
          <w:rStyle w:val="hps"/>
        </w:rPr>
        <w:t>maior eficiência</w:t>
      </w:r>
      <w:r w:rsidRPr="004D55DA">
        <w:t xml:space="preserve"> </w:t>
      </w:r>
      <w:r w:rsidRPr="004D55DA">
        <w:rPr>
          <w:rStyle w:val="hps"/>
        </w:rPr>
        <w:t>aos</w:t>
      </w:r>
      <w:r w:rsidRPr="004D55DA">
        <w:t xml:space="preserve"> </w:t>
      </w:r>
      <w:r w:rsidRPr="004D55DA">
        <w:rPr>
          <w:rStyle w:val="hps"/>
        </w:rPr>
        <w:t>portos marítimos, no seio das cadeias marítimas e terrestres, o que leva à crescente concorrência e à maior preocupação com os factores que determinam o desempenho de um porto</w:t>
      </w:r>
      <w:r w:rsidRPr="004D55DA">
        <w:t xml:space="preserve">. </w:t>
      </w:r>
      <w:r w:rsidRPr="004D55DA">
        <w:rPr>
          <w:rStyle w:val="hps"/>
        </w:rPr>
        <w:t>Sendo os portos marítimos</w:t>
      </w:r>
      <w:r w:rsidRPr="004D55DA">
        <w:t xml:space="preserve"> </w:t>
      </w:r>
      <w:r w:rsidRPr="004D55DA">
        <w:rPr>
          <w:rStyle w:val="hps"/>
        </w:rPr>
        <w:t>pontos críticos</w:t>
      </w:r>
      <w:r w:rsidRPr="004D55DA">
        <w:t xml:space="preserve"> </w:t>
      </w:r>
      <w:r w:rsidRPr="004D55DA">
        <w:rPr>
          <w:rStyle w:val="hps"/>
        </w:rPr>
        <w:t>no comércio</w:t>
      </w:r>
      <w:r w:rsidRPr="004D55DA">
        <w:t xml:space="preserve">, as autoridades portuárias </w:t>
      </w:r>
      <w:r w:rsidRPr="004D55DA">
        <w:rPr>
          <w:rStyle w:val="hps"/>
        </w:rPr>
        <w:t>e os decisores têm demonstrado</w:t>
      </w:r>
      <w:r w:rsidRPr="004D55DA">
        <w:t xml:space="preserve"> </w:t>
      </w:r>
      <w:r w:rsidRPr="004D55DA">
        <w:rPr>
          <w:rStyle w:val="hps"/>
        </w:rPr>
        <w:t>forte interesse numa</w:t>
      </w:r>
      <w:r w:rsidRPr="004D55DA">
        <w:t xml:space="preserve"> </w:t>
      </w:r>
      <w:r w:rsidRPr="004D55DA">
        <w:rPr>
          <w:rStyle w:val="hps"/>
        </w:rPr>
        <w:t>gestão portuária eficiente</w:t>
      </w:r>
      <w:r w:rsidRPr="004D55DA">
        <w:t xml:space="preserve">, o que é reforçado pelo facto de </w:t>
      </w:r>
      <w:r w:rsidRPr="004D55DA">
        <w:rPr>
          <w:rStyle w:val="hps"/>
        </w:rPr>
        <w:t>enfrentarem intensa e crescente concorrência</w:t>
      </w:r>
      <w:r w:rsidRPr="004D55DA">
        <w:t xml:space="preserve"> (Notteboom &amp; Rodrigue,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Neste contexto de concorrência entre portos, ganha importância o conceito de desempenho. O desempenho do porto não pode ser apenas medido pela rapidez na descarga ou carga de mercadorias, por serem múltiplas as variáveis de medida, já que os portos são uma realidade multidimensional.</w:t>
      </w:r>
      <w:r w:rsidR="00D87901">
        <w:t xml:space="preserve"> </w:t>
      </w:r>
      <w:r w:rsidRPr="004D55DA">
        <w:t xml:space="preserve">Para compreender o desempenho </w:t>
      </w:r>
      <w:r w:rsidR="003E10EB" w:rsidRPr="004D55DA">
        <w:t>do</w:t>
      </w:r>
      <w:r w:rsidRPr="004D55DA">
        <w:t xml:space="preserve"> porto é necessário perceber o que é o produto portuário. O produto portuário refere-se ao conjunto complexo de serviços garantidos ou prestados por diversas entidades e empresas em infraestruturas especiais, que se articulam em sistemas na comunidade portuária, de onde resulta complexidade que dificulta a compreensão dos fenómenos e a sua medição. O desempenho do porto é assim uma realidade multivariada</w:t>
      </w:r>
      <w:r w:rsidR="00D87901">
        <w:t xml:space="preserve"> (Bichou, 2007)</w:t>
      </w:r>
      <w:r w:rsidRPr="004D55DA">
        <w:t>.</w:t>
      </w:r>
      <w:r w:rsidR="00D87901">
        <w:t xml:space="preserve"> </w:t>
      </w:r>
      <w:r w:rsidRPr="004D55DA">
        <w:t xml:space="preserve">Cada porto é um ente orgânico </w:t>
      </w:r>
      <w:r w:rsidR="003E10EB" w:rsidRPr="004D55DA">
        <w:t>com</w:t>
      </w:r>
      <w:r w:rsidRPr="004D55DA">
        <w:t xml:space="preserve"> determina</w:t>
      </w:r>
      <w:r w:rsidR="003E10EB" w:rsidRPr="004D55DA">
        <w:t>das características físicas,</w:t>
      </w:r>
      <w:r w:rsidRPr="004D55DA">
        <w:t xml:space="preserve"> uma história e uma cultura, dotado de especializações de difícil comparação sem se compreender bem as diferenças, os diversos serviços que compõem o seu produto e os vários tipos portos.</w:t>
      </w:r>
    </w:p>
    <w:p w:rsidR="00D713C2" w:rsidRDefault="00D713C2" w:rsidP="00D713C2"/>
    <w:p w:rsidR="00D713C2" w:rsidRDefault="00D713C2" w:rsidP="00D713C2"/>
    <w:p w:rsidR="00D713C2" w:rsidRDefault="00D713C2" w:rsidP="00D713C2"/>
    <w:p w:rsidR="00104A12" w:rsidRPr="004D55DA" w:rsidRDefault="00104A12" w:rsidP="00D713C2">
      <w:pPr>
        <w:rPr>
          <w:b/>
        </w:rPr>
      </w:pPr>
      <w:r w:rsidRPr="004D55DA">
        <w:rPr>
          <w:b/>
        </w:rPr>
        <w:t>Novas funções do terminal</w:t>
      </w:r>
      <w:r w:rsidR="00E40CEF">
        <w:rPr>
          <w:b/>
        </w:rPr>
        <w:fldChar w:fldCharType="begin"/>
      </w:r>
      <w:r w:rsidR="00E40CEF">
        <w:instrText xml:space="preserve"> XE "</w:instrText>
      </w:r>
      <w:r w:rsidR="00E40CEF" w:rsidRPr="004057A4">
        <w:rPr>
          <w:b/>
        </w:rPr>
        <w:instrText>funções do terminal</w:instrText>
      </w:r>
      <w:r w:rsidR="00E40CEF">
        <w:instrText xml:space="preserve">" </w:instrText>
      </w:r>
      <w:r w:rsidR="00E40CEF">
        <w:rPr>
          <w:b/>
        </w:rPr>
        <w:fldChar w:fldCharType="end"/>
      </w:r>
      <w:r w:rsidRPr="004D55DA">
        <w:rPr>
          <w:b/>
        </w:rPr>
        <w:t xml:space="preserve"> de contentores</w:t>
      </w:r>
    </w:p>
    <w:p w:rsidR="00104A12" w:rsidRPr="004D55DA" w:rsidRDefault="00104A12" w:rsidP="007F7964">
      <w:pPr>
        <w:spacing w:line="360" w:lineRule="auto"/>
        <w:jc w:val="both"/>
      </w:pPr>
    </w:p>
    <w:p w:rsidR="00104A12" w:rsidRPr="004D55DA" w:rsidRDefault="003E10EB" w:rsidP="007F7964">
      <w:pPr>
        <w:spacing w:line="360" w:lineRule="auto"/>
        <w:jc w:val="both"/>
      </w:pPr>
      <w:r w:rsidRPr="004D55DA">
        <w:t>Do</w:t>
      </w:r>
      <w:r w:rsidR="00104A12" w:rsidRPr="004D55DA">
        <w:t xml:space="preserve"> ponto de vista macro, para avaliar as tendências futuras do transporte de cargas é necessário ter em consideração as questões económicas, a economia global e </w:t>
      </w:r>
      <w:r w:rsidRPr="004D55DA">
        <w:t>a evolução</w:t>
      </w:r>
      <w:r w:rsidR="00104A12" w:rsidRPr="004D55DA">
        <w:t xml:space="preserve"> do PIB com vista a prever os fluxos de contentores marítimos ou a explicar o sucesso de uns portos e o insucesso de outros.</w:t>
      </w:r>
      <w:r w:rsidR="00D87901">
        <w:t xml:space="preserve"> </w:t>
      </w:r>
      <w:r w:rsidR="00104A12" w:rsidRPr="004D55DA">
        <w:t>Conforme se pode verificar na figura 2, nas últimas décadas o crescimento do tráfego mundial de contentores tem rondado os 10% (Drewry, 2011), ritmo considerado muito elevado (Figura 3)</w:t>
      </w:r>
      <w:r w:rsidRPr="004D55DA">
        <w:t>. R</w:t>
      </w:r>
      <w:r w:rsidR="00104A12" w:rsidRPr="004D55DA">
        <w:t xml:space="preserve">eflete, para além do crescimento económico mundial, questões como o aumento dos volumes da carga </w:t>
      </w:r>
      <w:r w:rsidR="00104A12" w:rsidRPr="00D713C2">
        <w:rPr>
          <w:i/>
        </w:rPr>
        <w:t>versus</w:t>
      </w:r>
      <w:r w:rsidR="00104A12" w:rsidRPr="004D55DA">
        <w:t xml:space="preserve"> peso da carga, o aumento do valor da carga por tonelada, o aumento do movimento de componentes intermédios na cadeia de produção, a maior distância das zonas de produção ou deslocalização da produção, a contentorização de carga que não era tradicionalmente contentorizada, como é o caso dos graneis e da carga geral fracionada.</w:t>
      </w:r>
    </w:p>
    <w:p w:rsidR="00D713C2" w:rsidRDefault="00D713C2">
      <w:r>
        <w:br w:type="page"/>
      </w:r>
    </w:p>
    <w:p w:rsidR="00104A12" w:rsidRPr="004D55DA" w:rsidRDefault="00104A12" w:rsidP="007F7964">
      <w:pPr>
        <w:spacing w:line="360" w:lineRule="auto"/>
        <w:jc w:val="both"/>
      </w:pPr>
    </w:p>
    <w:p w:rsidR="00104A12" w:rsidRPr="004D55DA" w:rsidRDefault="00104A12" w:rsidP="007F7964">
      <w:pPr>
        <w:pStyle w:val="Legenda"/>
      </w:pPr>
      <w:bookmarkStart w:id="4" w:name="_Toc396134166"/>
      <w:r w:rsidRPr="004D55DA">
        <w:t xml:space="preserve">Figura </w:t>
      </w:r>
      <w:fldSimple w:instr=" SEQ Figura \* ARABIC ">
        <w:r w:rsidR="008D1B65">
          <w:rPr>
            <w:noProof/>
          </w:rPr>
          <w:t>2</w:t>
        </w:r>
      </w:fldSimple>
      <w:r w:rsidRPr="004D55DA">
        <w:t xml:space="preserve"> - Crescimento do transporte marítimo de contentores no mundo</w:t>
      </w:r>
      <w:bookmarkEnd w:id="4"/>
    </w:p>
    <w:p w:rsidR="00104A12" w:rsidRPr="004D55DA" w:rsidRDefault="00BF31C8" w:rsidP="007F7964">
      <w:pPr>
        <w:spacing w:line="360" w:lineRule="auto"/>
        <w:jc w:val="both"/>
      </w:pPr>
      <w:r w:rsidRPr="004D55DA">
        <w:rPr>
          <w:noProof/>
        </w:rPr>
        <w:drawing>
          <wp:inline distT="0" distB="0" distL="0" distR="0" wp14:anchorId="4D860569" wp14:editId="298A5DEB">
            <wp:extent cx="4993640" cy="3013710"/>
            <wp:effectExtent l="0" t="0" r="0" b="0"/>
            <wp:docPr id="24" name="Imagem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61"/>
                    <pic:cNvPicPr>
                      <a:picLocks noChangeAspect="1" noChangeArrowheads="1"/>
                    </pic:cNvPicPr>
                  </pic:nvPicPr>
                  <pic:blipFill>
                    <a:blip r:embed="rId17">
                      <a:extLst>
                        <a:ext uri="{28A0092B-C50C-407E-A947-70E740481C1C}">
                          <a14:useLocalDpi xmlns:a14="http://schemas.microsoft.com/office/drawing/2010/main" val="0"/>
                        </a:ext>
                      </a:extLst>
                    </a:blip>
                    <a:srcRect l="18080" t="37032" r="15475" b="10799"/>
                    <a:stretch>
                      <a:fillRect/>
                    </a:stretch>
                  </pic:blipFill>
                  <pic:spPr bwMode="auto">
                    <a:xfrm>
                      <a:off x="0" y="0"/>
                      <a:ext cx="4993640" cy="301371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UNCTAD, 2011</w:t>
      </w:r>
    </w:p>
    <w:p w:rsidR="001031C5" w:rsidRPr="004D55DA" w:rsidRDefault="001031C5"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pStyle w:val="Legenda"/>
      </w:pPr>
      <w:bookmarkStart w:id="5" w:name="_Toc396134167"/>
      <w:r w:rsidRPr="004D55DA">
        <w:t xml:space="preserve">Figura </w:t>
      </w:r>
      <w:fldSimple w:instr=" SEQ Figura \* ARABIC ">
        <w:r w:rsidR="008D1B65">
          <w:rPr>
            <w:noProof/>
          </w:rPr>
          <w:t>3</w:t>
        </w:r>
      </w:fldSimple>
      <w:r w:rsidRPr="004D55DA">
        <w:t xml:space="preserve"> - Crescimento do transporte marítimo mundial</w:t>
      </w:r>
      <w:bookmarkEnd w:id="5"/>
    </w:p>
    <w:p w:rsidR="00104A12" w:rsidRPr="004D55DA" w:rsidRDefault="00BF31C8" w:rsidP="007F7964">
      <w:pPr>
        <w:spacing w:line="360" w:lineRule="auto"/>
        <w:jc w:val="both"/>
      </w:pPr>
      <w:r w:rsidRPr="004D55DA">
        <w:rPr>
          <w:noProof/>
        </w:rPr>
        <w:drawing>
          <wp:inline distT="0" distB="0" distL="0" distR="0" wp14:anchorId="3C41D2DE" wp14:editId="444367F7">
            <wp:extent cx="4896485" cy="2940685"/>
            <wp:effectExtent l="0" t="0" r="0" b="0"/>
            <wp:docPr id="23" name="Imagem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67"/>
                    <pic:cNvPicPr>
                      <a:picLocks noChangeAspect="1" noChangeArrowheads="1"/>
                    </pic:cNvPicPr>
                  </pic:nvPicPr>
                  <pic:blipFill>
                    <a:blip r:embed="rId18">
                      <a:extLst>
                        <a:ext uri="{28A0092B-C50C-407E-A947-70E740481C1C}">
                          <a14:useLocalDpi xmlns:a14="http://schemas.microsoft.com/office/drawing/2010/main" val="0"/>
                        </a:ext>
                      </a:extLst>
                    </a:blip>
                    <a:srcRect l="20299" t="37032" r="18425" b="10799"/>
                    <a:stretch>
                      <a:fillRect/>
                    </a:stretch>
                  </pic:blipFill>
                  <pic:spPr bwMode="auto">
                    <a:xfrm>
                      <a:off x="0" y="0"/>
                      <a:ext cx="4896485" cy="2940685"/>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UNCTAD, 2011</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Mas</w:t>
      </w:r>
      <w:r w:rsidR="003E10EB" w:rsidRPr="004D55DA">
        <w:t>,</w:t>
      </w:r>
      <w:r w:rsidRPr="004D55DA">
        <w:t xml:space="preserve"> até quando se manterão estas tendências de crescimento? Nos últimos anos, tem-se verificado crescente volatilidade dos movimentos de contentores devido à natureza também </w:t>
      </w:r>
      <w:r w:rsidRPr="004D55DA">
        <w:lastRenderedPageBreak/>
        <w:t>volátil do ambiente macroeconómic</w:t>
      </w:r>
      <w:r w:rsidR="003E10EB" w:rsidRPr="004D55DA">
        <w:t>o e aos efeitos da turbulência d</w:t>
      </w:r>
      <w:r w:rsidRPr="004D55DA">
        <w:t>os mercados financeiros sobre a economia.</w:t>
      </w:r>
      <w:r w:rsidR="001031C5">
        <w:t xml:space="preserve"> </w:t>
      </w:r>
      <w:r w:rsidRPr="004D55DA">
        <w:t xml:space="preserve">O impacto da China na economia global e </w:t>
      </w:r>
      <w:r w:rsidR="003E10EB" w:rsidRPr="004D55DA">
        <w:t>nos</w:t>
      </w:r>
      <w:r w:rsidRPr="004D55DA">
        <w:t xml:space="preserve"> fluxos de comércio tem sido subestimado, levando à desindustrialização da América do Norte e da Europa, com a deslocalização e a re-industrialização da Ásia-Pacífico, com impacto no comércio marítimo, mas também nos fluxos financeiros e no rendim</w:t>
      </w:r>
      <w:r w:rsidR="001031C5">
        <w:t xml:space="preserve">ento disponível para o consumo. </w:t>
      </w:r>
      <w:r w:rsidRPr="004D55DA">
        <w:t>A deslocação dos fluxos de comércio</w:t>
      </w:r>
      <w:r w:rsidR="00E40CEF">
        <w:fldChar w:fldCharType="begin"/>
      </w:r>
      <w:r w:rsidR="00E40CEF">
        <w:instrText xml:space="preserve"> XE "</w:instrText>
      </w:r>
      <w:r w:rsidR="00E40CEF" w:rsidRPr="009A50B7">
        <w:instrText>fluxos de comércio</w:instrText>
      </w:r>
      <w:r w:rsidR="00E40CEF">
        <w:instrText xml:space="preserve">" </w:instrText>
      </w:r>
      <w:r w:rsidR="00E40CEF">
        <w:fldChar w:fldCharType="end"/>
      </w:r>
      <w:r w:rsidRPr="004D55DA">
        <w:t xml:space="preserve"> criou um conjunto de desafios para o transporte de mercadorias, aumentando os volumes e as distâncias, colocando novos problemas, como</w:t>
      </w:r>
      <w:r w:rsidR="003E10EB" w:rsidRPr="004D55DA">
        <w:t>,</w:t>
      </w:r>
      <w:r w:rsidRPr="004D55DA">
        <w:t xml:space="preserve"> por exemplo</w:t>
      </w:r>
      <w:r w:rsidR="003E10EB" w:rsidRPr="004D55DA">
        <w:t>,</w:t>
      </w:r>
      <w:r w:rsidRPr="004D55DA">
        <w:t xml:space="preserve"> o reposicionamento dos contentores vazios, o retorno em vazio e o cruzamento de contentores.</w:t>
      </w:r>
      <w:r w:rsidR="001031C5">
        <w:t xml:space="preserve"> </w:t>
      </w:r>
      <w:r w:rsidRPr="004D55DA">
        <w:t xml:space="preserve">O sistema de transporte marítimo tornou-se mais do que apenas um meio de ligação da produção aos centros de consumo, </w:t>
      </w:r>
      <w:r w:rsidR="003E10EB" w:rsidRPr="004D55DA">
        <w:t>por ser</w:t>
      </w:r>
      <w:r w:rsidRPr="004D55DA">
        <w:t xml:space="preserve"> cada vez mais associado ao </w:t>
      </w:r>
      <w:r w:rsidRPr="00D713C2">
        <w:rPr>
          <w:i/>
        </w:rPr>
        <w:t>pipeline</w:t>
      </w:r>
      <w:r w:rsidRPr="004D55DA">
        <w:t xml:space="preserve"> logístico, integrando-se nas redes de logística complexa e nas cadeias de abastecimento industrial e comercial (Coe </w:t>
      </w:r>
      <w:r w:rsidRPr="00D713C2">
        <w:rPr>
          <w:i/>
        </w:rPr>
        <w:t>et al</w:t>
      </w:r>
      <w:r w:rsidRPr="004D55DA">
        <w:t>, 2004).</w:t>
      </w:r>
    </w:p>
    <w:p w:rsidR="00104A12" w:rsidRPr="004D55DA" w:rsidRDefault="00104A12" w:rsidP="007F7964">
      <w:pPr>
        <w:spacing w:line="360" w:lineRule="auto"/>
        <w:jc w:val="both"/>
      </w:pPr>
    </w:p>
    <w:p w:rsidR="00104A12" w:rsidRPr="004D55DA" w:rsidRDefault="00104A12" w:rsidP="005B5AD5">
      <w:pPr>
        <w:spacing w:line="360" w:lineRule="auto"/>
        <w:jc w:val="both"/>
      </w:pPr>
      <w:r w:rsidRPr="004D55DA">
        <w:t>Esta tendência levou à criação de centros logísticos intermédios de distribuição de contentores e cargas, seja no transporte marítimo, seja no transporte terrestre, junto a zonas de grande consumo, suportando crescentes funções ligadas à logística e a operações de valor acrescentado à carga. O terminal de contentores assumiu-se assim como um centro logístico, elo da cadeia logística de abastecimento, com funcionalidades deste tipo dentro ou nas suas proximidades.</w:t>
      </w:r>
      <w:r w:rsidR="001031C5">
        <w:t xml:space="preserve"> </w:t>
      </w:r>
      <w:r w:rsidRPr="004D55DA">
        <w:t xml:space="preserve">Assim, os serviços logísticos dos terminais de contentores possuem um impacto sobre as decisões operacionais dos donos das cargas e das escalas de navios. As estratégias de </w:t>
      </w:r>
      <w:r w:rsidR="003E10EB" w:rsidRPr="004D55DA">
        <w:t>“just in t</w:t>
      </w:r>
      <w:r w:rsidRPr="004D55DA">
        <w:t>ime</w:t>
      </w:r>
      <w:r w:rsidR="003E10EB" w:rsidRPr="004D55DA">
        <w:t>”</w:t>
      </w:r>
      <w:r w:rsidRPr="004D55DA">
        <w:t xml:space="preserve"> (JIT) das empresas têm implicado um aumento muito grande da eficácia e fiabilidade dos terminais de contentores e dos portos, embora para o comércio de longa distância, nos quais a frequência é menos importante, a eficiência e os custos ganhem peso</w:t>
      </w:r>
      <w:r w:rsidR="005B5AD5">
        <w:t>.</w:t>
      </w:r>
      <w:r w:rsidR="001031C5">
        <w:t xml:space="preserve"> </w:t>
      </w:r>
      <w:r w:rsidR="005B5AD5" w:rsidRPr="004D55DA">
        <w:t>Considera-se que o dinamismo tecnológico e comercial, relacionado com as cargas contentorizadas, deverá aumentar, traduzindo-se numa crescente pressão exercida sobre as estruturas logísticas em termos de fiabilidade, agilidade, prazos de entrega e de flexibilidade, características cada vez mais exigidas aos portos e em especial aos terminais de contentores</w:t>
      </w:r>
      <w:r w:rsidR="0052172E">
        <w:t xml:space="preserve"> </w:t>
      </w:r>
      <w:r w:rsidR="001031C5">
        <w:t>(Robinson, 2002)</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Tal</w:t>
      </w:r>
      <w:r w:rsidR="003E10EB" w:rsidRPr="004D55DA">
        <w:t>,</w:t>
      </w:r>
      <w:r w:rsidRPr="004D55DA">
        <w:t xml:space="preserve"> leva à necessidade de criação de redes logísticas descentralizadas e ágeis, com alternativas de encaminhamento adaptadas às necessidades de cada carga, incluindo complexas redes de centros de distribuição locais, nacionais e globais. Ou seja, o foco de distribuição será cada vez mais medido em termos de qualidade do serviço</w:t>
      </w:r>
      <w:r w:rsidR="003E10EB" w:rsidRPr="004D55DA">
        <w:t>, e não em</w:t>
      </w:r>
      <w:r w:rsidRPr="004D55DA">
        <w:t xml:space="preserve"> baixos </w:t>
      </w:r>
      <w:r w:rsidRPr="004D55DA">
        <w:lastRenderedPageBreak/>
        <w:t>custos, e em termos de adaptação às necessidades específicas, em vez de massificação, devendo o terminal de contentores acompanhar esses requisitos.</w:t>
      </w:r>
    </w:p>
    <w:p w:rsidR="00104A12" w:rsidRPr="004D55DA" w:rsidRDefault="00104A12" w:rsidP="007F7964">
      <w:pPr>
        <w:spacing w:line="360" w:lineRule="auto"/>
        <w:jc w:val="both"/>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A gestão da cadeia de abastecimento pode ser melhorada do lado marítimo com economias de escala e frequência do serviço ao longo das rotas principais que ligam portos “feeder” e “hub” intermédios. No lado de terra, o transporte requer igualmente a organização em centros de distribuição de vários níveis nacional, regional e local, com vista a minimizar os custos (Rodrigue &amp; Notteboom, 2010). Mas é ao porto e ao terminal que cabe o papel de ligar estas cadeias com características distintas, devendo acompanhar as melhorias contínuas de um lado e de outro.</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Por outro lado, os constrangimentos, como o congestionamento e a quantidade limitada de áreas de expansão do porto</w:t>
      </w:r>
      <w:r w:rsidR="003E10EB" w:rsidRPr="004D55DA">
        <w:rPr>
          <w:rFonts w:eastAsia="Arial Unicode MS"/>
          <w:color w:val="000000"/>
        </w:rPr>
        <w:t>,</w:t>
      </w:r>
      <w:r w:rsidRPr="004D55DA">
        <w:rPr>
          <w:rFonts w:eastAsia="Arial Unicode MS"/>
          <w:color w:val="000000"/>
        </w:rPr>
        <w:t xml:space="preserve"> devem ser minimizados pelo processo de regionalização e integração do porto nas redes logísticas (Rodrigue &amp; Notteboom, 2010). Neste aspeto, as atividades de armazenagem junto aos portos ou em corredores ligados a estes, têm vindo a transformar a geografia dos portos e a sua política de desenvolvimento espacial (Rodrigue &amp; Notteboom, 2010), apoiando estas estratégias.</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Evolução do porto</w:t>
      </w:r>
      <w:r w:rsidR="00E40CEF">
        <w:rPr>
          <w:b/>
        </w:rPr>
        <w:fldChar w:fldCharType="begin"/>
      </w:r>
      <w:r w:rsidR="00E40CEF">
        <w:instrText xml:space="preserve"> XE "</w:instrText>
      </w:r>
      <w:r w:rsidR="00E40CEF" w:rsidRPr="007F228B">
        <w:rPr>
          <w:b/>
        </w:rPr>
        <w:instrText>Evolução do porto</w:instrText>
      </w:r>
      <w:r w:rsidR="00E40CEF">
        <w:instrText xml:space="preserve">" </w:instrText>
      </w:r>
      <w:r w:rsidR="00E40CEF">
        <w:rPr>
          <w:b/>
        </w:rPr>
        <w:fldChar w:fldCharType="end"/>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Na vertente da gestão, de entre as entidades com papel relevante na </w:t>
      </w:r>
      <w:r w:rsidR="005B5AD5">
        <w:t>gestão</w:t>
      </w:r>
      <w:r w:rsidRPr="004D55DA">
        <w:t xml:space="preserve"> do porto, destacam-se, por um lado, a autoridade portuária, enquanto entidade organizadora/gestora global do porto, proprietária ou mesmo operadora, em certos casos (Estrada, 2007); por outro lado, o concessionário privado dos terminais, que presta diretamente os serviços ao navio e à carga, realizando as operações de transferência da carga entre o navio e o terminal e entre o terminal e o modo de transporte terrestre. Este tem competência sobre o relacionamento comercial com os clientes, exigentes em termos de desempenho, tendo em conta a crescente concorrência que aproveita da proliferação de vias terrestres e do alargamento dos “hinterlands” dos portos, colocando-os em concorrência direta por cada vez maiores áreas terrestres de mercado</w:t>
      </w:r>
      <w:r w:rsidR="003E10EB" w:rsidRPr="004D55DA">
        <w:t>.</w:t>
      </w:r>
      <w:r w:rsidR="005B5AD5">
        <w:t xml:space="preserve"> </w:t>
      </w:r>
      <w:r w:rsidRPr="004D55DA">
        <w:t>A função principal dum porto é gerar benefícios para o dono das cargas ou mercadorias e para o cliente final, ou seja</w:t>
      </w:r>
      <w:r w:rsidR="003E10EB" w:rsidRPr="004D55DA">
        <w:t>,</w:t>
      </w:r>
      <w:r w:rsidRPr="004D55DA">
        <w:t xml:space="preserve"> para a população, gerando mais negócios, mais emprego e mais crescimento económico, como pólo de desenvolvimento nacional e regional. </w:t>
      </w:r>
    </w:p>
    <w:p w:rsidR="005B5AD5" w:rsidRDefault="005B5AD5" w:rsidP="007F7964">
      <w:pPr>
        <w:spacing w:line="360" w:lineRule="auto"/>
        <w:jc w:val="both"/>
      </w:pPr>
    </w:p>
    <w:p w:rsidR="00104A12" w:rsidRPr="004D55DA" w:rsidRDefault="00104A12" w:rsidP="007F7964">
      <w:pPr>
        <w:spacing w:line="360" w:lineRule="auto"/>
        <w:jc w:val="both"/>
      </w:pPr>
      <w:r w:rsidRPr="004D55DA">
        <w:lastRenderedPageBreak/>
        <w:t>Os portos permitem a globalização, facilitando as trocas, entre continentes, de be</w:t>
      </w:r>
      <w:r w:rsidR="003E10EB" w:rsidRPr="004D55DA">
        <w:t>ns que abundam em alguns locais</w:t>
      </w:r>
      <w:r w:rsidRPr="004D55DA">
        <w:t xml:space="preserve"> mas faltam noutros. Os comerciantes de matérias-primas são dos principais utilizadores do transporte marítimo de massa, sendo aquelas transportadas em modos de acondicionamento variados, como sejam em granéis líquidos, em granéis sólidos, ou já com alguma transformação em formato de carga geral fracionada ou mesmo no interior de contentores ou veículos de transporte</w:t>
      </w:r>
      <w:r w:rsidR="005B5AD5">
        <w:t xml:space="preserve"> </w:t>
      </w:r>
      <w:r w:rsidR="005B5AD5" w:rsidRPr="004D55DA">
        <w:t>(Estrada, 2007).</w:t>
      </w:r>
      <w:r w:rsidR="005B5AD5">
        <w:t xml:space="preserve"> </w:t>
      </w:r>
      <w:r w:rsidRPr="004D55DA">
        <w:t>Os navios que demoravam dias nos portos, hoje demoram algumas horas, sendo o transporte marítimo um modo cada vez mais eficiente, alvo de crescentes exigências de decréscimo de tempos e de custos. A própria vida das tripulações dos navios alterou-se devido à elevada pressão para a redução de tempo, especialmente durante as escalas nos portos, devido aos custos por hora cobrados e às elevadas taxas portuárias aplicadas por força dos crescentes investimentos realizados nos canais de acesso, nos terminais e em equipamento e acessibilidades terrestres aos portos</w:t>
      </w:r>
      <w:r w:rsidR="005B5AD5">
        <w:t>.</w:t>
      </w:r>
    </w:p>
    <w:p w:rsidR="00104A12" w:rsidRPr="004D55DA" w:rsidRDefault="00104A12" w:rsidP="007F7964">
      <w:pPr>
        <w:spacing w:line="360" w:lineRule="auto"/>
        <w:jc w:val="both"/>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Em 2006</w:t>
      </w:r>
      <w:r w:rsidR="003E10EB" w:rsidRPr="004D55DA">
        <w:rPr>
          <w:rFonts w:eastAsia="Arial Unicode MS"/>
          <w:color w:val="000000"/>
        </w:rPr>
        <w:t>,</w:t>
      </w:r>
      <w:r w:rsidRPr="004D55DA">
        <w:rPr>
          <w:rFonts w:eastAsia="Arial Unicode MS"/>
          <w:color w:val="000000"/>
        </w:rPr>
        <w:t xml:space="preserve"> o mercado do transporte marítimo de contentores celebrou o seu 50º aniversário, enquanto inovação que teve um enorme impacto na geografia da produção e na distribuição. A produção tornou-se globalizada com o melhor uso das vantagens comparativas entre nações, enquanto os sistemas de distribuição permitiram maior eficiência (Notteboom &amp; Rodrigue, 2008).</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O papel do contentor</w:t>
      </w:r>
      <w:r w:rsidR="00E40CEF">
        <w:rPr>
          <w:rFonts w:eastAsia="Arial Unicode MS"/>
          <w:color w:val="000000"/>
        </w:rPr>
        <w:fldChar w:fldCharType="begin"/>
      </w:r>
      <w:r w:rsidR="00E40CEF">
        <w:instrText xml:space="preserve"> XE "</w:instrText>
      </w:r>
      <w:r w:rsidR="00E40CEF" w:rsidRPr="000A3546">
        <w:rPr>
          <w:rFonts w:eastAsia="Arial Unicode MS"/>
          <w:color w:val="000000"/>
        </w:rPr>
        <w:instrText>contentor</w:instrText>
      </w:r>
      <w:r w:rsidR="00E40CEF">
        <w:instrText xml:space="preserve">" </w:instrText>
      </w:r>
      <w:r w:rsidR="00E40CEF">
        <w:rPr>
          <w:rFonts w:eastAsia="Arial Unicode MS"/>
          <w:color w:val="000000"/>
        </w:rPr>
        <w:fldChar w:fldCharType="end"/>
      </w:r>
      <w:r w:rsidRPr="004D55DA">
        <w:rPr>
          <w:rFonts w:eastAsia="Arial Unicode MS"/>
          <w:color w:val="000000"/>
        </w:rPr>
        <w:t xml:space="preserve"> é hoje central no comércio mundial. Nas regiões mais desenvolvidas, o contentor tem um grande peso no tráfego de carga geral, esperando-se que a taxa de contentorização mundial chegue aos 75%, como limite. As linhas de navegação têm vindo a utilizar navios porta-contentores cada vez maiores e os terminais de contentores têm sofrido inovações marcantes no aumento da produtividade de cais e de parque. A contentorização oferece um mecanismo para expandir os mercados internacionais, melhorando a fiabilidade, a flexibilidade e os custos de distribuição, permitindo criar cadeias globais de transporte, com a integração da velocidade de transporte e </w:t>
      </w:r>
      <w:r w:rsidR="003E10EB" w:rsidRPr="004D55DA">
        <w:rPr>
          <w:rFonts w:eastAsia="Arial Unicode MS"/>
          <w:color w:val="000000"/>
        </w:rPr>
        <w:t>d</w:t>
      </w:r>
      <w:r w:rsidRPr="004D55DA">
        <w:rPr>
          <w:rFonts w:eastAsia="Arial Unicode MS"/>
          <w:color w:val="000000"/>
        </w:rPr>
        <w:t>as estratégias de produção e distribuição (Notteboom &amp; Rodrigue, 2008).</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 xml:space="preserve">Verifica-se ainda o domínio </w:t>
      </w:r>
      <w:r w:rsidR="003E10EB" w:rsidRPr="004D55DA">
        <w:rPr>
          <w:rFonts w:eastAsia="Arial Unicode MS"/>
          <w:color w:val="000000"/>
        </w:rPr>
        <w:t xml:space="preserve">do “gigantismo” com </w:t>
      </w:r>
      <w:r w:rsidRPr="004D55DA">
        <w:rPr>
          <w:rFonts w:eastAsia="Arial Unicode MS"/>
          <w:color w:val="000000"/>
        </w:rPr>
        <w:t>as economias</w:t>
      </w:r>
      <w:r w:rsidR="003E10EB" w:rsidRPr="004D55DA">
        <w:rPr>
          <w:rFonts w:eastAsia="Arial Unicode MS"/>
          <w:color w:val="000000"/>
        </w:rPr>
        <w:t xml:space="preserve"> de escala</w:t>
      </w:r>
      <w:r w:rsidRPr="004D55DA">
        <w:rPr>
          <w:rFonts w:eastAsia="Arial Unicode MS"/>
          <w:color w:val="000000"/>
        </w:rPr>
        <w:t xml:space="preserve">, com o aumento da dimensão dos navios, dos terminais e </w:t>
      </w:r>
      <w:r w:rsidR="003E10EB" w:rsidRPr="004D55DA">
        <w:rPr>
          <w:rFonts w:eastAsia="Arial Unicode MS"/>
          <w:color w:val="000000"/>
        </w:rPr>
        <w:t>maior</w:t>
      </w:r>
      <w:r w:rsidRPr="004D55DA">
        <w:rPr>
          <w:rFonts w:eastAsia="Arial Unicode MS"/>
          <w:color w:val="000000"/>
        </w:rPr>
        <w:t xml:space="preserve"> produtividade da movimentação. Com as dificuldades ambientais e sociais na expansão de terminais e portos, poderão surgir novos modelos de regiões multiporto, resultando em novas hierarquias nos portos e no aumento do número de portos que movimentam contentores (Notteboom &amp; Rodrigue, 2008).</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rPr>
          <w:rFonts w:eastAsia="Arial Unicode MS"/>
          <w:color w:val="000000"/>
        </w:rPr>
      </w:pPr>
      <w:r w:rsidRPr="004D55DA">
        <w:rPr>
          <w:rFonts w:eastAsia="Arial Unicode MS"/>
          <w:color w:val="000000"/>
        </w:rPr>
        <w:t>De futuro, a escolha de um porto “hub” pelos grandes “motherships” implicará elevados níveis de serviço, com mínimos de 5.000 movimentos por 24h, ou cerca de 100 TEU/hora/navio, 40 movimentos por hora por pórtico de cais e um rácio de trabalho pelo tempo de acostagem de 90% (Notteboom &amp; Rodrigue,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Apesar do calado dos navios de contentores não crescer exponencialmente, uma vez que a maior parte dos portos do mundo não possui mais que 14 a 15 metros de fundos nos cais, os navios porta-contentores têm visto a sua largura e o seu comprimento crescer muito, passando-se de uma média de capacidade de carga de 2 a 4 mil TEU por navio, para 10 e 18 mil TEU de capacidade de transporte, com poupanças evidentes ao nível do custo por TEU/km transportado, com destaque para as grandes distâncias intercontinentais. O novo canal do Panamá permitirá navios até 12/13 mil TEU (Figura 4), mas a Maersk, o maior armador mundial, já possui navios de 18 mil TEU para a rota Ásia-Europa</w:t>
      </w:r>
      <w:r w:rsidR="005B5AD5">
        <w:t xml:space="preserve"> </w:t>
      </w:r>
      <w:r w:rsidR="005B5AD5" w:rsidRPr="004D55DA">
        <w:rPr>
          <w:rFonts w:eastAsia="Arial Unicode MS"/>
          <w:color w:val="000000"/>
        </w:rPr>
        <w:t>(Notteboom &amp; Rodrigue, 2008).</w:t>
      </w:r>
    </w:p>
    <w:p w:rsidR="00104A12" w:rsidRPr="004D55DA" w:rsidRDefault="00104A12" w:rsidP="007F7964">
      <w:pPr>
        <w:spacing w:line="360" w:lineRule="auto"/>
        <w:jc w:val="both"/>
      </w:pPr>
    </w:p>
    <w:p w:rsidR="00104A12" w:rsidRPr="004D55DA" w:rsidRDefault="00104A12" w:rsidP="007F7964">
      <w:pPr>
        <w:pStyle w:val="Legenda"/>
      </w:pPr>
      <w:bookmarkStart w:id="6" w:name="_Toc396134168"/>
      <w:r w:rsidRPr="004D55DA">
        <w:t xml:space="preserve">Figura </w:t>
      </w:r>
      <w:fldSimple w:instr=" SEQ Figura \* ARABIC ">
        <w:r w:rsidR="008D1B65">
          <w:rPr>
            <w:noProof/>
          </w:rPr>
          <w:t>4</w:t>
        </w:r>
      </w:fldSimple>
      <w:r w:rsidRPr="004D55DA">
        <w:t xml:space="preserve"> - Alargamento do Canal do Panamá</w:t>
      </w:r>
      <w:bookmarkEnd w:id="6"/>
    </w:p>
    <w:p w:rsidR="00104A12" w:rsidRPr="004D55DA" w:rsidRDefault="00BF31C8" w:rsidP="007F7964">
      <w:pPr>
        <w:spacing w:line="360" w:lineRule="auto"/>
        <w:jc w:val="both"/>
      </w:pPr>
      <w:r w:rsidRPr="004D55DA">
        <w:rPr>
          <w:noProof/>
        </w:rPr>
        <w:drawing>
          <wp:inline distT="0" distB="0" distL="0" distR="0" wp14:anchorId="68F835FC" wp14:editId="153BFAC9">
            <wp:extent cx="5132705" cy="275082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l="7275" t="29486" r="11697" b="14095"/>
                    <a:stretch>
                      <a:fillRect/>
                    </a:stretch>
                  </pic:blipFill>
                  <pic:spPr bwMode="auto">
                    <a:xfrm>
                      <a:off x="0" y="0"/>
                      <a:ext cx="5132705" cy="2750820"/>
                    </a:xfrm>
                    <a:prstGeom prst="rect">
                      <a:avLst/>
                    </a:prstGeom>
                    <a:noFill/>
                    <a:ln>
                      <a:noFill/>
                    </a:ln>
                  </pic:spPr>
                </pic:pic>
              </a:graphicData>
            </a:graphic>
          </wp:inline>
        </w:drawing>
      </w:r>
    </w:p>
    <w:p w:rsidR="00104A12" w:rsidRPr="004D55DA" w:rsidRDefault="00104A12" w:rsidP="007F7964">
      <w:pPr>
        <w:spacing w:line="360" w:lineRule="auto"/>
        <w:jc w:val="both"/>
      </w:pPr>
      <w:r w:rsidRPr="004D55DA">
        <w:t xml:space="preserve">Fonte: Yann Alix, Lisboa, Conferência Logistel, 2012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Estes fenómenos têm vindo a obrigar os portos a investir cada vez mais nas suas infraestruturas, no aprofundamento dos seus cais e dos seus canais de navegação, para poderem acolher os novos navios, não ficando fora do desenvolvime</w:t>
      </w:r>
      <w:r w:rsidR="003E10EB" w:rsidRPr="004D55DA">
        <w:t xml:space="preserve">nto do mercado de contentores. Mesmo </w:t>
      </w:r>
      <w:r w:rsidRPr="004D55DA">
        <w:t>o mercado de granéis e de “tramp</w:t>
      </w:r>
      <w:r w:rsidR="003E10EB" w:rsidRPr="004D55DA">
        <w:t>ing” de carga geral</w:t>
      </w:r>
      <w:r w:rsidRPr="004D55DA">
        <w:t xml:space="preserve"> também sofrem da </w:t>
      </w:r>
      <w:r w:rsidRPr="004D55DA">
        <w:lastRenderedPageBreak/>
        <w:t>mesma tendência de “gigantismo” devido ao fenómeno da globalização e à facilidade na movimentação de carga a granel entre o Extremo Oriente, a Europa e os EUA, anteriormente impensável, como é o caso do cimento, do clínquer ou dos produtos metalúrgicos e florestais.</w:t>
      </w:r>
      <w:r w:rsidR="005B5AD5">
        <w:t xml:space="preserve"> </w:t>
      </w:r>
      <w:r w:rsidRPr="004D55DA">
        <w:t xml:space="preserve">Outro fenómeno importante consiste no desenvolvimento de alianças entre armadores, seja de forma informal, com a troca de “slots” nos navios, seja na coordenação de linhas de longa distância e de curta-distância, no cruzamento de navios e no “transhipment”, na utilização do mesmo </w:t>
      </w:r>
      <w:r w:rsidRPr="00D713C2">
        <w:rPr>
          <w:i/>
        </w:rPr>
        <w:t>stock</w:t>
      </w:r>
      <w:r w:rsidRPr="004D55DA">
        <w:t xml:space="preserve"> de contentores, ou noutras formas de colaboração, seja mesmo através da aquisição de empresas, aumentando o poder de influência e disputa oligopolística</w:t>
      </w:r>
      <w:r w:rsidR="005B5AD5">
        <w:t xml:space="preserve"> </w:t>
      </w:r>
      <w:r w:rsidR="005B5AD5" w:rsidRPr="004D55DA">
        <w:rPr>
          <w:rFonts w:eastAsia="Arial Unicode MS"/>
          <w:color w:val="000000"/>
        </w:rPr>
        <w:t>(Notteboom &amp; Rodrigue,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Atualmente, o mercado de contentores global é disputado por grandes empresas de navegação e alianças de empresas, caso da Maersk e da MSC (Figura 5), com papel preponderante nos movimentos intercontinentais e também nos nichos regionais e o mercado de distribuição e recolha capilar terrestre, como forma de controlar toda a cadeia de transporte internacional.</w:t>
      </w:r>
    </w:p>
    <w:p w:rsidR="00104A12" w:rsidRPr="004D55DA" w:rsidRDefault="00104A12" w:rsidP="007F7964">
      <w:pPr>
        <w:spacing w:line="360" w:lineRule="auto"/>
        <w:jc w:val="both"/>
      </w:pPr>
    </w:p>
    <w:p w:rsidR="00104A12" w:rsidRPr="004D55DA" w:rsidRDefault="00104A12" w:rsidP="007F7964">
      <w:pPr>
        <w:pStyle w:val="Legenda"/>
      </w:pPr>
      <w:bookmarkStart w:id="7" w:name="_Toc396134169"/>
      <w:r w:rsidRPr="004D55DA">
        <w:t xml:space="preserve">Figura </w:t>
      </w:r>
      <w:fldSimple w:instr=" SEQ Figura \* ARABIC ">
        <w:r w:rsidR="008D1B65">
          <w:rPr>
            <w:noProof/>
          </w:rPr>
          <w:t>5</w:t>
        </w:r>
      </w:fldSimple>
      <w:r w:rsidRPr="004D55DA">
        <w:t xml:space="preserve"> - Alianças no transporte marítimo de contentores global</w:t>
      </w:r>
      <w:bookmarkEnd w:id="7"/>
    </w:p>
    <w:p w:rsidR="00104A12" w:rsidRPr="004D55DA" w:rsidRDefault="00BF31C8" w:rsidP="007F7964">
      <w:pPr>
        <w:spacing w:line="360" w:lineRule="auto"/>
        <w:jc w:val="both"/>
      </w:pPr>
      <w:r w:rsidRPr="004D55DA">
        <w:rPr>
          <w:noProof/>
        </w:rPr>
        <w:drawing>
          <wp:inline distT="0" distB="0" distL="0" distR="0" wp14:anchorId="3910BC9F" wp14:editId="5221042A">
            <wp:extent cx="3906317" cy="2559924"/>
            <wp:effectExtent l="0" t="0" r="0" b="0"/>
            <wp:docPr id="2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20">
                      <a:extLst>
                        <a:ext uri="{28A0092B-C50C-407E-A947-70E740481C1C}">
                          <a14:useLocalDpi xmlns:a14="http://schemas.microsoft.com/office/drawing/2010/main" val="0"/>
                        </a:ext>
                      </a:extLst>
                    </a:blip>
                    <a:srcRect l="5630" t="9433" r="3990" b="7930"/>
                    <a:stretch>
                      <a:fillRect/>
                    </a:stretch>
                  </pic:blipFill>
                  <pic:spPr bwMode="auto">
                    <a:xfrm>
                      <a:off x="0" y="0"/>
                      <a:ext cx="3904278" cy="2558588"/>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Gustaaf de Monie, Lisboa, Conferência Logistel, 2012</w:t>
      </w:r>
    </w:p>
    <w:p w:rsidR="00104A12" w:rsidRPr="005B5AD5" w:rsidRDefault="00104A12" w:rsidP="007F7964">
      <w:pPr>
        <w:spacing w:line="360" w:lineRule="auto"/>
        <w:jc w:val="both"/>
        <w:rPr>
          <w:sz w:val="14"/>
        </w:rPr>
      </w:pPr>
    </w:p>
    <w:p w:rsidR="00104A12" w:rsidRPr="004D55DA" w:rsidRDefault="00104A12" w:rsidP="007F7964">
      <w:pPr>
        <w:spacing w:line="360" w:lineRule="auto"/>
        <w:jc w:val="both"/>
      </w:pPr>
      <w:r w:rsidRPr="004D55DA">
        <w:t>Ou seja, assiste-se ao fenómeno da integração horizontal, mas também vertical (</w:t>
      </w:r>
      <w:r w:rsidR="004F063A">
        <w:t>F</w:t>
      </w:r>
      <w:r w:rsidR="004F063A" w:rsidRPr="004D55DA">
        <w:t xml:space="preserve">igura </w:t>
      </w:r>
      <w:r w:rsidRPr="004D55DA">
        <w:t>6), com os grandes grupos de armadores a procurarem integrar as funções de operador de terminal portuário e, depois, de operador logístico em terra, oferecendo a distribuição porta-a-porta a nível global, integrando o serviço total ao cliente, os sistemas de informaç</w:t>
      </w:r>
      <w:r w:rsidR="003E10EB" w:rsidRPr="004D55DA">
        <w:t>ão, o acompanhamento da carga. Surge</w:t>
      </w:r>
      <w:r w:rsidRPr="004D55DA">
        <w:t xml:space="preserve"> com o interlocutor e responsável único ao cliente, facilitando as operações de transporte a nível global, gerindo a cadeia dos pequenos clientes e </w:t>
      </w:r>
      <w:r w:rsidRPr="004D55DA">
        <w:lastRenderedPageBreak/>
        <w:t>organizando as sequências de transporte e a distribuição e recolha a partir de portos e de parques logísticos de segunda linha.</w:t>
      </w:r>
    </w:p>
    <w:p w:rsidR="00104A12" w:rsidRPr="005B5AD5" w:rsidRDefault="00104A12" w:rsidP="007F7964">
      <w:pPr>
        <w:spacing w:line="360" w:lineRule="auto"/>
        <w:jc w:val="both"/>
        <w:rPr>
          <w:sz w:val="14"/>
        </w:rPr>
      </w:pPr>
    </w:p>
    <w:p w:rsidR="00104A12" w:rsidRPr="004D55DA" w:rsidRDefault="00104A12" w:rsidP="007F7964">
      <w:pPr>
        <w:pStyle w:val="Legenda"/>
      </w:pPr>
      <w:bookmarkStart w:id="8" w:name="_Toc396134170"/>
      <w:r w:rsidRPr="004D55DA">
        <w:t xml:space="preserve">Figura </w:t>
      </w:r>
      <w:fldSimple w:instr=" SEQ Figura \* ARABIC ">
        <w:r w:rsidR="008D1B65">
          <w:rPr>
            <w:noProof/>
          </w:rPr>
          <w:t>6</w:t>
        </w:r>
      </w:fldSimple>
      <w:r w:rsidRPr="004D55DA">
        <w:t xml:space="preserve"> - Integração da logística terrestre pelo operador marítimo</w:t>
      </w:r>
      <w:bookmarkEnd w:id="8"/>
    </w:p>
    <w:p w:rsidR="00104A12" w:rsidRPr="004D55DA" w:rsidRDefault="00BF31C8" w:rsidP="007F7964">
      <w:pPr>
        <w:spacing w:line="360" w:lineRule="auto"/>
        <w:jc w:val="both"/>
      </w:pPr>
      <w:r w:rsidRPr="004D55DA">
        <w:rPr>
          <w:noProof/>
        </w:rPr>
        <w:drawing>
          <wp:inline distT="0" distB="0" distL="0" distR="0" wp14:anchorId="57A9A862" wp14:editId="22AD8B60">
            <wp:extent cx="2735884" cy="2826852"/>
            <wp:effectExtent l="0" t="0" r="7620" b="0"/>
            <wp:docPr id="20" name="Image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65"/>
                    <pic:cNvPicPr>
                      <a:picLocks noChangeAspect="1" noChangeArrowheads="1"/>
                    </pic:cNvPicPr>
                  </pic:nvPicPr>
                  <pic:blipFill>
                    <a:blip r:embed="rId21">
                      <a:extLst>
                        <a:ext uri="{28A0092B-C50C-407E-A947-70E740481C1C}">
                          <a14:useLocalDpi xmlns:a14="http://schemas.microsoft.com/office/drawing/2010/main" val="0"/>
                        </a:ext>
                      </a:extLst>
                    </a:blip>
                    <a:srcRect l="40916" t="35951" r="23390" b="20280"/>
                    <a:stretch>
                      <a:fillRect/>
                    </a:stretch>
                  </pic:blipFill>
                  <pic:spPr bwMode="auto">
                    <a:xfrm>
                      <a:off x="0" y="0"/>
                      <a:ext cx="2733745" cy="2824642"/>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Rodrigue, http://people.hofstra.edu/geotrans/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Em resumo, o fenómeno da contentorização está associado à unitização da carga, ou seja</w:t>
      </w:r>
      <w:r w:rsidR="002E6B0F" w:rsidRPr="004D55DA">
        <w:t>,</w:t>
      </w:r>
      <w:r w:rsidRPr="004D55DA">
        <w:t xml:space="preserve"> as unidades de carga possuem todas as mesmas medidas e o mesmo “standard” de pontos de encaixe para operação vertical de movimentação em parque. Está ainda associado aos navios celulares de contentores e aos pórticos especializados de cais e de parque para contentores, aos terminais especializados em contentores e ao “transhipment</w:t>
      </w:r>
      <w:r w:rsidR="00E40CEF">
        <w:fldChar w:fldCharType="begin"/>
      </w:r>
      <w:r w:rsidR="00E40CEF">
        <w:instrText xml:space="preserve"> XE "</w:instrText>
      </w:r>
      <w:r w:rsidR="00E40CEF" w:rsidRPr="005D0995">
        <w:instrText>transhipment</w:instrText>
      </w:r>
      <w:r w:rsidR="00E40CEF">
        <w:instrText xml:space="preserve">" </w:instrText>
      </w:r>
      <w:r w:rsidR="00E40CEF">
        <w:fldChar w:fldCharType="end"/>
      </w:r>
      <w:r w:rsidRPr="004D55DA">
        <w:t>” de navios “mothership” para navios “feeder”, à regularidade das linhas semanais ou quinzenais e à publicação e divulgação das carreiras e respetivos horários, dos portos de paragem das linhas e das taxas de frete, que se tornaram públicas, o que torna muito transparente o serviço.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Por outro lado, a intermodalidade, permitida com o contentor, está ligada à manutenção da unidade de carga nos diversos modos de transporte, à gestão e coordenação das diferentes ofertas dos vários prestadores de serviços de transporte e logísticos no mar e em terra, às operações intermodais nos terminais e ao controlo da carga e à disponibilidade de informação de acompanhamento permanente da carga através dos sistemas de informação.</w:t>
      </w:r>
      <w:r w:rsidR="00394A86">
        <w:t xml:space="preserve"> </w:t>
      </w:r>
      <w:r w:rsidRPr="004D55DA">
        <w:t xml:space="preserve">A intermodalidade está ainda ligada à desregulamentação e oferta de serviços logísticos na cadeia de transportes, distribuindo-se algumas fases da produção industrial pelas zonas de paragem da carga durante o seu transporte nos portos, que passaram a ter estas operações </w:t>
      </w:r>
      <w:r w:rsidRPr="004D55DA">
        <w:lastRenderedPageBreak/>
        <w:t>logísticas novas de valor acrescentado à indústria.</w:t>
      </w:r>
      <w:r w:rsidR="00394A86">
        <w:t xml:space="preserve"> </w:t>
      </w:r>
      <w:r w:rsidRPr="004D55DA">
        <w:t>O transporte marítimo e os portos estão em fase de mudança e o foco desta mudança reside nos terminais de contentores e nas redes globais que estes integram, que são o objeto deste estudo.</w:t>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4D55DA">
      <w:pPr>
        <w:pStyle w:val="Cabealho2"/>
        <w:spacing w:line="360" w:lineRule="auto"/>
        <w:ind w:left="0" w:firstLine="0"/>
        <w:jc w:val="both"/>
        <w:rPr>
          <w:sz w:val="24"/>
          <w:szCs w:val="24"/>
        </w:rPr>
      </w:pPr>
      <w:bookmarkStart w:id="9" w:name="_Toc395730124"/>
      <w:r w:rsidRPr="004D55DA">
        <w:rPr>
          <w:sz w:val="24"/>
          <w:szCs w:val="24"/>
        </w:rPr>
        <w:t xml:space="preserve">Enquadramento </w:t>
      </w:r>
      <w:r w:rsidR="002E6B0F" w:rsidRPr="004D55DA">
        <w:rPr>
          <w:sz w:val="24"/>
          <w:szCs w:val="24"/>
        </w:rPr>
        <w:t>teórico</w:t>
      </w:r>
      <w:bookmarkEnd w:id="9"/>
    </w:p>
    <w:p w:rsidR="00104A12" w:rsidRPr="004D55DA" w:rsidRDefault="00104A12" w:rsidP="007F7964">
      <w:pPr>
        <w:spacing w:line="360" w:lineRule="auto"/>
        <w:jc w:val="both"/>
      </w:pPr>
      <w:r w:rsidRPr="004D55DA">
        <w:t xml:space="preserve">Os contentores entraram no mercado do transporte internacional marítimo há cinco décadas atrás e podem ser considerados um sucesso, pois continuam a obter a aceitação geral, sendo a base para a unidade marítima de carga padrão. Os contentores são caixas relativamente uniformes, cujo conteúdo não precisa ser descompactado em cada ponto de transferência (Steenken </w:t>
      </w:r>
      <w:r w:rsidRPr="00D713C2">
        <w:rPr>
          <w:i/>
        </w:rPr>
        <w:t>et al</w:t>
      </w:r>
      <w:r w:rsidRPr="004D55DA">
        <w:t>, 2004).</w:t>
      </w:r>
      <w:r w:rsidR="00394A86">
        <w:t xml:space="preserve"> </w:t>
      </w:r>
      <w:r w:rsidRPr="004D55DA">
        <w:t>Foram projetados para o fácil manuseamento de mercadorias, sendo padronizados nas suas medidas, o que oferece muitas vantagens aos clientes, assegurando ainda proteção contra intempéries e furtos e controle simplificado, constituindo um fluxo global em grande crescimento.</w:t>
      </w:r>
      <w:r w:rsidR="00394A86">
        <w:t xml:space="preserve"> </w:t>
      </w:r>
      <w:r w:rsidRPr="004D55DA">
        <w:t xml:space="preserve">O contentor padrão possui 20 pés (20') de comprimento e serve de medida para outros contentores em unidades equivalentes de 20 pés (TEU – </w:t>
      </w:r>
      <w:r w:rsidR="002E6B0F" w:rsidRPr="004D55DA">
        <w:t>“</w:t>
      </w:r>
      <w:r w:rsidRPr="004D55DA">
        <w:t>twenty feet equivalent unit</w:t>
      </w:r>
      <w:r w:rsidR="002E6B0F" w:rsidRPr="004D55DA">
        <w:t>”</w:t>
      </w:r>
      <w:r w:rsidRPr="004D55DA">
        <w:t>). Por exemplo, um contentor de 40' é equivalente a dois TEU ou um FEU (</w:t>
      </w:r>
      <w:r w:rsidR="002E6B0F" w:rsidRPr="004D55DA">
        <w:t>“f</w:t>
      </w:r>
      <w:r w:rsidRPr="004D55DA">
        <w:t>ourty feet equivalente unit</w:t>
      </w:r>
      <w:r w:rsidR="002E6B0F" w:rsidRPr="004D55DA">
        <w:t>”</w:t>
      </w:r>
      <w:r w:rsidRPr="004D55DA">
        <w:t xml:space="preserve">). Existem ainda contentores frigoríficos, de líquidos, contentores abertos por cima ou de lado e recipientes de grandes dimensões.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Depois de um início lento nos anos 60, o sucesso do contentor ocasionou grandes investimentos em navios especialmente concebidos, os navios porta-contentores, em terminais marítimos cada vez com equipamentos mais adequados ao movimento rápido de contentores, designados por pórticos, que respondem melhor às necessidades JIT das empresas. </w:t>
      </w:r>
    </w:p>
    <w:p w:rsidR="00104A12" w:rsidRPr="004D55DA" w:rsidRDefault="00104A12" w:rsidP="007F7964">
      <w:pPr>
        <w:spacing w:line="360" w:lineRule="auto"/>
        <w:jc w:val="both"/>
      </w:pPr>
    </w:p>
    <w:p w:rsidR="00104A12" w:rsidRDefault="00104A12" w:rsidP="007F7964">
      <w:pPr>
        <w:spacing w:line="360" w:lineRule="auto"/>
        <w:jc w:val="both"/>
      </w:pPr>
      <w:r w:rsidRPr="004D55DA">
        <w:t xml:space="preserve">Nas últimas décadas a carga contentorizada tem assegurado rápido crescimento, verificando-se cada vez mais operações de </w:t>
      </w:r>
      <w:r w:rsidR="00135EB6">
        <w:t>“</w:t>
      </w:r>
      <w:r w:rsidR="00394A86">
        <w:t>transhipment</w:t>
      </w:r>
      <w:r w:rsidR="00135EB6">
        <w:t>”</w:t>
      </w:r>
      <w:r w:rsidRPr="004D55DA">
        <w:t xml:space="preserve"> em portos intermédios e no cruzamento de linhas de navegação. A maioria da carga geral de grande valor do mundo é transportada por navio e acondicionada em contentores. O crescente movimento de contentores provocou um grande aumento da procura nos terminais de contentores portuários, o que tem levado a fases de congestionamento e a grandes investimentos em novos terminais de contentores. A crescente concorrência entre portos, especialmente entre os terminais de contentores dos portos mais próximos ou dentro do mesmo porto, resulta desse desenvolvimento. Os terminais de contentores têm vindo </w:t>
      </w:r>
      <w:r w:rsidRPr="00394A86">
        <w:t>a competir pelos “hinterlands” que se entrecruzam, em especial pelo papel de “hub” de “transhipment” ou intermédio das redes marítimas principais, com as redes “feeder” e pela melhoria d</w:t>
      </w:r>
      <w:r w:rsidR="00394A86" w:rsidRPr="00394A86">
        <w:t xml:space="preserve">as acessibilidades terrestres </w:t>
      </w:r>
      <w:r w:rsidR="00394A86" w:rsidRPr="00394A86">
        <w:rPr>
          <w:rFonts w:eastAsia="Arial Unicode MS"/>
          <w:color w:val="000000"/>
        </w:rPr>
        <w:t>(Rodrigue</w:t>
      </w:r>
      <w:r w:rsidR="00394A86" w:rsidRPr="004D55DA">
        <w:rPr>
          <w:rFonts w:eastAsia="Arial Unicode MS"/>
          <w:color w:val="000000"/>
        </w:rPr>
        <w:t xml:space="preserve"> &amp;</w:t>
      </w:r>
      <w:r w:rsidR="00394A86">
        <w:rPr>
          <w:rFonts w:eastAsia="Arial Unicode MS"/>
          <w:color w:val="000000"/>
        </w:rPr>
        <w:t xml:space="preserve"> </w:t>
      </w:r>
      <w:r w:rsidR="00394A86" w:rsidRPr="004D55DA">
        <w:rPr>
          <w:rFonts w:eastAsia="Arial Unicode MS"/>
          <w:color w:val="000000"/>
        </w:rPr>
        <w:t>Notteboom, 20</w:t>
      </w:r>
      <w:r w:rsidR="00394A86">
        <w:rPr>
          <w:rFonts w:eastAsia="Arial Unicode MS"/>
          <w:color w:val="000000"/>
        </w:rPr>
        <w:t>10</w:t>
      </w:r>
      <w:r w:rsidR="00394A86" w:rsidRPr="004D55DA">
        <w:rPr>
          <w:rFonts w:eastAsia="Arial Unicode MS"/>
          <w:color w:val="000000"/>
        </w:rPr>
        <w:t>).</w:t>
      </w:r>
      <w:r w:rsidR="00394A86">
        <w:t xml:space="preserve"> </w:t>
      </w:r>
    </w:p>
    <w:p w:rsidR="00394A86" w:rsidRPr="004D55DA" w:rsidRDefault="00394A86"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O nível de desempenho de um terminal de contentores deriva de vários fatores, existindo diversa literatura sobre o tema. O desempenho do terminal é preocupação crescente num ambiente cada vez mais competitivo, pelo que qualquer vantagem competitiva é crucial para melhorar a oferta em termos relativos e obter melhor desempenho que os terminais concorrentes.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navios e os armadores procuram nos portos, para além da localização estratégica face às rotas e às origens e destinos das cargas nos “hinterlands”, os mais baixos custos de escala, minimizando preços, tempos de estadia e maximizando produtividades, entre outros. Isto é, como regra geral pode-se assumir a minimização do tempo de estadia e dos custos de um navio no terminal e no porto como um objetivo básico, no que diz respeito às operações do terminal de contentores. Na perspetiva do dono da carga, um dos clientes do porto, a escolha do porto e do terminal de contentores depende muito, dos custos portuários e frete marítimo, do tempo em porto, da distância até ao porto, do valor e volume da carga, da frequência dos serviços marítimos e das alternativas, optando por escolher muitas vezes a cadeia logística e não o porto por onde ela passa (Yap &amp; Notteboom,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Por outro lado, o advento da contentorização e do transporte intermodal foi decisivo para as mudanças operadas nos portos, nos últimos anos. A contentorização levou a duas mudanças principais nos portos (Cullinane </w:t>
      </w:r>
      <w:r w:rsidRPr="00D713C2">
        <w:rPr>
          <w:i/>
        </w:rPr>
        <w:t>et al.</w:t>
      </w:r>
      <w:r w:rsidRPr="004D55DA">
        <w:t>, 2004</w:t>
      </w:r>
      <w:r w:rsidR="002E6B0F" w:rsidRPr="004D55DA">
        <w:t xml:space="preserve">): (a) </w:t>
      </w:r>
      <w:r w:rsidRPr="004D55DA">
        <w:t xml:space="preserve">globalização da cobertura dos serviços, com alianças e aquisições (integração horizontal) de linhas regulares; (b) oferta de serviços logísticos alargados no contexto internacional </w:t>
      </w:r>
      <w:r w:rsidR="002E6B0F" w:rsidRPr="004D55DA">
        <w:t>a</w:t>
      </w:r>
      <w:r w:rsidRPr="004D55DA">
        <w:t xml:space="preserve"> armadores do transporte marítimo com serviços</w:t>
      </w:r>
      <w:r w:rsidR="002E6B0F" w:rsidRPr="004D55DA">
        <w:t xml:space="preserve"> porta-a-porta; c)</w:t>
      </w:r>
      <w:r w:rsidRPr="004D55DA">
        <w:t xml:space="preserve"> serviços de valor acrescentado na cadeia logística (integração vertical).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Noutra vertente, o alargamento das infraestruturas de transporte terrestre, a criação de grandes parques logísticos nos portos e no interior do território, interligados e formando sistemas bipolares, e o aumento da dimensão dos navios em busca de escala por parte dos grandes “hub-ports”, servindo “hinterlands” cada vez maiores, levou a uma maior competição entre portos, c</w:t>
      </w:r>
      <w:r w:rsidR="002E6B0F" w:rsidRPr="004D55DA">
        <w:t xml:space="preserve">om </w:t>
      </w:r>
      <w:r w:rsidRPr="004D55DA">
        <w:t>os “hinterlands”</w:t>
      </w:r>
      <w:r w:rsidR="00D41BF0">
        <w:t xml:space="preserve"> </w:t>
      </w:r>
      <w:r w:rsidR="002E6B0F" w:rsidRPr="004D55DA">
        <w:t>a</w:t>
      </w:r>
      <w:r w:rsidRPr="004D55DA">
        <w:t xml:space="preserve"> intersecta</w:t>
      </w:r>
      <w:r w:rsidR="002E6B0F" w:rsidRPr="004D55DA">
        <w:t>rem-se</w:t>
      </w:r>
      <w:r w:rsidRPr="004D55DA">
        <w:t xml:space="preserve"> cada vez mais (Wang &amp; Cullinane, 2006).</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linhas de navegação ganham maior poder de negociação, dada a maior oferta de serviços por parte dos portos e maior capacidade para exigir melhor desempenho, nomeadamente eficiência, rapidez de operação, qualidade de serviço e menores preços (Wang &amp; Cullinane, </w:t>
      </w:r>
      <w:r w:rsidRPr="004D55DA">
        <w:lastRenderedPageBreak/>
        <w:t>2006), assistindo-se, por vezes, a portos cujo movimento diminui muito com a saída de uma linha de contentores para outro porto, como ocorreu no porto de Singapura ou Tânger</w:t>
      </w:r>
      <w:r w:rsidR="00135EB6">
        <w:t>-Med</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sistema intermodal proporcionado pelos contentores oferece aos exportadores e importadores oportunidades importantes para a redução dos custos, expansão dos mercados e aumento do valor acrescentado das cargas. Mas o maior benefício é a minimização dos custos e tempos entre modos de transporte (Juang &amp; Roe,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Ora, a tendência dos transportadores marítimos para o controlo da cadeia logística</w:t>
      </w:r>
      <w:r w:rsidR="00E40CEF">
        <w:fldChar w:fldCharType="begin"/>
      </w:r>
      <w:r w:rsidR="00E40CEF">
        <w:instrText xml:space="preserve"> XE "</w:instrText>
      </w:r>
      <w:r w:rsidR="00E40CEF" w:rsidRPr="00ED7C40">
        <w:instrText>cadeia logística</w:instrText>
      </w:r>
      <w:r w:rsidR="00E40CEF">
        <w:instrText xml:space="preserve">" </w:instrText>
      </w:r>
      <w:r w:rsidR="00E40CEF">
        <w:fldChar w:fldCharType="end"/>
      </w:r>
      <w:r w:rsidRPr="004D55DA">
        <w:t xml:space="preserve"> total, incluindo o transporte terrestre, armazenamento e distribuição, implica que os critérios de seleção dos portos se relacionam cada vez mais com o transporte intermodal porta-a-porta e não apenas com os transportes marítimos, de forma isolada, embora este ainda seja dominante na cadeia intermodal de base marítima, não abrangendo os “hinterlands” dos portos europeus muito mais que os cerca de 600 quilómetros, como máximo de distância de influência, com exceção dos grandes portos do Norte da Europa.</w:t>
      </w:r>
      <w:r w:rsidR="009138A3">
        <w:t xml:space="preserve"> </w:t>
      </w:r>
      <w:r w:rsidRPr="004D55DA">
        <w:t>Consequentemente, se um porto não consegue atrair armadores, que são quem cada vez mais escolhe os portos, ou seja os clientes, expõe-se ao risco de perda substancial do tráfego de contentores. Estes factores obrigam os portos a fazer todos os esforços para serem competitivos, em termos de custo e qualidade dos serviços, e a desenvolverem áreas logísticas junto ou nos portos, com serviços de distribuição, para atraírem os armadores</w:t>
      </w:r>
      <w:r w:rsidR="009138A3">
        <w:t xml:space="preserve"> (Tonzon &amp; Sawant, 2007)</w:t>
      </w:r>
      <w:r w:rsidRPr="004D55DA">
        <w:t>.</w:t>
      </w:r>
      <w:r w:rsidR="009138A3">
        <w:t xml:space="preserve"> </w:t>
      </w:r>
      <w:r w:rsidRPr="004D55DA">
        <w:t>Neste contexto, a</w:t>
      </w:r>
      <w:r w:rsidRPr="004D55DA">
        <w:rPr>
          <w:rStyle w:val="hps"/>
        </w:rPr>
        <w:t xml:space="preserve"> concorrência</w:t>
      </w:r>
      <w:r w:rsidRPr="004D55DA">
        <w:t xml:space="preserve"> </w:t>
      </w:r>
      <w:r w:rsidRPr="004D55DA">
        <w:rPr>
          <w:rStyle w:val="hps"/>
        </w:rPr>
        <w:t>portuária</w:t>
      </w:r>
      <w:r w:rsidRPr="004D55DA">
        <w:t xml:space="preserve"> </w:t>
      </w:r>
      <w:r w:rsidRPr="004D55DA">
        <w:rPr>
          <w:rStyle w:val="hps"/>
        </w:rPr>
        <w:t>pode ser vista como</w:t>
      </w:r>
      <w:r w:rsidRPr="004D55DA">
        <w:t xml:space="preserve"> </w:t>
      </w:r>
      <w:r w:rsidRPr="004D55DA">
        <w:rPr>
          <w:rStyle w:val="hps"/>
        </w:rPr>
        <w:t>processo de protecção da carteira de clientes</w:t>
      </w:r>
      <w:r w:rsidRPr="004D55DA">
        <w:t xml:space="preserve"> e da </w:t>
      </w:r>
      <w:r w:rsidRPr="004D55DA">
        <w:rPr>
          <w:rStyle w:val="hps"/>
        </w:rPr>
        <w:t>quota de mercado de “hinterland”</w:t>
      </w:r>
      <w:r w:rsidRPr="004D55DA">
        <w:t xml:space="preserve">, sobre os quais </w:t>
      </w:r>
      <w:r w:rsidRPr="004D55DA">
        <w:rPr>
          <w:rStyle w:val="hps"/>
        </w:rPr>
        <w:t>o porto</w:t>
      </w:r>
      <w:r w:rsidRPr="004D55DA">
        <w:t xml:space="preserve"> </w:t>
      </w:r>
      <w:r w:rsidRPr="004D55DA">
        <w:rPr>
          <w:rStyle w:val="hps"/>
        </w:rPr>
        <w:t>pode ter</w:t>
      </w:r>
      <w:r w:rsidRPr="004D55DA">
        <w:t xml:space="preserve"> </w:t>
      </w:r>
      <w:r w:rsidRPr="004D55DA">
        <w:rPr>
          <w:rStyle w:val="hps"/>
        </w:rPr>
        <w:t>controlo exclusivo</w:t>
      </w:r>
      <w:r w:rsidRPr="004D55DA">
        <w:t xml:space="preserve"> </w:t>
      </w:r>
      <w:r w:rsidRPr="004D55DA">
        <w:rPr>
          <w:rStyle w:val="hps"/>
        </w:rPr>
        <w:t>ou parcial, e de conquista do mercado no “hinterland” de outros portos próximos</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terminais de contentores são importantes pontos nodais das cadeias globais de logística de transporte de carga contentorizada (Baird, 2006) e as dificuldades logísticas são uma das razões do insucesso dos portos, o que leva muitos portos a concentrarem esforços no fornecimento de serviços de valor na logística integrada e muitas linhas</w:t>
      </w:r>
      <w:r w:rsidR="002E6B0F" w:rsidRPr="004D55DA">
        <w:t xml:space="preserve"> de</w:t>
      </w:r>
      <w:r w:rsidRPr="004D55DA">
        <w:t xml:space="preserve"> navegação de contentores a transformarem-se em organizações de logística. A logística é hoje um factor estratégico para os portos, permitindo criar valor para os clientes, porque proporciona flexibilidade à produção e melhora a resposta às encomendas (Juang &amp; Roe,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rStyle w:val="hps"/>
        </w:rPr>
        <w:t>Neste ambiente concorrencial, o desempenho do terminal e os factores que o condicionam são prioridades na gestão. O desempenho de um terminal</w:t>
      </w:r>
      <w:r w:rsidRPr="004D55DA">
        <w:t xml:space="preserve"> </w:t>
      </w:r>
      <w:r w:rsidRPr="004D55DA">
        <w:rPr>
          <w:rStyle w:val="hps"/>
        </w:rPr>
        <w:t>é determinado por</w:t>
      </w:r>
      <w:r w:rsidRPr="004D55DA">
        <w:t xml:space="preserve"> </w:t>
      </w:r>
      <w:r w:rsidRPr="004D55DA">
        <w:rPr>
          <w:rStyle w:val="hps"/>
        </w:rPr>
        <w:t xml:space="preserve">vários fatores, </w:t>
      </w:r>
      <w:r w:rsidRPr="004D55DA">
        <w:rPr>
          <w:rStyle w:val="hps"/>
        </w:rPr>
        <w:lastRenderedPageBreak/>
        <w:t>incluindo</w:t>
      </w:r>
      <w:r w:rsidRPr="004D55DA">
        <w:t xml:space="preserve"> </w:t>
      </w:r>
      <w:r w:rsidRPr="004D55DA">
        <w:rPr>
          <w:rStyle w:val="hps"/>
        </w:rPr>
        <w:t>o peso do seu mercado cativo</w:t>
      </w:r>
      <w:r w:rsidRPr="004D55DA">
        <w:t>, a sua capacidade</w:t>
      </w:r>
      <w:r w:rsidRPr="004D55DA">
        <w:rPr>
          <w:rStyle w:val="hps"/>
        </w:rPr>
        <w:t>, os terminais concorrentes</w:t>
      </w:r>
      <w:r w:rsidRPr="004D55DA">
        <w:t xml:space="preserve">, </w:t>
      </w:r>
      <w:r w:rsidRPr="004D55DA">
        <w:rPr>
          <w:rStyle w:val="hps"/>
        </w:rPr>
        <w:t>a acessibilidade marítima e terrestre</w:t>
      </w:r>
      <w:r w:rsidRPr="004D55DA">
        <w:t xml:space="preserve">, o tipo de </w:t>
      </w:r>
      <w:r w:rsidRPr="004D55DA">
        <w:rPr>
          <w:rStyle w:val="hps"/>
        </w:rPr>
        <w:t>equipamentos de movimentação</w:t>
      </w:r>
      <w:r w:rsidRPr="004D55DA">
        <w:t xml:space="preserve"> </w:t>
      </w:r>
      <w:r w:rsidRPr="004D55DA">
        <w:rPr>
          <w:rStyle w:val="hps"/>
        </w:rPr>
        <w:t>de cais e parque</w:t>
      </w:r>
      <w:r w:rsidRPr="004D55DA">
        <w:t>, bem como</w:t>
      </w:r>
      <w:r w:rsidR="002E6B0F" w:rsidRPr="004D55DA">
        <w:t>,</w:t>
      </w:r>
      <w:r w:rsidRPr="004D55DA">
        <w:t xml:space="preserve"> </w:t>
      </w:r>
      <w:r w:rsidRPr="004D55DA">
        <w:rPr>
          <w:rStyle w:val="hps"/>
        </w:rPr>
        <w:t>as linhas de</w:t>
      </w:r>
      <w:r w:rsidRPr="004D55DA">
        <w:t xml:space="preserve"> </w:t>
      </w:r>
      <w:r w:rsidRPr="004D55DA">
        <w:rPr>
          <w:rStyle w:val="hps"/>
        </w:rPr>
        <w:t>transporte</w:t>
      </w:r>
      <w:r w:rsidRPr="004D55DA">
        <w:t xml:space="preserve"> a que está ligado (Tongzon &amp; Heng, 2005).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estudos sobre o desempenho do porto não podem ser baseados exclusivamente em factores quantificáveis, tais como</w:t>
      </w:r>
      <w:r w:rsidR="002E6B0F" w:rsidRPr="004D55DA">
        <w:t>,</w:t>
      </w:r>
      <w:r w:rsidRPr="004D55DA">
        <w:t xml:space="preserve"> eficiência técnica, produtividade ou custos. Em vez disso, uma abordagem holística do desempenho portuário deve englobar também variáveis qualitativas não tão facilmente quantificáveis, mas fundamentais à análise (Bichou, 2007).</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desempenho visto do lado da eficiência dos portos é importante na abordagem de facilitação do comércio, adoptada recentemente pela Organização Mundial d</w:t>
      </w:r>
      <w:r w:rsidR="002E6B0F" w:rsidRPr="004D55DA">
        <w:t>e</w:t>
      </w:r>
      <w:r w:rsidRPr="004D55DA">
        <w:t xml:space="preserve"> Comércio e instituições comerciais regionais, conforme se verifica com os terminais de contentores asiáticos, considerados dos maiores e mais eficientes do mundo, hoje muito estudados </w:t>
      </w:r>
      <w:r w:rsidRPr="004D55DA">
        <w:rPr>
          <w:rFonts w:eastAsia="Arial Unicode MS"/>
          <w:color w:val="000000"/>
        </w:rPr>
        <w:t>(</w:t>
      </w:r>
      <w:r w:rsidRPr="004D55DA">
        <w:t>Blonigen &amp; Wilson,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desempenho dos portos de “transhipment” está ligado à localização, operação, infraestrutura e sistemas de informação, bem como</w:t>
      </w:r>
      <w:r w:rsidR="002E6B0F" w:rsidRPr="004D55DA">
        <w:t>,</w:t>
      </w:r>
      <w:r w:rsidRPr="004D55DA">
        <w:t xml:space="preserve"> à segurança, preços e taxas portuárias e frequências (Hung </w:t>
      </w:r>
      <w:r w:rsidRPr="00D713C2">
        <w:rPr>
          <w:i/>
        </w:rPr>
        <w:t>et al</w:t>
      </w:r>
      <w:r w:rsidRPr="004D55DA">
        <w:t>.,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tempos de operação e estadia em porto e as questões laborais nos portos de “transhipment” estão entre as principais preocupações dos armadores. Para Sternberg (2000), </w:t>
      </w:r>
      <w:r w:rsidR="002E6B0F" w:rsidRPr="004D55DA">
        <w:t xml:space="preserve">o </w:t>
      </w:r>
      <w:r w:rsidRPr="004D55DA">
        <w:t xml:space="preserve">sucesso do porto de Gioia Tauro tem como factores críticos no mercado do </w:t>
      </w:r>
      <w:r w:rsidR="007470FA">
        <w:t>“</w:t>
      </w:r>
      <w:r w:rsidRPr="004D55DA">
        <w:t>transhipment</w:t>
      </w:r>
      <w:r w:rsidR="007470FA">
        <w:t>”</w:t>
      </w:r>
      <w:r w:rsidRPr="004D55DA">
        <w:t>, a localização geográfica, o conhecimento do mercado dos operadores de contentores marítimos, o processo flexível de operação, o investimento contínuo em infraestrutura e instalações e a operação de serviços de valor acrescentado.</w:t>
      </w:r>
    </w:p>
    <w:p w:rsidR="006515D9" w:rsidRPr="004D55DA" w:rsidRDefault="006515D9" w:rsidP="007F7964">
      <w:pPr>
        <w:spacing w:line="360" w:lineRule="auto"/>
        <w:jc w:val="both"/>
      </w:pPr>
    </w:p>
    <w:p w:rsidR="006515D9" w:rsidRPr="004D55DA" w:rsidRDefault="006515D9" w:rsidP="007F7964">
      <w:pPr>
        <w:spacing w:line="360" w:lineRule="auto"/>
        <w:jc w:val="both"/>
      </w:pPr>
      <w:r w:rsidRPr="004D55DA">
        <w:t xml:space="preserve">Assim, torna-se fundamental compreender o que determina o desempenho dos portos e dos terminais de contentores tendo </w:t>
      </w:r>
      <w:r w:rsidR="004D55DA" w:rsidRPr="004D55DA">
        <w:t>como objetivo o desenvolvimento de</w:t>
      </w:r>
      <w:r w:rsidRPr="004D55DA">
        <w:t xml:space="preserve"> terminais mais</w:t>
      </w:r>
      <w:r w:rsidR="004D55DA" w:rsidRPr="004D55DA">
        <w:t xml:space="preserve"> eficientes e competitivos, cujo sucesso facilite atingir níveis elevados de desenvolvimento económico regional e a criação de emprego qualificado com base em exportações mais competitivas.</w:t>
      </w:r>
    </w:p>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rPr>
          <w:b/>
        </w:rPr>
      </w:pPr>
    </w:p>
    <w:p w:rsidR="00104A12" w:rsidRPr="004D55DA" w:rsidRDefault="00104A12" w:rsidP="004D55DA">
      <w:pPr>
        <w:pStyle w:val="Cabealho2"/>
        <w:spacing w:line="360" w:lineRule="auto"/>
        <w:ind w:left="0" w:firstLine="0"/>
        <w:jc w:val="both"/>
        <w:rPr>
          <w:sz w:val="24"/>
          <w:szCs w:val="24"/>
          <w:lang w:val="pt-PT"/>
        </w:rPr>
      </w:pPr>
      <w:bookmarkStart w:id="10" w:name="_Toc395730125"/>
      <w:r w:rsidRPr="004D55DA">
        <w:rPr>
          <w:sz w:val="24"/>
          <w:szCs w:val="24"/>
          <w:lang w:val="pt-PT"/>
        </w:rPr>
        <w:t>Lacunas da investigação</w:t>
      </w:r>
      <w:bookmarkEnd w:id="10"/>
      <w:r w:rsidR="00E40CEF">
        <w:rPr>
          <w:sz w:val="24"/>
          <w:szCs w:val="24"/>
          <w:lang w:val="pt-PT"/>
        </w:rPr>
        <w:fldChar w:fldCharType="begin"/>
      </w:r>
      <w:r w:rsidR="00E40CEF">
        <w:instrText xml:space="preserve"> XE "</w:instrText>
      </w:r>
      <w:r w:rsidR="00E40CEF" w:rsidRPr="008F55FF">
        <w:rPr>
          <w:sz w:val="24"/>
          <w:szCs w:val="24"/>
          <w:lang w:val="pt-PT"/>
        </w:rPr>
        <w:instrText>Lacunas da investigação</w:instrText>
      </w:r>
      <w:r w:rsidR="00E40CEF">
        <w:instrText xml:space="preserve">" </w:instrText>
      </w:r>
      <w:r w:rsidR="00E40CEF">
        <w:rPr>
          <w:sz w:val="24"/>
          <w:szCs w:val="24"/>
          <w:lang w:val="pt-PT"/>
        </w:rPr>
        <w:fldChar w:fldCharType="end"/>
      </w:r>
    </w:p>
    <w:p w:rsidR="00104A12" w:rsidRPr="004D55DA" w:rsidRDefault="00104A12" w:rsidP="007F7964">
      <w:pPr>
        <w:spacing w:line="360" w:lineRule="auto"/>
        <w:jc w:val="both"/>
      </w:pPr>
      <w:r w:rsidRPr="004D55DA">
        <w:t xml:space="preserve">Apesar da investigação sobre os portos ter já uma história de vários anos, que </w:t>
      </w:r>
      <w:r w:rsidR="007470FA" w:rsidRPr="004D55DA">
        <w:t>t</w:t>
      </w:r>
      <w:r w:rsidR="007470FA">
        <w:t>e</w:t>
      </w:r>
      <w:r w:rsidR="007470FA" w:rsidRPr="004D55DA">
        <w:t xml:space="preserve">m </w:t>
      </w:r>
      <w:r w:rsidRPr="004D55DA">
        <w:t>aumentado ao longo do tempo a sua cobertura</w:t>
      </w:r>
      <w:r w:rsidRPr="004D55DA">
        <w:rPr>
          <w:rStyle w:val="hps"/>
        </w:rPr>
        <w:t xml:space="preserve">, o desempenho dos portos não </w:t>
      </w:r>
      <w:r w:rsidR="007470FA" w:rsidRPr="004D55DA">
        <w:rPr>
          <w:rStyle w:val="hps"/>
        </w:rPr>
        <w:t>t</w:t>
      </w:r>
      <w:r w:rsidR="007470FA">
        <w:rPr>
          <w:rStyle w:val="hps"/>
        </w:rPr>
        <w:t>e</w:t>
      </w:r>
      <w:r w:rsidR="007470FA" w:rsidRPr="004D55DA">
        <w:rPr>
          <w:rStyle w:val="hps"/>
        </w:rPr>
        <w:t xml:space="preserve">m </w:t>
      </w:r>
      <w:r w:rsidRPr="004D55DA">
        <w:rPr>
          <w:rStyle w:val="hps"/>
        </w:rPr>
        <w:t>recebido a atenção que merece por parte dos investigadores do</w:t>
      </w:r>
      <w:r w:rsidRPr="004D55DA">
        <w:t xml:space="preserve"> </w:t>
      </w:r>
      <w:r w:rsidRPr="004D55DA">
        <w:rPr>
          <w:rStyle w:val="hps"/>
        </w:rPr>
        <w:t>setor, mais concentrados em</w:t>
      </w:r>
      <w:r w:rsidRPr="004D55DA">
        <w:t xml:space="preserve"> </w:t>
      </w:r>
      <w:r w:rsidRPr="004D55DA">
        <w:rPr>
          <w:rStyle w:val="hps"/>
        </w:rPr>
        <w:t>aspetos</w:t>
      </w:r>
      <w:r w:rsidR="007470FA">
        <w:rPr>
          <w:rStyle w:val="hps"/>
        </w:rPr>
        <w:t>,</w:t>
      </w:r>
      <w:r w:rsidRPr="004D55DA">
        <w:t xml:space="preserve"> </w:t>
      </w:r>
      <w:r w:rsidRPr="004D55DA">
        <w:rPr>
          <w:rStyle w:val="hps"/>
        </w:rPr>
        <w:t>tais como preços e custos, concorrência, instalações portuárias</w:t>
      </w:r>
      <w:r w:rsidRPr="004D55DA">
        <w:t>, capacidade</w:t>
      </w:r>
      <w:r w:rsidRPr="004D55DA">
        <w:rPr>
          <w:rStyle w:val="hps"/>
        </w:rPr>
        <w:t>s,</w:t>
      </w:r>
      <w:r w:rsidRPr="004D55DA">
        <w:t xml:space="preserve"> </w:t>
      </w:r>
      <w:r w:rsidRPr="004D55DA">
        <w:rPr>
          <w:rStyle w:val="hps"/>
        </w:rPr>
        <w:t>políticas de investimento</w:t>
      </w:r>
      <w:r w:rsidRPr="004D55DA">
        <w:t>, produtividade, plano de investimentos, economias de escala, privatização e critérios de seleção de portos (Gonzalez &amp; Trujillo,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literatura sobre o desempenho e a eficiência dos portos e dos terminais de contentores é relativamente recente, especialmente se compararmos com estudos similares realizados para outros serviços públicos, incluindo outros modos de transporte (Gonzalez &amp; Trujillo,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Uma das razões da evolução recente dos portos como área interessante de estudo deve-se às fortes mudanças estruturais que transformaram por completo o negócio, em especial o transporte marítimo de contentores, que tem sofrido alterações importantes com a dimensão dos navios, o desenvolvimento do transporte intermodal e a integração com a logística terrestre (Gonzalez &amp; Trujillo, 2008).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Estas mudanças forçaram o crescimento do movimento operacional e a dimensão dos portos, bem como</w:t>
      </w:r>
      <w:r w:rsidR="00EE1DA1" w:rsidRPr="004D55DA">
        <w:t>,</w:t>
      </w:r>
      <w:r w:rsidRPr="004D55DA">
        <w:t xml:space="preserve"> a intensificação da concorrência entre portos, trazendo novas preocupações com a integração nas cadeias logísticas. Como nem todos os portos têm sido casos de sucesso, as atenções dos analistas têm-se orientado agora para o desempenho e para o que diferencia os portos, nomeadamente o</w:t>
      </w:r>
      <w:r w:rsidR="00EE1DA1" w:rsidRPr="004D55DA">
        <w:t xml:space="preserve"> </w:t>
      </w:r>
      <w:r w:rsidRPr="004D55DA">
        <w:t>que leva ao seu sucesso ou insucesso.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Nos últimos anos, os investigadores têm-se preocupado principalmente em medir a eficiência dos portos, ou seja</w:t>
      </w:r>
      <w:r w:rsidR="00EE1DA1" w:rsidRPr="004D55DA">
        <w:t>,</w:t>
      </w:r>
      <w:r w:rsidRPr="004D55DA">
        <w:t xml:space="preserve"> saber em que medida um porto possui um maior output para uma mesma quantidade empregue de </w:t>
      </w:r>
      <w:r w:rsidR="007470FA">
        <w:t>“</w:t>
      </w:r>
      <w:r w:rsidRPr="004D55DA">
        <w:t>inputs</w:t>
      </w:r>
      <w:r w:rsidR="007470FA">
        <w:t>”</w:t>
      </w:r>
      <w:r w:rsidRPr="004D55DA">
        <w:t xml:space="preserve">. Interessava agora perceber em que medida as características do porto influenciavam uma maior ou menor eficiência e um maior ou menor desempenho. Trujillo e Tovar (2007) compararam a eficiência de um conjunto alargado de portos europeus e concluíram que o seu trabalho falha na explicação dos factores que determinam os diferentes níveis de eficiência dos portos, o que seria muito importante para melhorar a sua eficiência como alternativa à rodovia na Europa.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Também, Estache </w:t>
      </w:r>
      <w:r w:rsidRPr="00D713C2">
        <w:rPr>
          <w:i/>
        </w:rPr>
        <w:t>et al</w:t>
      </w:r>
      <w:r w:rsidRPr="004D55DA">
        <w:t xml:space="preserve">. (2005) referiram que existem, essencialmente, análises da ligação entre a eficiência e a propriedade dos portos e </w:t>
      </w:r>
      <w:r w:rsidR="00EE1DA1" w:rsidRPr="004D55DA">
        <w:t>“</w:t>
      </w:r>
      <w:r w:rsidRPr="004D55DA">
        <w:t>rankings</w:t>
      </w:r>
      <w:r w:rsidR="00EE1DA1" w:rsidRPr="004D55DA">
        <w:t>”</w:t>
      </w:r>
      <w:r w:rsidRPr="004D55DA">
        <w:t xml:space="preserve"> de comparação de eficiências, faltando estudar a ligação entre a eficiência e o desempenho com outras características dos portos de forma mais alargada.</w:t>
      </w:r>
    </w:p>
    <w:p w:rsidR="00104A12" w:rsidRPr="004D55DA" w:rsidRDefault="00104A12" w:rsidP="007F7964">
      <w:pPr>
        <w:pStyle w:val="PargrafodaLista"/>
        <w:spacing w:after="200" w:line="360" w:lineRule="auto"/>
        <w:ind w:left="0"/>
        <w:contextualSpacing/>
        <w:jc w:val="both"/>
      </w:pPr>
    </w:p>
    <w:p w:rsidR="00104A12" w:rsidRPr="004D55DA" w:rsidRDefault="00104A12" w:rsidP="007F7964">
      <w:pPr>
        <w:pStyle w:val="PargrafodaLista"/>
        <w:spacing w:after="200" w:line="360" w:lineRule="auto"/>
        <w:ind w:left="0"/>
        <w:contextualSpacing/>
        <w:jc w:val="both"/>
      </w:pPr>
      <w:r w:rsidRPr="004D55DA">
        <w:t xml:space="preserve">Dos estudos analisados ressalta que uma das lacunas da literatura sobre o tema do desempenho portuário de terminais de contentores é o desconhecimento sobre a influência de cada característica do porto e do terminal de contentores no desempenho do terminal, numa visão que consiga abranger o conjunto dos factores e das preocupações dos diversos autores, de modo a explicar melhor, e da forma mais abrangente possível, o sucesso de uns terminais e o insucesso ou menor sucesso de outros. </w:t>
      </w:r>
    </w:p>
    <w:p w:rsidR="00104A12" w:rsidRPr="004D55DA" w:rsidRDefault="00104A12" w:rsidP="007F7964">
      <w:pPr>
        <w:pStyle w:val="PargrafodaLista"/>
        <w:spacing w:after="200" w:line="360" w:lineRule="auto"/>
        <w:ind w:left="0"/>
        <w:contextualSpacing/>
        <w:jc w:val="both"/>
      </w:pPr>
    </w:p>
    <w:p w:rsidR="00104A12" w:rsidRPr="004D55DA" w:rsidRDefault="00104A12" w:rsidP="007F7964">
      <w:pPr>
        <w:pStyle w:val="PargrafodaLista"/>
        <w:spacing w:after="200" w:line="360" w:lineRule="auto"/>
        <w:ind w:left="0"/>
        <w:contextualSpacing/>
        <w:jc w:val="both"/>
      </w:pPr>
      <w:r w:rsidRPr="004D55DA">
        <w:t xml:space="preserve">Existem muitos factores que determinam o desempenho, mas poucos estudos procuram analisar de forma sistemática as alterações do desempenho baseadas nas características do porto e do terminal na sua totalidade, incluindo instrumentos de marketing, factores geográficos, gestão e infraestruturas do porto e do terminal, integração na cadeia marítima global, integração na cadeia logística de abastecimento, competências logísticas, gestão do terminal, características </w:t>
      </w:r>
      <w:r w:rsidR="007470FA">
        <w:t>“</w:t>
      </w:r>
      <w:r w:rsidRPr="004D55DA">
        <w:t>hard</w:t>
      </w:r>
      <w:r w:rsidR="007470FA">
        <w:t>”</w:t>
      </w:r>
      <w:r w:rsidRPr="004D55DA">
        <w:t xml:space="preserve"> (infraestrutura) e </w:t>
      </w:r>
      <w:r w:rsidR="007470FA">
        <w:t>“</w:t>
      </w:r>
      <w:r w:rsidRPr="004D55DA">
        <w:t>soft</w:t>
      </w:r>
      <w:r w:rsidR="007470FA">
        <w:t>”</w:t>
      </w:r>
      <w:r w:rsidRPr="004D55DA">
        <w:t xml:space="preserve"> (serviço), entre outros fatores.</w:t>
      </w:r>
    </w:p>
    <w:p w:rsidR="00104A12" w:rsidRPr="004D55DA" w:rsidRDefault="00104A12" w:rsidP="007F7964">
      <w:pPr>
        <w:pStyle w:val="PargrafodaLista"/>
        <w:spacing w:after="200" w:line="360" w:lineRule="auto"/>
        <w:ind w:left="0"/>
        <w:contextualSpacing/>
        <w:jc w:val="both"/>
      </w:pPr>
    </w:p>
    <w:p w:rsidR="00104A12" w:rsidRPr="004D55DA" w:rsidRDefault="00104A12" w:rsidP="007F7964">
      <w:pPr>
        <w:pStyle w:val="PargrafodaLista"/>
        <w:spacing w:after="200" w:line="360" w:lineRule="auto"/>
        <w:ind w:left="0"/>
        <w:contextualSpacing/>
        <w:jc w:val="both"/>
      </w:pPr>
      <w:r w:rsidRPr="004D55DA">
        <w:t>Identificam-se as principais lacunas do conhecimento na área do desempenho dos terminais de contentores portuários:</w:t>
      </w:r>
    </w:p>
    <w:p w:rsidR="00104A12" w:rsidRPr="004D55DA" w:rsidRDefault="00104A12" w:rsidP="007F7964">
      <w:pPr>
        <w:pStyle w:val="PargrafodaLista"/>
        <w:spacing w:after="200" w:line="360" w:lineRule="auto"/>
        <w:ind w:left="0"/>
        <w:contextualSpacing/>
        <w:jc w:val="both"/>
      </w:pPr>
    </w:p>
    <w:p w:rsidR="00104A12" w:rsidRPr="004D55DA" w:rsidRDefault="00104A12" w:rsidP="004D55DA">
      <w:pPr>
        <w:pStyle w:val="PargrafodaLista"/>
        <w:numPr>
          <w:ilvl w:val="0"/>
          <w:numId w:val="5"/>
        </w:numPr>
        <w:spacing w:line="360" w:lineRule="auto"/>
        <w:ind w:left="0" w:firstLine="0"/>
        <w:contextualSpacing/>
        <w:jc w:val="both"/>
      </w:pPr>
      <w:r w:rsidRPr="004D55DA">
        <w:t xml:space="preserve">Insuficiente conhecimento da relação, de forma integrada, entre as características geográficas, físicas ou infraestruturais “hard” e de serviço “soft” e o desempenho do terminal de contentores (Estache </w:t>
      </w:r>
      <w:r w:rsidRPr="00D713C2">
        <w:rPr>
          <w:i/>
        </w:rPr>
        <w:t>et al</w:t>
      </w:r>
      <w:r w:rsidRPr="004D55DA">
        <w:t>., 2005);</w:t>
      </w:r>
    </w:p>
    <w:p w:rsidR="00104A12" w:rsidRPr="004D55DA" w:rsidRDefault="00104A12" w:rsidP="004D55DA">
      <w:pPr>
        <w:pStyle w:val="PargrafodaLista"/>
        <w:spacing w:line="360" w:lineRule="auto"/>
        <w:ind w:left="0"/>
        <w:contextualSpacing/>
        <w:jc w:val="both"/>
      </w:pPr>
    </w:p>
    <w:p w:rsidR="00104A12" w:rsidRPr="004D55DA" w:rsidRDefault="00104A12" w:rsidP="004D55DA">
      <w:pPr>
        <w:pStyle w:val="PargrafodaLista"/>
        <w:numPr>
          <w:ilvl w:val="0"/>
          <w:numId w:val="5"/>
        </w:numPr>
        <w:spacing w:line="360" w:lineRule="auto"/>
        <w:ind w:left="0" w:firstLine="0"/>
        <w:contextualSpacing/>
        <w:jc w:val="both"/>
      </w:pPr>
      <w:r w:rsidRPr="004D55DA">
        <w:t>Limitada avaliação das determinantes do desempenho, especificamente dos terminais de contentores, apesar da numerosa literatura sobre indicadores de eficiência e sobre a produtividade (Gonzalez &amp; T</w:t>
      </w:r>
      <w:r w:rsidR="00EE1DA1" w:rsidRPr="004D55DA">
        <w:t>r</w:t>
      </w:r>
      <w:r w:rsidRPr="004D55DA">
        <w:t>ujillo, 2008);</w:t>
      </w:r>
    </w:p>
    <w:p w:rsidR="00104A12" w:rsidRPr="004D55DA" w:rsidRDefault="00104A12" w:rsidP="004D55DA">
      <w:pPr>
        <w:spacing w:line="360" w:lineRule="auto"/>
        <w:contextualSpacing/>
        <w:jc w:val="both"/>
      </w:pPr>
    </w:p>
    <w:p w:rsidR="00104A12" w:rsidRPr="004D55DA" w:rsidRDefault="00104A12" w:rsidP="004D55DA">
      <w:pPr>
        <w:pStyle w:val="PargrafodaLista"/>
        <w:numPr>
          <w:ilvl w:val="0"/>
          <w:numId w:val="5"/>
        </w:numPr>
        <w:spacing w:line="360" w:lineRule="auto"/>
        <w:ind w:left="0" w:firstLine="0"/>
        <w:contextualSpacing/>
        <w:jc w:val="both"/>
      </w:pPr>
      <w:r w:rsidRPr="004D55DA">
        <w:t xml:space="preserve">Os estudos existentes sobre as determinantes do desempenho dos portos e a escolha dos terminais de contentores possuem amostras limitadas no número e no espaço geográfico e </w:t>
      </w:r>
      <w:r w:rsidRPr="004D55DA">
        <w:lastRenderedPageBreak/>
        <w:t xml:space="preserve">incidem apenas em variáveis qualitativas ou quantitativas, não cruzando todas as fontes de informação existentes (Woo </w:t>
      </w:r>
      <w:r w:rsidRPr="00D713C2">
        <w:rPr>
          <w:i/>
        </w:rPr>
        <w:t>et al</w:t>
      </w:r>
      <w:r w:rsidRPr="004D55DA">
        <w:t xml:space="preserve">., 2011; Chang </w:t>
      </w:r>
      <w:r w:rsidRPr="00D713C2">
        <w:rPr>
          <w:i/>
        </w:rPr>
        <w:t>et al</w:t>
      </w:r>
      <w:r w:rsidRPr="004D55DA">
        <w:t>., 2008);</w:t>
      </w:r>
    </w:p>
    <w:p w:rsidR="00104A12" w:rsidRPr="004D55DA" w:rsidRDefault="00104A12" w:rsidP="004D55DA">
      <w:pPr>
        <w:spacing w:line="360" w:lineRule="auto"/>
        <w:contextualSpacing/>
        <w:jc w:val="both"/>
      </w:pPr>
    </w:p>
    <w:p w:rsidR="00104A12" w:rsidRPr="004D55DA" w:rsidRDefault="00104A12" w:rsidP="004D55DA">
      <w:pPr>
        <w:pStyle w:val="PargrafodaLista"/>
        <w:numPr>
          <w:ilvl w:val="0"/>
          <w:numId w:val="5"/>
        </w:numPr>
        <w:spacing w:line="360" w:lineRule="auto"/>
        <w:ind w:left="0" w:firstLine="0"/>
        <w:contextualSpacing/>
        <w:jc w:val="both"/>
      </w:pPr>
      <w:r w:rsidRPr="004D55DA">
        <w:t xml:space="preserve">Os estudos sobre o desempenho dos portos e dos terminais de contentores e sobre a escolha do porto e dos terminais de contentores, que utilizam a metodologia dos modelos de equações estruturais apenas versam a redução de factores através do modelo de medida com indicadores parciais, não entrando na análise confirmatória do modelo estrutural completo e com o sentido e peso das relações causais entre variáveis explicadas e explicativas (Woo </w:t>
      </w:r>
      <w:r w:rsidRPr="00D713C2">
        <w:rPr>
          <w:i/>
        </w:rPr>
        <w:t>et al</w:t>
      </w:r>
      <w:r w:rsidRPr="004D55DA">
        <w:t xml:space="preserve">., 2011; Chang </w:t>
      </w:r>
      <w:r w:rsidRPr="00D713C2">
        <w:rPr>
          <w:i/>
        </w:rPr>
        <w:t>et al</w:t>
      </w:r>
      <w:r w:rsidRPr="004D55DA">
        <w:t>., 2008);</w:t>
      </w:r>
    </w:p>
    <w:p w:rsidR="00104A12" w:rsidRPr="004D55DA" w:rsidRDefault="00104A12" w:rsidP="007F7964">
      <w:pPr>
        <w:pStyle w:val="PargrafodaLista"/>
        <w:spacing w:after="200" w:line="360" w:lineRule="auto"/>
        <w:ind w:left="0"/>
        <w:contextualSpacing/>
        <w:jc w:val="both"/>
      </w:pP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r w:rsidRPr="004D55DA">
        <w:rPr>
          <w:b/>
        </w:rPr>
        <w:br w:type="page"/>
      </w:r>
    </w:p>
    <w:p w:rsidR="00104A12" w:rsidRPr="004D55DA" w:rsidRDefault="00104A12" w:rsidP="00D216EA">
      <w:pPr>
        <w:pStyle w:val="Cabealho2"/>
        <w:spacing w:line="360" w:lineRule="auto"/>
        <w:ind w:left="0" w:firstLine="0"/>
        <w:jc w:val="both"/>
        <w:rPr>
          <w:sz w:val="24"/>
          <w:szCs w:val="24"/>
          <w:lang w:val="pt-PT"/>
        </w:rPr>
      </w:pPr>
      <w:bookmarkStart w:id="11" w:name="_Toc395730126"/>
      <w:r w:rsidRPr="004D55DA">
        <w:rPr>
          <w:sz w:val="24"/>
          <w:szCs w:val="24"/>
          <w:lang w:val="pt-PT"/>
        </w:rPr>
        <w:lastRenderedPageBreak/>
        <w:t>Propósito e objetivo</w:t>
      </w:r>
      <w:r w:rsidR="00C166D8" w:rsidRPr="004D55DA">
        <w:rPr>
          <w:sz w:val="24"/>
          <w:szCs w:val="24"/>
          <w:lang w:val="pt-PT"/>
        </w:rPr>
        <w:t>s</w:t>
      </w:r>
      <w:r w:rsidR="00E40CEF">
        <w:rPr>
          <w:sz w:val="24"/>
          <w:szCs w:val="24"/>
          <w:lang w:val="pt-PT"/>
        </w:rPr>
        <w:fldChar w:fldCharType="begin"/>
      </w:r>
      <w:r w:rsidR="00E40CEF" w:rsidRPr="00E40CEF">
        <w:rPr>
          <w:lang w:val="pt-PT"/>
        </w:rPr>
        <w:instrText xml:space="preserve"> XE "</w:instrText>
      </w:r>
      <w:r w:rsidR="00E40CEF" w:rsidRPr="00FC5FDF">
        <w:rPr>
          <w:sz w:val="24"/>
          <w:szCs w:val="24"/>
          <w:lang w:val="pt-PT"/>
        </w:rPr>
        <w:instrText>Propósito e objetivos</w:instrText>
      </w:r>
      <w:r w:rsidR="00E40CEF" w:rsidRPr="00E40CEF">
        <w:rPr>
          <w:lang w:val="pt-PT"/>
        </w:rPr>
        <w:instrText xml:space="preserve">" </w:instrText>
      </w:r>
      <w:r w:rsidR="00E40CEF">
        <w:rPr>
          <w:sz w:val="24"/>
          <w:szCs w:val="24"/>
          <w:lang w:val="pt-PT"/>
        </w:rPr>
        <w:fldChar w:fldCharType="end"/>
      </w:r>
      <w:r w:rsidR="00C166D8" w:rsidRPr="004D55DA">
        <w:rPr>
          <w:sz w:val="24"/>
          <w:szCs w:val="24"/>
          <w:lang w:val="pt-PT"/>
        </w:rPr>
        <w:t xml:space="preserve"> do estudo e metodologia estatística</w:t>
      </w:r>
      <w:bookmarkEnd w:id="11"/>
      <w:r w:rsidRPr="004D55DA">
        <w:rPr>
          <w:sz w:val="24"/>
          <w:szCs w:val="24"/>
          <w:lang w:val="pt-PT"/>
        </w:rPr>
        <w:t xml:space="preserve"> </w:t>
      </w: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p>
    <w:p w:rsidR="00C166D8" w:rsidRPr="004D55DA" w:rsidRDefault="00104A12" w:rsidP="007F7964">
      <w:pPr>
        <w:spacing w:line="360" w:lineRule="auto"/>
        <w:jc w:val="both"/>
      </w:pPr>
      <w:r w:rsidRPr="004D55DA">
        <w:t xml:space="preserve">Este estudo tem como propósito compreender </w:t>
      </w:r>
      <w:r w:rsidR="00C166D8" w:rsidRPr="004D55DA">
        <w:t>a relação entre as</w:t>
      </w:r>
      <w:r w:rsidRPr="004D55DA">
        <w:rPr>
          <w:color w:val="000000"/>
        </w:rPr>
        <w:t xml:space="preserve"> características do porto e </w:t>
      </w:r>
      <w:r w:rsidR="00C166D8" w:rsidRPr="004D55DA">
        <w:rPr>
          <w:color w:val="000000"/>
        </w:rPr>
        <w:t xml:space="preserve">características </w:t>
      </w:r>
      <w:r w:rsidRPr="004D55DA">
        <w:rPr>
          <w:color w:val="000000"/>
        </w:rPr>
        <w:t xml:space="preserve">do terminal de contentores </w:t>
      </w:r>
      <w:r w:rsidR="00C166D8" w:rsidRPr="004D55DA">
        <w:rPr>
          <w:color w:val="000000"/>
        </w:rPr>
        <w:t>e o desempenho do terminal</w:t>
      </w:r>
      <w:r w:rsidRPr="004D55DA">
        <w:rPr>
          <w:color w:val="000000"/>
        </w:rPr>
        <w:t xml:space="preserve"> de contentores</w:t>
      </w:r>
      <w:r w:rsidR="00C166D8" w:rsidRPr="004D55DA">
        <w:t>.</w:t>
      </w:r>
      <w:r w:rsidRPr="004D55DA">
        <w:t xml:space="preserve"> </w:t>
      </w:r>
    </w:p>
    <w:p w:rsidR="00C166D8" w:rsidRPr="004D55DA" w:rsidRDefault="00C166D8" w:rsidP="007F7964">
      <w:pPr>
        <w:spacing w:line="360" w:lineRule="auto"/>
        <w:jc w:val="both"/>
      </w:pPr>
    </w:p>
    <w:p w:rsidR="00C166D8" w:rsidRPr="004D55DA" w:rsidRDefault="00C166D8" w:rsidP="007F7964">
      <w:pPr>
        <w:spacing w:line="360" w:lineRule="auto"/>
        <w:jc w:val="both"/>
      </w:pPr>
      <w:r w:rsidRPr="004D55DA">
        <w:t xml:space="preserve">Ou seja, tendo em consideração o carácter multidimensional do desempenho, pretende-se, numa visão abrangente, saber quais os fatores que determinam o desempenho do terminal e em que medida e com que tipo de relações. </w:t>
      </w:r>
    </w:p>
    <w:p w:rsidR="00C166D8" w:rsidRPr="004D55DA" w:rsidRDefault="00C166D8" w:rsidP="007F7964">
      <w:pPr>
        <w:spacing w:line="360" w:lineRule="auto"/>
        <w:jc w:val="both"/>
      </w:pPr>
    </w:p>
    <w:p w:rsidR="00104A12" w:rsidRPr="004D55DA" w:rsidRDefault="00C166D8" w:rsidP="007F7964">
      <w:pPr>
        <w:spacing w:line="360" w:lineRule="auto"/>
        <w:jc w:val="both"/>
      </w:pPr>
      <w:r w:rsidRPr="004D55DA">
        <w:t xml:space="preserve">Pretende-se </w:t>
      </w:r>
      <w:r w:rsidR="00104A12" w:rsidRPr="004D55DA">
        <w:t>responder às questões</w:t>
      </w:r>
      <w:r w:rsidRPr="004D55DA">
        <w:t xml:space="preserve"> seguintes</w:t>
      </w:r>
      <w:r w:rsidR="00104A12" w:rsidRPr="004D55DA">
        <w:t>: Como aumentar o nível de desempenho de um terminal de contentores? O que explica o sucesso dos terminais de contentores?</w:t>
      </w:r>
    </w:p>
    <w:p w:rsidR="00104A12" w:rsidRPr="004D55DA" w:rsidRDefault="00104A12" w:rsidP="007F7964">
      <w:pPr>
        <w:spacing w:line="360" w:lineRule="auto"/>
        <w:jc w:val="both"/>
      </w:pPr>
    </w:p>
    <w:p w:rsidR="00C166D8" w:rsidRPr="004D55DA" w:rsidRDefault="00C166D8" w:rsidP="007F7964">
      <w:pPr>
        <w:spacing w:line="360" w:lineRule="auto"/>
        <w:jc w:val="both"/>
      </w:pPr>
      <w:r w:rsidRPr="004D55DA">
        <w:t>São objectivos desta pesquisa: primeiro, identificar as características do porto e as características do terminal de contentores agrupadas por factores de localização (“position”), infraestrutura (“hard”) e serviços (“soft”); segundo, analisar a influência da localização do porto (“position-port”), infraestruturas do porto (“hard-port”) e serviços do porto (“soft-port”) no desempenho do terminal; terceiro, analisar a influência das infraestruturas do terminal (“hard-terminal”) e serviços do terminal (“soft-terminal”) no desempenho do terminal.</w:t>
      </w:r>
    </w:p>
    <w:p w:rsidR="009A5F29" w:rsidRPr="004D55DA" w:rsidRDefault="009A5F29" w:rsidP="007F7964">
      <w:pPr>
        <w:spacing w:line="360" w:lineRule="auto"/>
        <w:jc w:val="both"/>
      </w:pPr>
    </w:p>
    <w:p w:rsidR="00C166D8" w:rsidRPr="004D55DA" w:rsidRDefault="00C166D8" w:rsidP="007F7964">
      <w:pPr>
        <w:spacing w:line="360" w:lineRule="auto"/>
        <w:jc w:val="both"/>
      </w:pPr>
      <w:r w:rsidRPr="004D55DA">
        <w:t xml:space="preserve">Recorre-se especialmente à data envelopment analysis (DEA), análise </w:t>
      </w:r>
      <w:r w:rsidR="00D36A58">
        <w:t>de componentes principais</w:t>
      </w:r>
      <w:r w:rsidRPr="004D55DA">
        <w:t xml:space="preserve"> e sistemas de equações estruturais como metodologia</w:t>
      </w:r>
      <w:r w:rsidR="00047C15">
        <w:t>s</w:t>
      </w:r>
      <w:r w:rsidRPr="004D55DA">
        <w:t xml:space="preserve"> estatística</w:t>
      </w:r>
      <w:r w:rsidR="00047C15">
        <w:t>s</w:t>
      </w:r>
      <w:r w:rsidRPr="004D55DA">
        <w:t xml:space="preserve"> de análise. O universo no qual se recolheu a amostra foi o dos terminais de contentores de portos da Península Ibérica e outros portos europeus num total de 2065 inquéritos enviados, dos quais se obteve a amostra de 205 observações válidas, repartidas em 151 observações</w:t>
      </w:r>
      <w:r w:rsidR="009A5F29" w:rsidRPr="004D55DA">
        <w:t xml:space="preserve"> referentes aos terminais de contentores localizados na Península Ibérica e 54 observações de outros terminais de contentores europeus.</w:t>
      </w:r>
    </w:p>
    <w:p w:rsidR="00104A12" w:rsidRPr="004D55DA" w:rsidRDefault="00104A12" w:rsidP="007F7964">
      <w:pPr>
        <w:spacing w:line="360" w:lineRule="auto"/>
        <w:jc w:val="both"/>
      </w:pPr>
    </w:p>
    <w:p w:rsidR="00104A12" w:rsidRPr="004D55DA" w:rsidRDefault="00104A12" w:rsidP="007F7964">
      <w:r w:rsidRPr="004D55DA">
        <w:br w:type="page"/>
      </w:r>
    </w:p>
    <w:p w:rsidR="00104A12" w:rsidRPr="00F72F59" w:rsidRDefault="00104A12" w:rsidP="00F72F59">
      <w:pPr>
        <w:pStyle w:val="Cabealho1"/>
        <w:numPr>
          <w:ilvl w:val="0"/>
          <w:numId w:val="1"/>
        </w:numPr>
        <w:rPr>
          <w:rFonts w:ascii="Times New Roman" w:hAnsi="Times New Roman"/>
          <w:sz w:val="24"/>
          <w:szCs w:val="24"/>
        </w:rPr>
      </w:pPr>
      <w:bookmarkStart w:id="12" w:name="_Toc395730127"/>
      <w:r w:rsidRPr="00F72F59">
        <w:rPr>
          <w:rFonts w:ascii="Times New Roman" w:hAnsi="Times New Roman"/>
          <w:sz w:val="24"/>
          <w:szCs w:val="24"/>
        </w:rPr>
        <w:lastRenderedPageBreak/>
        <w:t>Revisão da literatura</w:t>
      </w:r>
      <w:bookmarkEnd w:id="12"/>
      <w:r w:rsidR="00E40CEF" w:rsidRPr="00F72F59">
        <w:rPr>
          <w:rFonts w:ascii="Times New Roman" w:hAnsi="Times New Roman"/>
          <w:sz w:val="24"/>
          <w:szCs w:val="24"/>
        </w:rPr>
        <w:fldChar w:fldCharType="begin"/>
      </w:r>
      <w:r w:rsidR="00E40CEF" w:rsidRPr="00F72F59">
        <w:rPr>
          <w:rFonts w:ascii="Times New Roman" w:hAnsi="Times New Roman"/>
          <w:sz w:val="24"/>
          <w:szCs w:val="24"/>
        </w:rPr>
        <w:instrText xml:space="preserve"> XE "Revisão da literatura" </w:instrText>
      </w:r>
      <w:r w:rsidR="00E40CEF" w:rsidRPr="00F72F59">
        <w:rPr>
          <w:rFonts w:ascii="Times New Roman" w:hAnsi="Times New Roman"/>
          <w:sz w:val="24"/>
          <w:szCs w:val="24"/>
        </w:rPr>
        <w:fldChar w:fldCharType="end"/>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Neste capítulo é realizada revisão da literatura organizada pelos temas dos principais constructos identificados, “Position-port”, “Hard-port”, “Soft-port”, “Hard-terminal” e “Soft-terminal”. Antes, porém, aborda-se a multidimensionalidade dos portos e constructos.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Como têm sido investigadas estas questões </w:t>
      </w:r>
      <w:r w:rsidR="00A541C1">
        <w:t>relativas aos</w:t>
      </w:r>
      <w:r w:rsidR="00A541C1" w:rsidRPr="004D55DA">
        <w:t xml:space="preserve"> </w:t>
      </w:r>
      <w:r w:rsidRPr="004D55DA">
        <w:t xml:space="preserve">portos? De acordo com Pallis </w:t>
      </w:r>
      <w:r w:rsidRPr="00D713C2">
        <w:rPr>
          <w:i/>
        </w:rPr>
        <w:t>et al</w:t>
      </w:r>
      <w:r w:rsidRPr="004D55DA">
        <w:t xml:space="preserve">. (2011) os estudos sobre portos podem ser classificados em estudos sobre terminais, portos e cadeias logísticas, governação, planeamento, política portuária e regulação, competitividade e concorrência entre portos e análise espacial. </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Chang e Lee (2007), fizeram uma extensa revisão dos estudos existentes no que respeita ao desempenho portuário e à competição inter-portuária, tendo concluído que estão por estudar questões, como</w:t>
      </w:r>
      <w:r w:rsidR="00A541C1">
        <w:t>,</w:t>
      </w:r>
      <w:r w:rsidRPr="004D55DA">
        <w:t xml:space="preserve"> por exemplo: (a) o efeito da privatização</w:t>
      </w:r>
      <w:r w:rsidR="009138A3">
        <w:t>/concessão</w:t>
      </w:r>
      <w:r w:rsidRPr="004D55DA">
        <w:t xml:space="preserve"> dos portos na sua competitividade; (b) a comparação da eficiência relativa de portos em concorrência; (c) e a interação dos portos com as cadeias logísticas.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Procurando estruturar o tipo de abordagem mais recente, podemos dizer que os estudos realizados sobre os portos podem dividi</w:t>
      </w:r>
      <w:r w:rsidR="00A541C1">
        <w:t>r-se</w:t>
      </w:r>
      <w:r w:rsidRPr="004D55DA">
        <w:t xml:space="preserve"> nos seguintes grandes tipos (Chang &amp; Lee, 2007): (a) factores de seleção de portos, (b) políticas de competitividade, (c) governação, propriedade e privatização, (d) medidas de eficiência, desempenho e produtividade e (e) cooperação, alianças e aquisições.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O estudo dos factores de seleção de portos tem-se baseado na definição de modelos de escolha pelos armadores dos navios e cargas, recaindo a maioria na escolha dos navios. Destacaram-se os estudos de Slack (1985) e Veldman e Buckman (2003), citados por Chang e Lee (2007), que procuraram analisar o peso dos factores de escolha dos portos, designadamente tendo em conta as suas características próprias e dos seus “hinterlands”.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Quanto ao estudo da competitividade, por exemplo, Robinson (2002) referiu a necessidade de se analisar o porto não como um ponto isolado, mas como uma parte da cadeia de transportes. </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lastRenderedPageBreak/>
        <w:t>No que respeita ao estudo da cooperação, alianças e aquisições, existem vários exemplos</w:t>
      </w:r>
      <w:r w:rsidR="00A541C1">
        <w:t>,</w:t>
      </w:r>
      <w:r w:rsidRPr="004D55DA">
        <w:t xml:space="preserve"> como </w:t>
      </w:r>
      <w:r w:rsidR="00A541C1">
        <w:t>indicam</w:t>
      </w:r>
      <w:r w:rsidR="00A541C1" w:rsidRPr="004D55DA">
        <w:t xml:space="preserve"> </w:t>
      </w:r>
      <w:r w:rsidRPr="004D55DA">
        <w:t xml:space="preserve">Chang e Lee (2007): (a) Heaver </w:t>
      </w:r>
      <w:r w:rsidRPr="00D713C2">
        <w:rPr>
          <w:i/>
        </w:rPr>
        <w:t>et al.</w:t>
      </w:r>
      <w:r w:rsidRPr="004D55DA">
        <w:t xml:space="preserve"> (2001) referiram-se às alianças e à cooperação que se têm registado nos portos a nível mundial e a sua influência no desempenho dos portos; (b) Song e Cullinane (2002) demonstraram que as estruturas de capital dos portos afetam as estratégias de cooperação e competição entre estes; (c) Yap e Lam (2006) estudaram a competição entre portos na Ásia, durante vários anos; (e) Christidis (2001) demonstrou que as tendências de alteração da indústria de transporte e a globalização, transformaram o ambiente de operação dos portos e obrigaram os portos a adotar estratégias de cooperação e alianças a nível global, para melhorarem a sua eficiência e competitividade.</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No que respeita às medidas de eficiência, desempenho e produtividade, muitos têm sido os trabalhos que abordam o tema, recorrendo aos mais diversos instrumentos, procurando comparar o desempenho dos portos a diversos níveis, como, por exemplo, Cullinane </w:t>
      </w:r>
      <w:r w:rsidRPr="00D713C2">
        <w:rPr>
          <w:i/>
        </w:rPr>
        <w:t>et al.</w:t>
      </w:r>
      <w:r w:rsidRPr="004D55DA">
        <w:t xml:space="preserve"> (2004), Tongzon (2000; 2002), Estache </w:t>
      </w:r>
      <w:r w:rsidRPr="00D713C2">
        <w:rPr>
          <w:i/>
        </w:rPr>
        <w:t>et al.</w:t>
      </w:r>
      <w:r w:rsidRPr="004D55DA">
        <w:t xml:space="preserve"> (2001) e Song e Yeo (2004).</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Em termos de estudo da governação, propriedade e privatização, muitos tem sido os trabalhos realizados sobre a influência das tendências a nível mundial para a inclusão crescente das empresas privadas na gestão dos portos. Baird (2002) analisou em detalhe os processos de privatização que ocorreram nos portos e Notteboom e Rodrigue (2005) definiram o modelo de evolução dos portos nas suas diversas vertentes de localização, infraestruturas, governação e propriedade. Cullinane (2002) procurou estudar a influência da propriedade dos terminais no seu desempenho e Slack e Frémont (2005) distinguiram entre terminais operados por empresas internacionais e terminais operados por empresas nacionais, procurando analisar a influência deste factor no desempenho dos portos.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De forma mais geral, Cullinane </w:t>
      </w:r>
      <w:r w:rsidRPr="00D713C2">
        <w:rPr>
          <w:i/>
        </w:rPr>
        <w:t>et al.</w:t>
      </w:r>
      <w:r w:rsidRPr="004D55DA">
        <w:t xml:space="preserve"> (2004) analisaram a medida da eficiência de um conjunto de terminais portuários e concluíram que os factores determinantes da eficiência são a localização, o modelo de governação e a propriedade do porto, bem como</w:t>
      </w:r>
      <w:r w:rsidR="00D22161">
        <w:t>,</w:t>
      </w:r>
      <w:r w:rsidRPr="004D55DA">
        <w:t xml:space="preserve"> a forma e o nível como a competição é encarada pelo porto, referindo que importava aplicar um modelo de regressão para procurar explicar melhor as determinantes da eficiência portuária.</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Verifica-se, assim, ser importante agrupar os factores de caracterização estudados pelos investigadores, com influência no desempenho, procurando compreender a sua relação, proximidade ou afinidade, tentando determinar aqueles que estão por detrás dos grupos </w:t>
      </w:r>
      <w:r w:rsidRPr="004D55DA">
        <w:lastRenderedPageBreak/>
        <w:t>encontrados e qual o seu contributo para o desempenho dos terminais de contentores. A maioria dos autores abordam a questão do desempenho portuário apenas procurando medir e comparar portos e terminais portuários, sem que sejam explicadas as suas diferenças e determinantes, afinal sem que tal se traduza em conhecimento que permita compreender porque um porto é mais ou menos eficiente que outro, ou porque possui melhor ou pior desempenho.</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Se alguns autores como Pando </w:t>
      </w:r>
      <w:r w:rsidRPr="00D713C2">
        <w:rPr>
          <w:i/>
        </w:rPr>
        <w:t>et al.</w:t>
      </w:r>
      <w:r w:rsidRPr="004D55DA">
        <w:t xml:space="preserve"> (2005), orientaram a sua investigação no sentido da definição dos instrumentos de marketing do porto que permitam aumentar o seu desempenho, sem tentarem perceber a totalidade dos factores que o influenciam, restringindo-se aos instrumentos de marketing manipuláveis pelos terminais e pelos portos, já outros como Tongzon e Sawant (2007), analisam o desempenho dos portos enquanto resultado dos factores de escolha dos armadores de contentores, esquecendo que esses factores resultam em grande medida de características do próprio porto e do terminal, bem como da sua envolvente, onde afinal o serviço marítimo pode ser também considerado uma característica do próprio porto.</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Outros autores, como Bichou (2007), orientam a visão sobre o desempenho do porto para o serviço deste no seio da cadeia de abastecimento, em especial terrestre, esquecendo que nos portos ainda dominam os aspetos marítimos pesados relacionados com a geoestratégia, a geografia, as rotas marítimas e as economias de escala.</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O tema da investigação dos determinantes do desempenho dos portos e dos terminais portuários surge diluído no tema dos terminais, entre eficiência, capacidade e dimensão (Tongzon &amp; Heng, 2005), na governação (Saudry &amp; Turnbull, 1997) e na competitividade (Coto-Millan </w:t>
      </w:r>
      <w:r w:rsidRPr="00D713C2">
        <w:rPr>
          <w:i/>
        </w:rPr>
        <w:t>et al.</w:t>
      </w:r>
      <w:r w:rsidRPr="004D55DA">
        <w:t>, 2000), onde se inclui a escolha do porto, a competitividade portuária, o desempenho e os factores determinantes.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No que respeita aos estudos específicos, Chang </w:t>
      </w:r>
      <w:r w:rsidRPr="00D713C2">
        <w:rPr>
          <w:i/>
        </w:rPr>
        <w:t>et al.</w:t>
      </w:r>
      <w:r w:rsidRPr="004D55DA">
        <w:t xml:space="preserve"> (2008) identificaram seis factores relativamente importantes que afetam a escolha dos portos pelos armadores: o volume de carga local, a produtividade na manipulação da carga no terminal, a disponibilidade de cais, a localização do porto, o volume de “transhipment” e da rede de alimentação “feeder” e terrestre, incluindo a ferrovia e os parques logísticos. No final do estudo, selecionam como factores latentes o desenvolvimento dos serviços do porto, os aspetos físicos do porto, os serviços marítimos que escalam o porto, a orientação para o mercado e as taxas portuárias.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Woo </w:t>
      </w:r>
      <w:r w:rsidRPr="00D713C2">
        <w:rPr>
          <w:i/>
        </w:rPr>
        <w:t>et al.</w:t>
      </w:r>
      <w:r w:rsidRPr="004D55DA">
        <w:t xml:space="preserve"> (2011) identificaram como principais factores do desempenho do porto, a qualidade do serviço, a orientação para o cliente, o preço, a eficiência das operações, a segurança das operações, a conectividade, a cooperação do porto, o “networking” e o valor acrescentado à carga e ao navio.</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Cullinane e Khanna (2000) verificaram que as economias de escala são importantes para navios com mais de 8000 TEU na rota Europa - “Far East” e no comércio </w:t>
      </w:r>
      <w:r w:rsidR="00D22161">
        <w:t>t</w:t>
      </w:r>
      <w:r w:rsidR="00D22161" w:rsidRPr="004D55DA">
        <w:t>ranspacífico</w:t>
      </w:r>
      <w:r w:rsidRPr="004D55DA">
        <w:t>, bem como</w:t>
      </w:r>
      <w:r w:rsidR="00D22161">
        <w:t>,</w:t>
      </w:r>
      <w:r w:rsidRPr="004D55DA">
        <w:t xml:space="preserve"> para os navios entre 5000 e 6000 TEU na rota transatlântica, constatando que melhorias contínuas na produtividade dos portos permitiam ainda mais o aumento da dimensão do navio em todas as rotas.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Nos factores de decisão dos armadores sobre a escolha dos portos, Cullinane e Wang (2009) identificaram três categorias: (a) factores de rota, que incluem a frequência, a capacidade da frota, a flexibilidade e o tempo de trânsito; (b) factores de custo, que incluem o frete e outros custos; (c) factores de serviço, relacionados com a fiabilidade, segurança, resposta rápida aos problemas, cooperação com o armador e sistemas de informação.</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Para Bichou (2007), a análise dos factores que determinam o desempenho dos portos e terminais portuários inclui as perspetivas macroeconómica, governação, geografia, cidade-porto, logística, mar-terra e unidades de negócios, estas com análises multiempresa, multidimensionais, interdisciplinares e “cross-functional”, defendendo a perspetiva que considera mais global da gestão da cadeia de abastecimento (SCM – </w:t>
      </w:r>
      <w:r w:rsidR="00D22161">
        <w:t>“</w:t>
      </w:r>
      <w:r w:rsidRPr="004D55DA">
        <w:t>Supply Chain Managment</w:t>
      </w:r>
      <w:r w:rsidR="00D22161">
        <w:t>”</w:t>
      </w:r>
      <w:r w:rsidRPr="004D55DA">
        <w:t>).</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Tongzon e Sawant (2007) e Tongzon (2009) analisaram a questão do desempenho dos portos </w:t>
      </w:r>
      <w:r w:rsidR="00D22161" w:rsidRPr="004D55DA">
        <w:t>vist</w:t>
      </w:r>
      <w:r w:rsidR="00D22161">
        <w:t>a</w:t>
      </w:r>
      <w:r w:rsidR="00D22161" w:rsidRPr="004D55DA">
        <w:t xml:space="preserve"> </w:t>
      </w:r>
      <w:r w:rsidRPr="004D55DA">
        <w:t>do lado do armador, enquanto escolha destes, em especial nos terminais de contentores, o que nos leva a um dos principais ramos teóricos em torno de desempenho dos portos, a “port choice theory”</w:t>
      </w:r>
      <w:r w:rsidR="00AF4609" w:rsidRPr="00AF4609">
        <w:t xml:space="preserve"> </w:t>
      </w:r>
      <w:r w:rsidR="00AF4609">
        <w:t>(Figura 6)</w:t>
      </w:r>
      <w:r w:rsidRPr="004D55DA">
        <w:t>.</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Por outro lado, Pando </w:t>
      </w:r>
      <w:r w:rsidRPr="00D713C2">
        <w:rPr>
          <w:i/>
        </w:rPr>
        <w:t>et al</w:t>
      </w:r>
      <w:r w:rsidRPr="004D55DA">
        <w:t xml:space="preserve"> (2005), </w:t>
      </w:r>
      <w:r w:rsidRPr="004D55DA">
        <w:rPr>
          <w:iCs/>
        </w:rPr>
        <w:t>Pardali</w:t>
      </w:r>
      <w:r w:rsidRPr="004D55DA">
        <w:t xml:space="preserve"> e Kounoupas (2007) e Cahoon (2007) analisaram a oferta do porto como instrumento do marketing portuário, avaliando os diversos factores instrumentais do preço, produto e comunicação que influenciam a procura do porto, o que nos leva ao segundo ramo teórico no âmbito do desempenho portuário, a “port marketing theory”.</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Martinez-Budria </w:t>
      </w:r>
      <w:r w:rsidRPr="00D713C2">
        <w:rPr>
          <w:i/>
        </w:rPr>
        <w:t>et al.</w:t>
      </w:r>
      <w:r w:rsidRPr="004D55DA">
        <w:t xml:space="preserve"> (1999) e Gonzalez e Trujillo (2008), entre muitos outros autores, analisaram os portos e os terminais de contentores em termos da fronteira da eficiência, procurando medir de forma relativa a eficiência de cada unidade, terminal ou porto, considerando factores de </w:t>
      </w:r>
      <w:r w:rsidR="00D22161">
        <w:t>“</w:t>
      </w:r>
      <w:r w:rsidRPr="004D55DA">
        <w:t>input</w:t>
      </w:r>
      <w:r w:rsidR="00D22161">
        <w:t>”</w:t>
      </w:r>
      <w:r w:rsidRPr="004D55DA">
        <w:t xml:space="preserve"> e </w:t>
      </w:r>
      <w:r w:rsidR="00D22161">
        <w:t>“</w:t>
      </w:r>
      <w:r w:rsidRPr="004D55DA">
        <w:t>output</w:t>
      </w:r>
      <w:r w:rsidR="00D22161">
        <w:t>”</w:t>
      </w:r>
      <w:r w:rsidRPr="004D55DA">
        <w:t>, o que consubstancia o terceiro ramo teórico do desempenho portuário, a “port efficiency theory”.</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Bichou (2007), Tongzon (2001) e Woo </w:t>
      </w:r>
      <w:r w:rsidRPr="00D713C2">
        <w:rPr>
          <w:i/>
        </w:rPr>
        <w:t>et al.</w:t>
      </w:r>
      <w:r w:rsidRPr="004D55DA">
        <w:t xml:space="preserve"> (2011) analisaram os determinantes do desempenho dos portos na perspetiva dos próprios portos e da cadeia logística marítima e terrestre, utilizando diversas medidas de desempenho, de acordo com os múltiplos objetivos dos portos e dos terminais, o que nos leva ao quarto ramo teórico sobre o desempenho portuário, a “port performance theory”.</w:t>
      </w:r>
    </w:p>
    <w:p w:rsidR="006515D9" w:rsidRPr="004D55DA" w:rsidRDefault="006515D9" w:rsidP="006515D9">
      <w:pPr>
        <w:spacing w:line="360" w:lineRule="auto"/>
        <w:jc w:val="both"/>
      </w:pPr>
    </w:p>
    <w:p w:rsidR="006515D9" w:rsidRPr="004D55DA" w:rsidRDefault="006515D9" w:rsidP="006515D9">
      <w:pPr>
        <w:spacing w:line="360" w:lineRule="auto"/>
        <w:jc w:val="both"/>
        <w:rPr>
          <w:b/>
          <w:sz w:val="22"/>
        </w:rPr>
      </w:pPr>
      <w:r w:rsidRPr="004D55DA">
        <w:rPr>
          <w:b/>
          <w:sz w:val="22"/>
        </w:rPr>
        <w:t>Figura 6 – Teorias do desempenho portuário</w:t>
      </w:r>
      <w:r w:rsidR="00E40CEF">
        <w:rPr>
          <w:b/>
          <w:sz w:val="22"/>
        </w:rPr>
        <w:fldChar w:fldCharType="begin"/>
      </w:r>
      <w:r w:rsidR="00E40CEF">
        <w:instrText xml:space="preserve"> XE "</w:instrText>
      </w:r>
      <w:r w:rsidR="00E40CEF" w:rsidRPr="00D9779C">
        <w:rPr>
          <w:b/>
          <w:sz w:val="22"/>
        </w:rPr>
        <w:instrText>Teorias do desempenho portuário</w:instrText>
      </w:r>
      <w:r w:rsidR="00E40CEF">
        <w:instrText xml:space="preserve">" </w:instrText>
      </w:r>
      <w:r w:rsidR="00E40CEF">
        <w:rPr>
          <w:b/>
          <w:sz w:val="22"/>
        </w:rPr>
        <w:fldChar w:fldCharType="end"/>
      </w:r>
    </w:p>
    <w:p w:rsidR="006515D9" w:rsidRPr="004D55DA" w:rsidRDefault="006515D9" w:rsidP="006515D9">
      <w:pPr>
        <w:spacing w:line="360" w:lineRule="auto"/>
        <w:jc w:val="both"/>
      </w:pPr>
      <w:r w:rsidRPr="004D55DA">
        <w:rPr>
          <w:noProof/>
        </w:rPr>
        <w:drawing>
          <wp:inline distT="0" distB="0" distL="0" distR="0" wp14:anchorId="76C89832" wp14:editId="0883AA75">
            <wp:extent cx="4996180" cy="3399790"/>
            <wp:effectExtent l="0" t="0" r="0" b="0"/>
            <wp:docPr id="19" name="Diagrama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6515D9" w:rsidRPr="00D713C2" w:rsidRDefault="006515D9" w:rsidP="006515D9">
      <w:pPr>
        <w:spacing w:line="360" w:lineRule="auto"/>
        <w:jc w:val="both"/>
        <w:rPr>
          <w:sz w:val="22"/>
        </w:rPr>
      </w:pPr>
      <w:r w:rsidRPr="00D713C2">
        <w:rPr>
          <w:sz w:val="22"/>
        </w:rPr>
        <w:t>Fonte: autor</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A eficiência e o desempenho dos portos são cada vez mais importantes a nível mundial. Este fenómeno está associado à privatização da gestão dos portos e dos terminais portuários, que se integram como elos vitais das cadeias logísticas das empresas operadoras globais, o que tem como consequência a maior importância que se atribui à eficiência e ao desempenho dos portos, como factor para que os países atinjam vantagens competitivas internacionais </w:t>
      </w:r>
      <w:r w:rsidRPr="004D55DA">
        <w:lastRenderedPageBreak/>
        <w:t>(Tongzon, 2002), deixando os utilizadores de ser encarados como meros utentes, para serem encarados como parceiros comerciais.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Assim, o desempenho e a eficiência estão ligados à competitividade dos portos e são atualmente temas de eleição entre os investigadores e os utilizadores dos portos, o que vem demonstrar a atualidade do presente estudo.</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Medir e maximizar o desempenho dos portos é hoje fundamental para garantir o cumprimento do seu papel na cadeia logística, num contexto de crescente competição entre portos, mas cada vez mais entre redes logísticas, seja no “hinterland” terrestre, seja no “foreland” marítimo.</w:t>
      </w:r>
      <w:r w:rsidR="009138A3">
        <w:t xml:space="preserve"> </w:t>
      </w:r>
      <w:r w:rsidRPr="004D55DA">
        <w:t xml:space="preserve">Tendo em consideração que a melhoria das acessibilidades terrestres, a internacionalização das economias e o crescimento da intermodalidade permitem aos portos chegar mais facilmente e de forma mais competitiva a maiores “hinterlands”, aumentando o poder de escolha e de mercado dos clientes, o objetivo dos portos passou a ser aumentar o seu tráfego para além do crescimento económico normal (Haralambides, 2002), para o que se exige cada vez mais maximizar o </w:t>
      </w:r>
      <w:r w:rsidR="00AF4609">
        <w:t>“</w:t>
      </w:r>
      <w:r w:rsidRPr="004D55DA">
        <w:t>output</w:t>
      </w:r>
      <w:r w:rsidR="00AF4609">
        <w:t>”</w:t>
      </w:r>
      <w:r w:rsidRPr="004D55DA">
        <w:t xml:space="preserve"> para um mesmo </w:t>
      </w:r>
      <w:r w:rsidR="00AF4609">
        <w:t>“</w:t>
      </w:r>
      <w:r w:rsidRPr="004D55DA">
        <w:t>input</w:t>
      </w:r>
      <w:r w:rsidR="00AF4609">
        <w:t>”</w:t>
      </w:r>
      <w:r w:rsidRPr="004D55DA">
        <w:t xml:space="preserve"> de fatores. </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Ser eficiente é um imperativo dos modernos terminais de contentores em ambiente concorrencial, uma vez que tal desígnio tem claramente um forte impacto nos custos unitários e logo nos preços e na competitividade (Notteboom &amp; Winkelmans, 2001; Robinson, 2002). Este imperativo surge não só no mercado de contentores, mas também nos terminais de carga geral e de granéis, que começam a entrar na mesma corrida pela eficiência. </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Em termos geográfi</w:t>
      </w:r>
      <w:r w:rsidR="009138A3">
        <w:t>cos, a Europa enfrenta grande</w:t>
      </w:r>
      <w:r w:rsidRPr="004D55DA">
        <w:t xml:space="preserve"> competição no </w:t>
      </w:r>
      <w:r w:rsidR="009138A3">
        <w:t xml:space="preserve">sector portuário, devido à </w:t>
      </w:r>
      <w:r w:rsidRPr="004D55DA">
        <w:t>proximidade dos seus portos, comparativamente com a maioria das costas do resto do mundo, com especial interesse a estudar. A Península Ibérica, por exemplo, pode ser considerada um caso exemplar de concorrência acrescida, pelo facto de existirem portos em concorrência no mesmo “hinterland”, concêntrico em Madrid, no centro da Península, onde alguns portos aparentam vantagens em termos de eficiência e desempenho, por possuírem certas características especiais da infraestrutura, como é o caso dos portos do Mediterrâneo, Valência e Barcelona, e de forma diferente Algeciras, como porto de “transhipment”.</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Os portos são um dos principais determinantes dos custos e da eficiência do transporte marítimo, conforme verificou Sanchez </w:t>
      </w:r>
      <w:r w:rsidRPr="00D713C2">
        <w:rPr>
          <w:i/>
        </w:rPr>
        <w:t>et al.</w:t>
      </w:r>
      <w:r w:rsidRPr="004D55DA">
        <w:t xml:space="preserve"> (2003) ao estudar uma amostra de portos da </w:t>
      </w:r>
      <w:r w:rsidRPr="004D55DA">
        <w:lastRenderedPageBreak/>
        <w:t>América Latina, demonstrando a importância dos custos dos portos para a cadeia logística de base marítima. O custo do transporte marítimo depende, em larga medida, dos custos portuários e dos custos derivados dos tempos de estadia dos navios nos portos, habitualmente proporcionais ao tempo de permanência, em especial na situação de acostagem ao cais.</w:t>
      </w:r>
    </w:p>
    <w:p w:rsidR="006515D9" w:rsidRPr="004D55DA" w:rsidRDefault="006515D9" w:rsidP="006515D9">
      <w:pPr>
        <w:spacing w:line="360" w:lineRule="auto"/>
        <w:jc w:val="both"/>
      </w:pPr>
    </w:p>
    <w:p w:rsidR="006515D9" w:rsidRPr="004D55DA" w:rsidRDefault="006515D9" w:rsidP="006515D9">
      <w:pPr>
        <w:spacing w:line="360" w:lineRule="auto"/>
        <w:jc w:val="both"/>
      </w:pPr>
      <w:r w:rsidRPr="004D55DA">
        <w:t xml:space="preserve">De facto, se entendermos que um porto possui habitualmente o duplo objetivo de, por um lado, se desenvolver em termos comerciais, gerando mais valor às empresas do seu </w:t>
      </w:r>
      <w:r w:rsidR="00AF4609">
        <w:t>“</w:t>
      </w:r>
      <w:r w:rsidRPr="004D55DA">
        <w:t>cluster</w:t>
      </w:r>
      <w:r w:rsidR="00AF4609">
        <w:t>”</w:t>
      </w:r>
      <w:r w:rsidRPr="004D55DA">
        <w:t xml:space="preserve"> portuário e, por outro, contribuir para o desenvolvimento da região onde se insere, criando emprego e atraindo investimento, empresas e indústrias para a sua proximidade, funcionando como pólo de desenvolvimento, qualquer destes objetivos implica com o desempenho</w:t>
      </w:r>
      <w:r w:rsidR="009138A3">
        <w:t xml:space="preserve"> (Estrada, 2007)</w:t>
      </w:r>
      <w:r w:rsidRPr="004D55DA">
        <w:t>.</w:t>
      </w:r>
    </w:p>
    <w:p w:rsidR="006515D9" w:rsidRPr="004D55DA" w:rsidRDefault="006515D9" w:rsidP="006515D9">
      <w:pPr>
        <w:spacing w:line="360" w:lineRule="auto"/>
        <w:jc w:val="both"/>
      </w:pPr>
    </w:p>
    <w:p w:rsidR="006515D9" w:rsidRPr="004D55DA" w:rsidRDefault="00FB18BB" w:rsidP="006515D9">
      <w:pPr>
        <w:spacing w:line="360" w:lineRule="auto"/>
        <w:jc w:val="both"/>
      </w:pPr>
      <w:r>
        <w:t>Em resumo, o</w:t>
      </w:r>
      <w:r w:rsidR="006515D9" w:rsidRPr="004D55DA">
        <w:t xml:space="preserve"> desempenho refere-se ao nível da eficiência, da operação de cargas ou das cargas de elevado valor acrescentado, que utilizam prioritariamente o contentor e o sistema logístico intermodal, satisfazendo os clientes que escolhem o porto. Logo, os portos, e em especial os terminais de contentores, que não melhorarem constantemente o seu desempenho, cairão no </w:t>
      </w:r>
      <w:r w:rsidR="00AF4609">
        <w:t>“</w:t>
      </w:r>
      <w:r w:rsidR="006515D9" w:rsidRPr="004D55DA">
        <w:t>ranking</w:t>
      </w:r>
      <w:r w:rsidR="00AF4609">
        <w:t>”</w:t>
      </w:r>
      <w:r w:rsidR="006515D9" w:rsidRPr="004D55DA">
        <w:t xml:space="preserve"> de comparação com os concorrentes, perdendo clientes, cargas, navios, negócios e valor.</w:t>
      </w:r>
      <w:r>
        <w:t xml:space="preserve"> </w:t>
      </w:r>
      <w:r w:rsidR="006515D9" w:rsidRPr="004D55DA">
        <w:t xml:space="preserve">Para que seja possível atingir os objetivos de desempenho dos portos, dos terminais e das modernas cadeias logísticas, torna-se necessário melhorar as suas </w:t>
      </w:r>
      <w:r>
        <w:t>características e a eficiência</w:t>
      </w:r>
      <w:r w:rsidR="006515D9" w:rsidRPr="004D55DA">
        <w:t>, o que exige identificar esses factores e o seu nível de importância para desempenho e o sucesso dos terminais de contentores.</w:t>
      </w:r>
    </w:p>
    <w:p w:rsidR="006515D9" w:rsidRPr="004D55DA" w:rsidRDefault="006515D9" w:rsidP="007F7964">
      <w:pPr>
        <w:spacing w:line="360" w:lineRule="auto"/>
        <w:jc w:val="both"/>
      </w:pPr>
    </w:p>
    <w:p w:rsidR="006515D9" w:rsidRPr="004D55DA" w:rsidRDefault="006515D9" w:rsidP="007F7964">
      <w:pPr>
        <w:spacing w:line="360" w:lineRule="auto"/>
        <w:jc w:val="both"/>
      </w:pPr>
    </w:p>
    <w:p w:rsidR="00D713C2" w:rsidRDefault="00D713C2">
      <w:pPr>
        <w:rPr>
          <w:color w:val="FFFFFF"/>
        </w:rPr>
      </w:pPr>
      <w:r>
        <w:rPr>
          <w:color w:val="FFFFFF"/>
        </w:rPr>
        <w:br w:type="page"/>
      </w:r>
    </w:p>
    <w:p w:rsidR="00104A12" w:rsidRPr="004D55DA" w:rsidRDefault="00104A12" w:rsidP="007F7964">
      <w:pPr>
        <w:spacing w:line="360" w:lineRule="auto"/>
        <w:jc w:val="both"/>
        <w:rPr>
          <w:color w:val="FFFFFF"/>
        </w:rPr>
      </w:pPr>
    </w:p>
    <w:p w:rsidR="00104A12" w:rsidRPr="00F72F59" w:rsidRDefault="00104A12" w:rsidP="00F72F59">
      <w:pPr>
        <w:pStyle w:val="Cabealho2"/>
        <w:rPr>
          <w:sz w:val="24"/>
          <w:szCs w:val="24"/>
          <w:lang w:val="pt-PT"/>
        </w:rPr>
      </w:pPr>
      <w:bookmarkStart w:id="13" w:name="_Toc326569835"/>
      <w:bookmarkStart w:id="14" w:name="_Toc326569868"/>
      <w:bookmarkStart w:id="15" w:name="_Toc326569920"/>
      <w:bookmarkStart w:id="16" w:name="_Toc326569950"/>
      <w:bookmarkStart w:id="17" w:name="_Toc326600574"/>
      <w:bookmarkStart w:id="18" w:name="_Toc326687034"/>
      <w:bookmarkStart w:id="19" w:name="_Toc332359584"/>
      <w:bookmarkStart w:id="20" w:name="_Toc332359647"/>
      <w:bookmarkStart w:id="21" w:name="_Toc332710641"/>
      <w:bookmarkStart w:id="22" w:name="_Toc333589329"/>
      <w:bookmarkStart w:id="23" w:name="_Toc333594883"/>
      <w:bookmarkStart w:id="24" w:name="_Toc333594943"/>
      <w:bookmarkStart w:id="25" w:name="_Toc333595002"/>
      <w:bookmarkStart w:id="26" w:name="_Toc337927929"/>
      <w:bookmarkStart w:id="27" w:name="_Toc348607054"/>
      <w:bookmarkStart w:id="28" w:name="_Toc364934188"/>
      <w:bookmarkStart w:id="29" w:name="_Toc364959824"/>
      <w:bookmarkStart w:id="30" w:name="_Toc364959879"/>
      <w:bookmarkStart w:id="31" w:name="_Toc364959932"/>
      <w:bookmarkStart w:id="32" w:name="_Toc364959984"/>
      <w:bookmarkStart w:id="33" w:name="_Toc371265662"/>
      <w:bookmarkStart w:id="34" w:name="_Toc373597639"/>
      <w:bookmarkStart w:id="35" w:name="_Toc373706338"/>
      <w:bookmarkStart w:id="36" w:name="_Toc374290511"/>
      <w:bookmarkStart w:id="37" w:name="_Toc374297008"/>
      <w:bookmarkStart w:id="38" w:name="_Toc395045660"/>
      <w:bookmarkStart w:id="39" w:name="_Toc395045958"/>
      <w:bookmarkStart w:id="40" w:name="_Toc395046006"/>
      <w:bookmarkStart w:id="41" w:name="_Toc395046182"/>
      <w:bookmarkStart w:id="42" w:name="_Toc395046375"/>
      <w:bookmarkStart w:id="43" w:name="_Toc39573012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F72F59">
        <w:rPr>
          <w:sz w:val="24"/>
          <w:szCs w:val="24"/>
          <w:lang w:val="pt-PT"/>
        </w:rPr>
        <w:t>Multidimensionalidade dos portos</w:t>
      </w:r>
      <w:r w:rsidR="00E40CEF" w:rsidRPr="00F72F59">
        <w:rPr>
          <w:sz w:val="24"/>
          <w:szCs w:val="24"/>
        </w:rPr>
        <w:fldChar w:fldCharType="begin"/>
      </w:r>
      <w:r w:rsidR="00E40CEF" w:rsidRPr="00F72F59">
        <w:rPr>
          <w:sz w:val="24"/>
          <w:szCs w:val="24"/>
          <w:lang w:val="pt-PT"/>
        </w:rPr>
        <w:instrText xml:space="preserve"> XE "Multidimensionalidade dos portos" </w:instrText>
      </w:r>
      <w:r w:rsidR="00E40CEF" w:rsidRPr="00F72F59">
        <w:rPr>
          <w:sz w:val="24"/>
          <w:szCs w:val="24"/>
        </w:rPr>
        <w:fldChar w:fldCharType="end"/>
      </w:r>
      <w:r w:rsidRPr="00F72F59">
        <w:rPr>
          <w:sz w:val="24"/>
          <w:szCs w:val="24"/>
          <w:lang w:val="pt-PT"/>
        </w:rPr>
        <w:t xml:space="preserve"> e constructos</w:t>
      </w:r>
      <w:bookmarkEnd w:id="43"/>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trabalhos de investigação que analisam a eficiência, a produtividade e o desempenho dos portos são escassos</w:t>
      </w:r>
      <w:r w:rsidR="009A5F29" w:rsidRPr="004D55DA">
        <w:t>,</w:t>
      </w:r>
      <w:r w:rsidRPr="004D55DA">
        <w:t xml:space="preserve"> segundo Gonzalez e T</w:t>
      </w:r>
      <w:r w:rsidR="00EE1DA1" w:rsidRPr="004D55DA">
        <w:t>r</w:t>
      </w:r>
      <w:r w:rsidRPr="004D55DA">
        <w:t xml:space="preserve">ujillo (2008), para quem a dimensão do porto, a localização e a governação são determinantes fundamentais da sua eficiência, uma vez que afetam, por um lado, a capacidade do próprio porto, por outro, a dimensão do mercado no “hinterland” do porto que pode fazer uso dessa capacidade. Determinam também a forma como essa capacidade é gerida e como o porto interage no mercado, em concorrência com outros portos.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Mas a própria revisão de literatura s</w:t>
      </w:r>
      <w:r w:rsidR="009A5F29" w:rsidRPr="004D55DA">
        <w:t xml:space="preserve">obre os portos também é escassa, com evidência para </w:t>
      </w:r>
      <w:r w:rsidRPr="004D55DA">
        <w:t xml:space="preserve">Estache </w:t>
      </w:r>
      <w:r w:rsidRPr="00D713C2">
        <w:rPr>
          <w:i/>
        </w:rPr>
        <w:t>et al.</w:t>
      </w:r>
      <w:r w:rsidRPr="004D55DA">
        <w:t xml:space="preserve"> (2001), Cullinane (2002) e Wang e Cullinane (2006), que deram um forte contributo neste sentido.</w:t>
      </w:r>
    </w:p>
    <w:p w:rsidR="00104A12" w:rsidRPr="004D55DA" w:rsidRDefault="00104A12" w:rsidP="007F7964">
      <w:pPr>
        <w:spacing w:line="360" w:lineRule="auto"/>
        <w:jc w:val="both"/>
      </w:pPr>
    </w:p>
    <w:p w:rsidR="00104A12" w:rsidRPr="004D55DA" w:rsidRDefault="009A5F29" w:rsidP="007F7964">
      <w:pPr>
        <w:spacing w:line="360" w:lineRule="auto"/>
        <w:jc w:val="both"/>
      </w:pPr>
      <w:r w:rsidRPr="004D55DA">
        <w:t>A avaliação económica</w:t>
      </w:r>
      <w:r w:rsidR="00104A12" w:rsidRPr="004D55DA">
        <w:t xml:space="preserve"> dos portos começou nos anos 60 e ficou-se pelos aspetos do estudo da estrutura das taxas portuárias, da sua capacidade e dos investimentos. Os primeiros estudos sobre eficiência portuária apenas surgiram nos anos 90, de forma muito modesta. Recentemente, a eficiência e a produtividade passaram a ser os grandes temas dos investigadores portuários, devido a ocorrerem grandes transformações com a expansão e aprofundamento dos portos, com a melhoria da tecnologia, a mudança organizacional, a privatização e a especialização de </w:t>
      </w:r>
      <w:r w:rsidR="00AF4609">
        <w:t>“</w:t>
      </w:r>
      <w:r w:rsidR="00104A12" w:rsidRPr="004D55DA">
        <w:t>inputs</w:t>
      </w:r>
      <w:r w:rsidR="00AF4609">
        <w:t>”</w:t>
      </w:r>
      <w:r w:rsidR="00104A12" w:rsidRPr="004D55DA">
        <w:t xml:space="preserve"> portuários e dos terminais, com impactos na eficiência e na produtividade que provocaram evidentes desigualdades entre portos.</w:t>
      </w:r>
      <w:r w:rsidR="00FB18BB">
        <w:t xml:space="preserve"> </w:t>
      </w:r>
      <w:r w:rsidR="00104A12" w:rsidRPr="004D55DA">
        <w:t>Os estudos sobre a eficiência portuária podem ser classificados em três grandes grupos (Gonzalez &amp; T</w:t>
      </w:r>
      <w:r w:rsidR="00EE1DA1" w:rsidRPr="004D55DA">
        <w:t>r</w:t>
      </w:r>
      <w:r w:rsidR="00104A12" w:rsidRPr="004D55DA">
        <w:t xml:space="preserve">ujillo, 2008): o primeiro inclui estudos com indicadores parciais ou unidimensionais de produtividade do sistema portuário, não traduzindo a realidade multidimensional dos portos; o segundo grupo de estudos inclui os que possuem uma visão apenas do lado da engenharia, utilizando simulações operacionais dos terminais e a teoria das filas de espera; o terceiro grupo, mais recente, cobre a estimativa da fronteira tecnológica de produção, utilizando aproximações multivariáveis nos </w:t>
      </w:r>
      <w:r w:rsidR="00AF4609">
        <w:t>“</w:t>
      </w:r>
      <w:r w:rsidR="00104A12" w:rsidRPr="004D55DA">
        <w:t>inputs</w:t>
      </w:r>
      <w:r w:rsidR="00AF4609">
        <w:t>”</w:t>
      </w:r>
      <w:r w:rsidR="00104A12" w:rsidRPr="004D55DA">
        <w:t xml:space="preserve"> e nos </w:t>
      </w:r>
      <w:r w:rsidR="00AF4609">
        <w:t>“</w:t>
      </w:r>
      <w:r w:rsidR="00104A12" w:rsidRPr="004D55DA">
        <w:t>outputs</w:t>
      </w:r>
      <w:r w:rsidR="00AF4609">
        <w:t>”</w:t>
      </w:r>
      <w:r w:rsidR="00104A12" w:rsidRPr="004D55DA">
        <w:t xml:space="preserve"> e têm como objetivo fundamentar a decisão política e económica portuária.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A desvantagem da visão unidimensional nos portos, em que apenas se compara uma variável de </w:t>
      </w:r>
      <w:r w:rsidR="00AF4609">
        <w:t>“</w:t>
      </w:r>
      <w:r w:rsidRPr="004D55DA">
        <w:t>input</w:t>
      </w:r>
      <w:r w:rsidR="00AF4609">
        <w:t>”</w:t>
      </w:r>
      <w:r w:rsidRPr="004D55DA">
        <w:t xml:space="preserve"> com uma variável de </w:t>
      </w:r>
      <w:r w:rsidR="00AF4609">
        <w:t>“</w:t>
      </w:r>
      <w:r w:rsidRPr="004D55DA">
        <w:t>output</w:t>
      </w:r>
      <w:r w:rsidR="00AF4609">
        <w:t>”</w:t>
      </w:r>
      <w:r w:rsidRPr="004D55DA">
        <w:t xml:space="preserve">, é não abarcar a natureza especial multidimensional e multivariável dos portos, que movimentam vários tipos de cargas e possuem diversos </w:t>
      </w:r>
      <w:r w:rsidR="00AF4609">
        <w:t>“</w:t>
      </w:r>
      <w:r w:rsidRPr="004D55DA">
        <w:t>inputs</w:t>
      </w:r>
      <w:r w:rsidR="00AF4609">
        <w:t>”</w:t>
      </w:r>
      <w:r w:rsidRPr="004D55DA">
        <w:t xml:space="preserve"> relacionados com mão-de-obra, capital, terrenos, entre outros.</w:t>
      </w:r>
      <w:r w:rsidR="00FB18BB">
        <w:t xml:space="preserve"> </w:t>
      </w:r>
      <w:r w:rsidRPr="004D55DA">
        <w:t>Este problema apenas foi resolvido com a utilização da análise TFP (</w:t>
      </w:r>
      <w:r w:rsidR="00CC5B1A">
        <w:t>“</w:t>
      </w:r>
      <w:r w:rsidRPr="004D55DA">
        <w:t>total factor produtivity</w:t>
      </w:r>
      <w:r w:rsidR="00CC5B1A">
        <w:t>”</w:t>
      </w:r>
      <w:r w:rsidRPr="004D55DA">
        <w:t xml:space="preserve">), que consiste num índice que reflete a contribuição global de todos os factores de </w:t>
      </w:r>
      <w:r w:rsidR="00CC5B1A">
        <w:t>“</w:t>
      </w:r>
      <w:r w:rsidRPr="004D55DA">
        <w:t>input</w:t>
      </w:r>
      <w:r w:rsidR="00CC5B1A">
        <w:t>”</w:t>
      </w:r>
      <w:r w:rsidRPr="004D55DA">
        <w:t xml:space="preserve"> relevantes e todos os </w:t>
      </w:r>
      <w:r w:rsidR="00CC5B1A">
        <w:t>“</w:t>
      </w:r>
      <w:r w:rsidRPr="004D55DA">
        <w:t>outputs</w:t>
      </w:r>
      <w:r w:rsidR="00CC5B1A">
        <w:t>”</w:t>
      </w:r>
      <w:r w:rsidRPr="004D55DA">
        <w:t xml:space="preserve">. Poitras, Tongzon e Li (1996) efetuaram um dos primeiros estudos com a aplicação aos portos do modelo DEA, </w:t>
      </w:r>
      <w:r w:rsidR="00CC5B1A">
        <w:t>“</w:t>
      </w:r>
      <w:r w:rsidR="009A5F29" w:rsidRPr="004D55DA">
        <w:t>d</w:t>
      </w:r>
      <w:r w:rsidRPr="004D55DA">
        <w:t xml:space="preserve">ata </w:t>
      </w:r>
      <w:r w:rsidR="009A5F29" w:rsidRPr="004D55DA">
        <w:t>e</w:t>
      </w:r>
      <w:r w:rsidRPr="004D55DA">
        <w:t xml:space="preserve">nvelopment </w:t>
      </w:r>
      <w:r w:rsidR="009A5F29" w:rsidRPr="004D55DA">
        <w:t>a</w:t>
      </w:r>
      <w:r w:rsidRPr="004D55DA">
        <w:t>nalysis</w:t>
      </w:r>
      <w:r w:rsidR="00CC5B1A">
        <w:t>”</w:t>
      </w:r>
      <w:r w:rsidRPr="004D55DA">
        <w:t>, que reflete esta natureza multidimensional dos portos na análise do seu desempenho, utilizando a fronteira de produção.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Nos anos 90, as novas metodologias de medida da eficiência foram introduzidas nos estudos sobre portos, mas verificou-se uma enorme discussão sobre qual o método que melhor definia a realidade complexa dos portos. Os estudos têm-se centrado na relação entre a eficiência e as reformas nos portos, a propriedade dos portos, a dimensão, o </w:t>
      </w:r>
      <w:r w:rsidR="00CC5B1A">
        <w:t>“</w:t>
      </w:r>
      <w:r w:rsidRPr="004D55DA">
        <w:t>transhipment</w:t>
      </w:r>
      <w:r w:rsidR="00CC5B1A">
        <w:t>”</w:t>
      </w:r>
      <w:r w:rsidRPr="004D55DA">
        <w:t>, o investimento, os “hub ports</w:t>
      </w:r>
      <w:r w:rsidR="00CC5B1A">
        <w:t>”</w:t>
      </w:r>
      <w:r w:rsidRPr="004D55DA">
        <w:t xml:space="preserve"> (Notteboom </w:t>
      </w:r>
      <w:r w:rsidRPr="00D713C2">
        <w:rPr>
          <w:i/>
        </w:rPr>
        <w:t>et al</w:t>
      </w:r>
      <w:r w:rsidRPr="004D55DA">
        <w:t xml:space="preserve">., 2000) e a eficiência e o tempo (Cullinane </w:t>
      </w:r>
      <w:r w:rsidRPr="00D713C2">
        <w:rPr>
          <w:i/>
        </w:rPr>
        <w:t>et al</w:t>
      </w:r>
      <w:r w:rsidRPr="004D55DA">
        <w:t xml:space="preserve">., 2004).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Onut </w:t>
      </w:r>
      <w:r w:rsidRPr="00D713C2">
        <w:rPr>
          <w:i/>
        </w:rPr>
        <w:t>et al</w:t>
      </w:r>
      <w:r w:rsidRPr="004D55DA">
        <w:t xml:space="preserve">. (2011) referiram que os principais critérios </w:t>
      </w:r>
      <w:r w:rsidR="009A5F29" w:rsidRPr="004D55DA">
        <w:t>do desempenho do porto incluem localização geográfica, características físicas, custo,</w:t>
      </w:r>
      <w:r w:rsidRPr="004D55DA">
        <w:t xml:space="preserve"> eficiência, entre outros, mas també</w:t>
      </w:r>
      <w:r w:rsidR="009A5F29" w:rsidRPr="004D55DA">
        <w:t>m podem incluir critérios como dimensão do porto, capacidade,</w:t>
      </w:r>
      <w:r w:rsidRPr="004D55DA">
        <w:t xml:space="preserve"> segurança e frequência de navios. Referiram a proximidade a áreas de importação e exportação, a “hubs” marítimos e às rotas de navegação, bem como</w:t>
      </w:r>
      <w:r w:rsidR="009A5F29" w:rsidRPr="004D55DA">
        <w:t>,</w:t>
      </w:r>
      <w:r w:rsidRPr="004D55DA">
        <w:t xml:space="preserve"> a economia do “hinterland”. Referiram, ainda, vol</w:t>
      </w:r>
      <w:r w:rsidR="009A5F29" w:rsidRPr="004D55DA">
        <w:t xml:space="preserve">ume de cargas e </w:t>
      </w:r>
      <w:r w:rsidR="00CC5B1A">
        <w:t>“</w:t>
      </w:r>
      <w:r w:rsidR="009A5F29" w:rsidRPr="004D55DA">
        <w:t>transhipment</w:t>
      </w:r>
      <w:r w:rsidR="00CC5B1A">
        <w:t>”</w:t>
      </w:r>
      <w:r w:rsidR="009A5F29" w:rsidRPr="004D55DA">
        <w:t>, frequência dos navios, infraestrutura, equipamentos,</w:t>
      </w:r>
      <w:r w:rsidRPr="004D55DA">
        <w:t xml:space="preserve"> ligações </w:t>
      </w:r>
      <w:r w:rsidR="009A5F29" w:rsidRPr="004D55DA">
        <w:t>intermodais, eficiência do porto, produtividade, tempo em cais,</w:t>
      </w:r>
      <w:r w:rsidRPr="004D55DA">
        <w:t xml:space="preserve"> cu</w:t>
      </w:r>
      <w:r w:rsidR="009A5F29" w:rsidRPr="004D55DA">
        <w:t>stos do transporte terrestre,</w:t>
      </w:r>
      <w:r w:rsidRPr="004D55DA">
        <w:t xml:space="preserve"> taxas port</w:t>
      </w:r>
      <w:r w:rsidR="009A5F29" w:rsidRPr="004D55DA">
        <w:t xml:space="preserve">uárias, </w:t>
      </w:r>
      <w:r w:rsidRPr="004D55DA">
        <w:t>possibilidade</w:t>
      </w:r>
      <w:r w:rsidR="009A5F29" w:rsidRPr="004D55DA">
        <w:t xml:space="preserve"> de expansão futura do porto, sistema de informação, segurança da carga e</w:t>
      </w:r>
      <w:r w:rsidRPr="004D55DA">
        <w:t xml:space="preserve"> atrasos no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Notteboom (2011) referiu inúmeros factores relacionados com a procura do porto, como sejam a carga, qualidade, lucros, ligações “feeder”, serviços intermodais, relação carga e descarga, </w:t>
      </w:r>
      <w:r w:rsidR="00CC5B1A">
        <w:t>“</w:t>
      </w:r>
      <w:r w:rsidRPr="004D55DA">
        <w:t>transhipment</w:t>
      </w:r>
      <w:r w:rsidR="00CC5B1A">
        <w:t>”</w:t>
      </w:r>
      <w:r w:rsidRPr="004D55DA">
        <w:t xml:space="preserve">, oferta do porto, geografia face aos mercados e rotas de comércio, fundos do acesso marítimo, cais, taxas, sistemas de informação, preços, fiabilidade e disponibilidade dos serviços, alfândegas, tempo em porto, tempo de trabalho, reputação do porto, comunidade portuária, logística, segurança, linhas marítimas e armadores, que analisou com a utilização da escala de </w:t>
      </w:r>
      <w:r w:rsidR="00CC5B1A">
        <w:t>“</w:t>
      </w:r>
      <w:r w:rsidRPr="004D55DA">
        <w:t>Likert</w:t>
      </w:r>
      <w:r w:rsidR="00CC5B1A">
        <w:t>”</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Face a esta multiplicidade de critérios e de factores e tendo em consideração o objeto do estudo que é o terminal de contentores, agrupar</w:t>
      </w:r>
      <w:r w:rsidR="009A5F29" w:rsidRPr="004D55DA">
        <w:t>am-se as variáveis</w:t>
      </w:r>
      <w:r w:rsidRPr="004D55DA">
        <w:t xml:space="preserve"> de forma lógica em constructos principais. A principal divisão </w:t>
      </w:r>
      <w:r w:rsidR="009A5F29" w:rsidRPr="004D55DA">
        <w:t>identifica-se com</w:t>
      </w:r>
      <w:r w:rsidRPr="004D55DA">
        <w:t xml:space="preserve"> geografia, características físicas e aspetos não físicos ou serviços do porto e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Desta forma, determinaram-se cinco grandes grupos de factores </w:t>
      </w:r>
      <w:r w:rsidR="009A5F29" w:rsidRPr="004D55DA">
        <w:t>com reflexo no</w:t>
      </w:r>
      <w:r w:rsidRPr="004D55DA">
        <w:t xml:space="preserve"> desempenho dos portos, que abrangem a sua multidimensionalidade (Caldeirinha &amp; Felício, 2013): (a) factores “position-port” relacionados com a posição geográfica do porto e do terminal face aos grandes centros económicos e às grandes rotas marítimas; (b) factores “hard-port” relacionados com os aspetos que caracterizam fisicamente o porto onde o terminal está inserido, como o acesso marítimo e terrestre, a sua dimensão e as áreas logísticas; (c) factores “soft-port”, relativos aos aspetos não físicos que caracterizam a gestão e o produto/serviço do porto, como sejam a governação, as taxas, a especialização, a qualidade geral e a integração logística terrestre; (d) factores “hard-terminal” que se prendem com as características físicas dos terminais de contentores em estudo, designadamente os cais, equipamentos e terraplenos; (e) factores “soft-terminal”, que incidem sobre os aspetos não físicos do serviço dos terminais de contentores em estudo, por exemplo o modelo de gestão, a qualidade, a fiabilidade dos serviços, a imagem do terminal, os sistemas de informações, a integração nas cadeias marítimas globais e regionais e a integração nas cadeias logísticas terrestres e os serviços de valor acrescentado que oferecem. Verificando-se importantes diferenças na composição d</w:t>
      </w:r>
      <w:r w:rsidR="009A5F29" w:rsidRPr="004D55DA">
        <w:t>o</w:t>
      </w:r>
      <w:r w:rsidRPr="004D55DA">
        <w:t xml:space="preserve"> grupo de factores “soft-terminal”, a sua avaliação conduziu a identificar outro nível de detalhe, realizando o reagrupamento em factores “softlogis-terminal”, factores “softorg-terminal” e factores “softsea-terminal”. Constata-se a complexidade de avaliação dos factores “soft-terminal” na medida em que envolvem características ou factores decorrentes da localização do terminal, associados à cadeia logística e decorrentes do tipo de organização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Determinaram-se ainda quatros grandes constructos relacionados com a própria medida do desempenho do porto: (a) desempenho operacional, (b) produtividade e eficiência, (c) impacto económico e (e) satisfação do cliente.</w:t>
      </w:r>
    </w:p>
    <w:p w:rsidR="00104A12" w:rsidRPr="004D55DA" w:rsidRDefault="00104A12" w:rsidP="007F7964">
      <w:pPr>
        <w:spacing w:line="360" w:lineRule="auto"/>
        <w:jc w:val="both"/>
      </w:pPr>
      <w:r w:rsidRPr="004D55DA">
        <w:br w:type="page"/>
      </w:r>
    </w:p>
    <w:p w:rsidR="00104A12" w:rsidRPr="004D55DA" w:rsidRDefault="00104A12" w:rsidP="00D216EA">
      <w:pPr>
        <w:pStyle w:val="Cabealho2"/>
        <w:spacing w:line="360" w:lineRule="auto"/>
        <w:ind w:left="0" w:firstLine="0"/>
        <w:jc w:val="both"/>
        <w:rPr>
          <w:sz w:val="24"/>
          <w:szCs w:val="24"/>
          <w:lang w:val="pt-PT"/>
        </w:rPr>
      </w:pPr>
      <w:bookmarkStart w:id="44" w:name="_Toc395730129"/>
      <w:r w:rsidRPr="004D55DA">
        <w:rPr>
          <w:sz w:val="24"/>
          <w:szCs w:val="24"/>
          <w:lang w:val="pt-PT"/>
        </w:rPr>
        <w:lastRenderedPageBreak/>
        <w:t>“Position-port</w:t>
      </w:r>
      <w:r w:rsidR="00E40CEF">
        <w:rPr>
          <w:sz w:val="24"/>
          <w:szCs w:val="24"/>
          <w:lang w:val="pt-PT"/>
        </w:rPr>
        <w:fldChar w:fldCharType="begin"/>
      </w:r>
      <w:r w:rsidR="00E40CEF" w:rsidRPr="00E40CEF">
        <w:rPr>
          <w:lang w:val="pt-PT"/>
        </w:rPr>
        <w:instrText xml:space="preserve"> XE "</w:instrText>
      </w:r>
      <w:r w:rsidR="00E40CEF" w:rsidRPr="005D2577">
        <w:rPr>
          <w:sz w:val="24"/>
          <w:szCs w:val="24"/>
          <w:lang w:val="pt-PT"/>
        </w:rPr>
        <w:instrText>Position-port</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localização do porto</w:t>
      </w:r>
      <w:bookmarkEnd w:id="44"/>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localização do porto é um factor determinante do desempenho (Liu, 1995) e talvez o mais importante, uma vez que o porto não existe por si.</w:t>
      </w:r>
      <w:r w:rsidR="002A1F91">
        <w:t xml:space="preserve"> </w:t>
      </w:r>
      <w:r w:rsidRPr="004D55DA">
        <w:t>Muitos portos dependem do desenvolvimento do seu “hinterland”, tendo-se verificado que a melhoria das acessibilidades terrestres e o desenvolvimento do caminho-de-ferro alargaram o “hinterland” dos portos até grandes distâncias, aumentando a concorrência entre portos. Não obstante, a base de desenvolvimento dum porto continua a ser o seu “hinterland” mais próximo, que pode ser maior ou menor em termos físicos, dependendo da dimensão do porto e das acessibilidades.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Num estudo sobre a competitividade dos portos chineses, recorrendo à</w:t>
      </w:r>
      <w:r w:rsidR="00AA5AD9">
        <w:t xml:space="preserve"> ferramenta metodológica</w:t>
      </w:r>
      <w:r w:rsidRPr="004D55DA">
        <w:t xml:space="preserve"> “analytic hierarchy process” e utilizando um vasto conjunto de fatores, Song e Yeo (2004) referem que o volume de carga dos portos tem </w:t>
      </w:r>
      <w:r w:rsidR="009A5F29" w:rsidRPr="004D55DA">
        <w:t>forte</w:t>
      </w:r>
      <w:r w:rsidRPr="004D55DA">
        <w:t xml:space="preserve"> relação com a localização, que não pode ser alterada habitualmente, ao contrário das infraestruturas e serviços que são passíveis de alteração </w:t>
      </w:r>
      <w:r w:rsidR="009A5F29" w:rsidRPr="004D55DA">
        <w:t>a</w:t>
      </w:r>
      <w:r w:rsidR="002A1F91">
        <w:t xml:space="preserve"> longo prazo. </w:t>
      </w:r>
      <w:r w:rsidRPr="004D55DA">
        <w:t>Temos</w:t>
      </w:r>
      <w:r w:rsidR="009A5F29" w:rsidRPr="004D55DA">
        <w:t>,</w:t>
      </w:r>
      <w:r w:rsidRPr="004D55DA">
        <w:t xml:space="preserve"> então</w:t>
      </w:r>
      <w:r w:rsidR="009A5F29" w:rsidRPr="004D55DA">
        <w:t>,</w:t>
      </w:r>
      <w:r w:rsidRPr="004D55DA">
        <w:t xml:space="preserve"> uma variável que, depois de construído o porto, não pode facilmente ser alterada, a não ser que seja com a relocalização do próprio porto ou de terminais específicos, de forma a aproveitar eventuais vantagens da localização. Mas, neste caso, a questão que se coloca é se continuamos a ter o mesmo porto ou se temos um novo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Notteboom e Rodrigue (2005) identificaram uma nova fase na vida dos portos em geral, que designam por regionalização, acentuando a importância do relacionamento entre o desenvolvimento do porto e o desenvolvimento da r</w:t>
      </w:r>
      <w:r w:rsidR="002A1F91">
        <w:t xml:space="preserve">egião onde o porto se localiza. </w:t>
      </w:r>
      <w:r w:rsidRPr="004D55DA">
        <w:t>Os portos têm um padrão de evolução ao longo do tempo, surgindo habitualmente associados a uma cidade próxima, Porém, gradualmente com o seu crescimento, os portos vão-se localizando cada vez mais longe da cidade com o objetivo de obter maiores terraplenos, maiores fundos de cais e evitar congestionamentos nas acessibilidades terrestres e conflitos com as suas áreas de expansão.</w:t>
      </w:r>
      <w:r w:rsidR="002A1F91">
        <w:t xml:space="preserve"> </w:t>
      </w:r>
      <w:r w:rsidRPr="004D55DA">
        <w:t>O próprio conceito de localização do porto tem associado várias dimensões</w:t>
      </w:r>
      <w:r w:rsidR="009A5F29" w:rsidRPr="004D55DA">
        <w:t>,</w:t>
      </w:r>
      <w:r w:rsidRPr="004D55DA">
        <w:t xml:space="preserve"> como sejam a distância à zona urbana, a densidade populacional e a riqueza da região de influência, a localização física na costa, em estuário ou no rio, a localização face às acessibilidades e ao tecido industrial, a localização em ilha, no continente ou em zona periférica, a distância face aos centros económicos continentais, a localização cultural que influencia os modelos organizacionais ou a localização face aos grandes eixos equatorial e </w:t>
      </w:r>
      <w:r w:rsidRPr="004D55DA">
        <w:lastRenderedPageBreak/>
        <w:t>norte-sul de transporte marítimo e terrestres. Sem dúvida que o desempenho da região e a sua riqueza influenciam as características do porto, podendo o factor localização conter elementos caracterizadores da região.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rStyle w:val="hps"/>
        </w:rPr>
        <w:t>O desenvolvimento e</w:t>
      </w:r>
      <w:r w:rsidRPr="004D55DA">
        <w:t xml:space="preserve"> as </w:t>
      </w:r>
      <w:r w:rsidRPr="004D55DA">
        <w:rPr>
          <w:rStyle w:val="hps"/>
        </w:rPr>
        <w:t>mudanças no</w:t>
      </w:r>
      <w:r w:rsidRPr="004D55DA">
        <w:t xml:space="preserve"> </w:t>
      </w:r>
      <w:r w:rsidRPr="004D55DA">
        <w:rPr>
          <w:rStyle w:val="hps"/>
        </w:rPr>
        <w:t>interior</w:t>
      </w:r>
      <w:r w:rsidRPr="004D55DA">
        <w:t xml:space="preserve"> </w:t>
      </w:r>
      <w:r w:rsidRPr="004D55DA">
        <w:rPr>
          <w:rStyle w:val="hps"/>
        </w:rPr>
        <w:t>dos portos</w:t>
      </w:r>
      <w:r w:rsidRPr="004D55DA">
        <w:t xml:space="preserve"> </w:t>
      </w:r>
      <w:r w:rsidRPr="004D55DA">
        <w:rPr>
          <w:rStyle w:val="hps"/>
        </w:rPr>
        <w:t>têm recebido</w:t>
      </w:r>
      <w:r w:rsidRPr="004D55DA">
        <w:t xml:space="preserve"> </w:t>
      </w:r>
      <w:r w:rsidRPr="004D55DA">
        <w:rPr>
          <w:rStyle w:val="hps"/>
        </w:rPr>
        <w:t>considerável atenção</w:t>
      </w:r>
      <w:r w:rsidRPr="004D55DA">
        <w:t xml:space="preserve">, pois representam </w:t>
      </w:r>
      <w:r w:rsidRPr="004D55DA">
        <w:rPr>
          <w:rStyle w:val="hps"/>
        </w:rPr>
        <w:t>oportunidades substanciais</w:t>
      </w:r>
      <w:r w:rsidRPr="004D55DA">
        <w:t xml:space="preserve"> </w:t>
      </w:r>
      <w:r w:rsidRPr="004D55DA">
        <w:rPr>
          <w:rStyle w:val="hps"/>
        </w:rPr>
        <w:t>para melhorar a eficiência</w:t>
      </w:r>
      <w:r w:rsidRPr="004D55DA">
        <w:t xml:space="preserve"> </w:t>
      </w:r>
      <w:r w:rsidRPr="004D55DA">
        <w:rPr>
          <w:rStyle w:val="hps"/>
        </w:rPr>
        <w:t>da cadeia de distribuição</w:t>
      </w:r>
      <w:r w:rsidRPr="004D55DA">
        <w:t xml:space="preserve"> </w:t>
      </w:r>
      <w:r w:rsidRPr="004D55DA">
        <w:rPr>
          <w:rStyle w:val="hps"/>
        </w:rPr>
        <w:t>de carga</w:t>
      </w:r>
      <w:r w:rsidRPr="004D55DA">
        <w:t xml:space="preserve"> </w:t>
      </w:r>
      <w:r w:rsidRPr="004D55DA">
        <w:rPr>
          <w:rStyle w:val="hps"/>
        </w:rPr>
        <w:t>global.</w:t>
      </w:r>
      <w:r w:rsidRPr="004D55DA">
        <w:t xml:space="preserve"> </w:t>
      </w:r>
      <w:r w:rsidRPr="004D55DA">
        <w:rPr>
          <w:rStyle w:val="hps"/>
        </w:rPr>
        <w:t>O conceito de regionalização de</w:t>
      </w:r>
      <w:r w:rsidRPr="004D55DA">
        <w:t xml:space="preserve"> </w:t>
      </w:r>
      <w:r w:rsidRPr="004D55DA">
        <w:rPr>
          <w:rStyle w:val="hps"/>
        </w:rPr>
        <w:t>Notteboom</w:t>
      </w:r>
      <w:r w:rsidRPr="004D55DA">
        <w:t xml:space="preserve"> </w:t>
      </w:r>
      <w:r w:rsidRPr="004D55DA">
        <w:rPr>
          <w:rStyle w:val="hps"/>
        </w:rPr>
        <w:t>e</w:t>
      </w:r>
      <w:r w:rsidRPr="004D55DA">
        <w:t xml:space="preserve"> </w:t>
      </w:r>
      <w:r w:rsidRPr="004D55DA">
        <w:rPr>
          <w:rStyle w:val="hps"/>
        </w:rPr>
        <w:t>Rodrigue</w:t>
      </w:r>
      <w:r w:rsidRPr="004D55DA">
        <w:t xml:space="preserve"> </w:t>
      </w:r>
      <w:r w:rsidRPr="004D55DA">
        <w:rPr>
          <w:rStyle w:val="hps"/>
        </w:rPr>
        <w:t>(2005) articula</w:t>
      </w:r>
      <w:r w:rsidRPr="004D55DA">
        <w:t xml:space="preserve"> </w:t>
      </w:r>
      <w:r w:rsidRPr="004D55DA">
        <w:rPr>
          <w:rStyle w:val="hps"/>
        </w:rPr>
        <w:t>o porto</w:t>
      </w:r>
      <w:r w:rsidRPr="004D55DA">
        <w:t xml:space="preserve"> com a </w:t>
      </w:r>
      <w:r w:rsidRPr="004D55DA">
        <w:rPr>
          <w:rStyle w:val="hps"/>
        </w:rPr>
        <w:t>dinâmica do “hinterland” à luz da</w:t>
      </w:r>
      <w:r w:rsidRPr="004D55DA">
        <w:t xml:space="preserve"> </w:t>
      </w:r>
      <w:r w:rsidRPr="004D55DA">
        <w:rPr>
          <w:rStyle w:val="hps"/>
        </w:rPr>
        <w:t>contentorização</w:t>
      </w:r>
      <w:r w:rsidRPr="004D55DA">
        <w:t xml:space="preserve"> e da </w:t>
      </w:r>
      <w:r w:rsidRPr="004D55DA">
        <w:rPr>
          <w:rStyle w:val="hps"/>
        </w:rPr>
        <w:t>gestão da cadeia de abastecimento.</w:t>
      </w:r>
      <w:r w:rsidRPr="004D55DA">
        <w:t xml:space="preserve"> </w:t>
      </w:r>
    </w:p>
    <w:p w:rsidR="00104A12" w:rsidRPr="004D55DA" w:rsidRDefault="00104A12" w:rsidP="007F7964">
      <w:pPr>
        <w:spacing w:line="360" w:lineRule="auto"/>
        <w:jc w:val="both"/>
        <w:rPr>
          <w:rStyle w:val="hps"/>
        </w:rPr>
      </w:pPr>
    </w:p>
    <w:p w:rsidR="00AA5AD9" w:rsidRDefault="00104A12" w:rsidP="007F7964">
      <w:pPr>
        <w:spacing w:line="360" w:lineRule="auto"/>
        <w:jc w:val="both"/>
      </w:pPr>
      <w:r w:rsidRPr="004D55DA">
        <w:rPr>
          <w:rStyle w:val="hps"/>
        </w:rPr>
        <w:t>Notteboom</w:t>
      </w:r>
      <w:r w:rsidRPr="004D55DA">
        <w:t xml:space="preserve"> </w:t>
      </w:r>
      <w:r w:rsidRPr="004D55DA">
        <w:rPr>
          <w:rStyle w:val="hps"/>
        </w:rPr>
        <w:t>e</w:t>
      </w:r>
      <w:r w:rsidRPr="004D55DA">
        <w:t xml:space="preserve"> </w:t>
      </w:r>
      <w:r w:rsidRPr="004D55DA">
        <w:rPr>
          <w:rStyle w:val="hps"/>
        </w:rPr>
        <w:t>Rodrigue</w:t>
      </w:r>
      <w:r w:rsidRPr="004D55DA">
        <w:t xml:space="preserve"> </w:t>
      </w:r>
      <w:r w:rsidRPr="004D55DA">
        <w:rPr>
          <w:rStyle w:val="hps"/>
        </w:rPr>
        <w:t>(2010)</w:t>
      </w:r>
      <w:r w:rsidRPr="004D55DA">
        <w:t xml:space="preserve"> expandiram o conceito de </w:t>
      </w:r>
      <w:r w:rsidRPr="004D55DA">
        <w:rPr>
          <w:rStyle w:val="hps"/>
        </w:rPr>
        <w:t>regionalização também</w:t>
      </w:r>
      <w:r w:rsidRPr="004D55DA">
        <w:t xml:space="preserve"> </w:t>
      </w:r>
      <w:r w:rsidRPr="004D55DA">
        <w:rPr>
          <w:rStyle w:val="hps"/>
        </w:rPr>
        <w:t>baseada</w:t>
      </w:r>
      <w:r w:rsidRPr="004D55DA">
        <w:t xml:space="preserve"> no “foreland” </w:t>
      </w:r>
      <w:r w:rsidRPr="004D55DA">
        <w:rPr>
          <w:rStyle w:val="hps"/>
        </w:rPr>
        <w:t>e nos</w:t>
      </w:r>
      <w:r w:rsidRPr="004D55DA">
        <w:t xml:space="preserve"> “hubs” </w:t>
      </w:r>
      <w:r w:rsidRPr="004D55DA">
        <w:rPr>
          <w:rStyle w:val="hps"/>
        </w:rPr>
        <w:t>intermediários</w:t>
      </w:r>
      <w:r w:rsidRPr="004D55DA">
        <w:t xml:space="preserve"> </w:t>
      </w:r>
      <w:r w:rsidRPr="004D55DA">
        <w:rPr>
          <w:rStyle w:val="hps"/>
        </w:rPr>
        <w:t>de captura dos</w:t>
      </w:r>
      <w:r w:rsidRPr="004D55DA">
        <w:t xml:space="preserve"> “hinterlands” </w:t>
      </w:r>
      <w:r w:rsidRPr="004D55DA">
        <w:rPr>
          <w:rStyle w:val="hps"/>
        </w:rPr>
        <w:t xml:space="preserve">marítimos. </w:t>
      </w:r>
      <w:r w:rsidRPr="004D55DA">
        <w:t xml:space="preserve">Com a globalização, a função de “hub” intermédio tornou-se cada vez mais prevalente para o transporte de longa distância (Fleming &amp; Hayuth, 1994). </w:t>
      </w:r>
    </w:p>
    <w:p w:rsidR="00AA5AD9" w:rsidRDefault="00AA5AD9" w:rsidP="007F7964">
      <w:pPr>
        <w:spacing w:line="360" w:lineRule="auto"/>
        <w:jc w:val="both"/>
      </w:pPr>
    </w:p>
    <w:p w:rsidR="00104A12" w:rsidRPr="004D55DA" w:rsidRDefault="00104A12" w:rsidP="007F7964">
      <w:pPr>
        <w:spacing w:line="360" w:lineRule="auto"/>
        <w:jc w:val="both"/>
      </w:pPr>
      <w:r w:rsidRPr="004D55DA">
        <w:t>Os “hubs” intermédios de “transhipment” surgiram a partir d</w:t>
      </w:r>
      <w:r w:rsidR="009A5F29" w:rsidRPr="004D55DA">
        <w:t xml:space="preserve">e meados dos anos </w:t>
      </w:r>
      <w:r w:rsidRPr="004D55DA">
        <w:t>90 no panorama das cadeias marítimas globais, como é o caso de Gioia Tauro, Algeciras, Taranto e Malta, no Mediterrâneo.</w:t>
      </w:r>
      <w:r w:rsidR="002A1F91">
        <w:t xml:space="preserve"> </w:t>
      </w:r>
      <w:r w:rsidRPr="004D55DA">
        <w:t>Esses “hubs” tendem a possuir excelentes acessibilidades marítimas e estão localizados na proximidade do cruzamento das grandes rotas de transporte, normalmente norte/sul e este/oeste e servem para acomodar fluxos de interligação. Muitos destes terminais são propriedade dos armadores globais e</w:t>
      </w:r>
      <w:r w:rsidR="00CC5B1A">
        <w:t>/</w:t>
      </w:r>
      <w:r w:rsidRPr="004D55DA">
        <w:t>ou de operadores globais de contentores que os exploram de forma eficiente. No entanto, a criação de “hubs” intermédios não ocorre em todos os portos, mas em torno de regiões específicas considerando os padrões de distribuição, na proximidade do cruzamento de rotas e, por vezes, onde se conjugam</w:t>
      </w:r>
      <w:r w:rsidR="009A5F29" w:rsidRPr="004D55DA">
        <w:t xml:space="preserve"> vantagens relacionada</w:t>
      </w:r>
      <w:r w:rsidRPr="004D55DA">
        <w:t>s com a dimensão do mercado local</w:t>
      </w:r>
      <w:r w:rsidR="00AA5AD9">
        <w:t xml:space="preserve"> </w:t>
      </w:r>
      <w:r w:rsidR="00AA5AD9" w:rsidRPr="004D55DA">
        <w:t>(Rodrigue &amp; Notteboom,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Mediterrâneo é um centro que favorece o surgimento de portos “hub”, tendo em consideração a sua posição no cruzamento da rota Ásia/Europa com as rotas norte/sul do Atlântico. Na </w:t>
      </w:r>
      <w:r w:rsidR="009A5F29" w:rsidRPr="004D55DA">
        <w:t>A</w:t>
      </w:r>
      <w:r w:rsidRPr="004D55DA">
        <w:t>mérica os “hubs” intermédios gravitam em torno das Caraíbas, na saída do canal do Panamá (</w:t>
      </w:r>
      <w:r w:rsidR="00CC5B1A">
        <w:t>“</w:t>
      </w:r>
      <w:r w:rsidRPr="004D55DA">
        <w:t>Freeport</w:t>
      </w:r>
      <w:r w:rsidR="00CC5B1A">
        <w:t>”</w:t>
      </w:r>
      <w:r w:rsidRPr="004D55DA">
        <w:t>). Nos portos do Norte da Europa verificam-se taxas máximas de transbordo de 45% em Hamburgo, muito abaixo das taxas dos portos de “transhipment” do sul da Europa, que chegam aos 85%-95% (Rodrigue &amp; Notteboom,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Os “hubs” representam cerca de 85% do tráfego de transbordo global e são os pontos de convergência de transporte regional, essencialmente ligando as diversas hierarquias na distribuição de mercadorias em termos globais e regionais. Alguns contentores dentro do sistema da cadeia marítima podem sofrer até quatro transbordos antes de chegarem ao porto de descarga final (Rodrigue &amp; Notteboom, 2010).</w:t>
      </w:r>
      <w:r w:rsidR="002A1F91">
        <w:t xml:space="preserve"> </w:t>
      </w:r>
      <w:r w:rsidRPr="004D55DA">
        <w:t>Mas estes portos não colocam em causa a existência dos grandes portos finais, junto aos mercados, como são o caso dos portos no norte da Europa, por estarem localizados em torno do maior porto europeu, o porto de Roterdão na Holanda, onde existem diversos terminais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escolha do armador entre escalas diretas ou serviço indireto através de “feeder” é determinada por factores, tais como,</w:t>
      </w:r>
      <w:r w:rsidR="009A5F29" w:rsidRPr="004D55DA">
        <w:t xml:space="preserve"> o desvio da rota, </w:t>
      </w:r>
      <w:r w:rsidRPr="004D55DA">
        <w:t>condições náuticas,</w:t>
      </w:r>
      <w:r w:rsidR="009A5F29" w:rsidRPr="004D55DA">
        <w:t xml:space="preserve"> volumes de carga envolvidos, </w:t>
      </w:r>
      <w:r w:rsidRPr="004D55DA">
        <w:t>poder económico do “hinterland”, combinação de transbord</w:t>
      </w:r>
      <w:r w:rsidR="009A5F29" w:rsidRPr="004D55DA">
        <w:t>o e carga regional interior, custos, produtividade e</w:t>
      </w:r>
      <w:r w:rsidRPr="004D55DA">
        <w:t xml:space="preserve"> quota de mercado (Zohil &amp; Prijon, 1999).</w:t>
      </w:r>
      <w:r w:rsidR="002A1F91">
        <w:t xml:space="preserve"> </w:t>
      </w:r>
      <w:r w:rsidRPr="004D55DA">
        <w:t>As redes de “hubs” intermédios permitem economias de escala consideráveis com custos muito reduzidos, alta produtividade e a possibilidade de alimentar com “feeders” uma região próxima.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localização dos portos é uma variável fundamental para avaliar o seu desempenho. Este critério inclui variáveis como a influência do “hinterland” </w:t>
      </w:r>
      <w:r w:rsidR="009A5F29" w:rsidRPr="004D55DA">
        <w:t>interior,</w:t>
      </w:r>
      <w:r w:rsidRPr="004D55DA">
        <w:t xml:space="preserve"> localiz</w:t>
      </w:r>
      <w:r w:rsidR="009A5F29" w:rsidRPr="004D55DA">
        <w:t>ação face às acessibilidades,</w:t>
      </w:r>
      <w:r w:rsidRPr="004D55DA">
        <w:t xml:space="preserve"> custos de transporte</w:t>
      </w:r>
      <w:r w:rsidR="009A5F29" w:rsidRPr="004D55DA">
        <w:t xml:space="preserve"> face à distância, </w:t>
      </w:r>
      <w:r w:rsidRPr="004D55DA">
        <w:t>proximidade às zona</w:t>
      </w:r>
      <w:r w:rsidR="009A5F29" w:rsidRPr="004D55DA">
        <w:t xml:space="preserve">s de importação e exportação, </w:t>
      </w:r>
      <w:r w:rsidRPr="004D55DA">
        <w:t>proximidade aos portos “feeder” ou aliment</w:t>
      </w:r>
      <w:r w:rsidR="009A5F29" w:rsidRPr="004D55DA">
        <w:t xml:space="preserve">adores marítimos e terrestres, </w:t>
      </w:r>
      <w:r w:rsidRPr="004D55DA">
        <w:t xml:space="preserve">distância marítima e proximidade às grandes rotas de navegação (Onut </w:t>
      </w:r>
      <w:r w:rsidRPr="00D713C2">
        <w:rPr>
          <w:i/>
        </w:rPr>
        <w:t>et al.,</w:t>
      </w:r>
      <w:r w:rsidRPr="004D55DA">
        <w:t xml:space="preserve">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importância dos “hinterlands” dos portos</w:t>
      </w:r>
      <w:r w:rsidR="009A5F29" w:rsidRPr="004D55DA">
        <w:t>,</w:t>
      </w:r>
      <w:r w:rsidRPr="004D55DA">
        <w:t xml:space="preserve"> como extensões naturais</w:t>
      </w:r>
      <w:r w:rsidR="009A5F29" w:rsidRPr="004D55DA">
        <w:t>,</w:t>
      </w:r>
      <w:r w:rsidRPr="004D55DA">
        <w:t xml:space="preserve"> foi também analisada por Guthed (2005), como fazendo parte do p</w:t>
      </w:r>
      <w:r w:rsidR="009A5F29" w:rsidRPr="004D55DA">
        <w:t>orto,</w:t>
      </w:r>
      <w:r w:rsidRPr="004D55DA">
        <w:t xml:space="preserve"> com impacto no desempenho. Importa assim, conhecer o impacto da região</w:t>
      </w:r>
      <w:r w:rsidR="009A5F29" w:rsidRPr="004D55DA">
        <w:t>,</w:t>
      </w:r>
      <w:r w:rsidRPr="004D55DA">
        <w:t xml:space="preserve"> que abriga o porto</w:t>
      </w:r>
      <w:r w:rsidR="009A5F29" w:rsidRPr="004D55DA">
        <w:t>,</w:t>
      </w:r>
      <w:r w:rsidRPr="004D55DA">
        <w:t xml:space="preserve"> nas características do porto e no seu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Tongzon (2002) referiu que a localização é um dos principais motivos de escolha do porto de Bangkok, o que aumenta o seu desempenho operacional, referindo</w:t>
      </w:r>
      <w:r w:rsidR="009A5F29" w:rsidRPr="004D55DA">
        <w:t>,</w:t>
      </w:r>
      <w:r w:rsidRPr="004D55DA">
        <w:t xml:space="preserve"> ainda</w:t>
      </w:r>
      <w:r w:rsidR="009A5F29" w:rsidRPr="004D55DA">
        <w:t>,</w:t>
      </w:r>
      <w:r w:rsidRPr="004D55DA">
        <w:t xml:space="preserve"> no seu estudo de 1995, que a localização junto a pequenas economias afeta o movimento e o desempenho do porto, bem como</w:t>
      </w:r>
      <w:r w:rsidR="009A5F29" w:rsidRPr="004D55DA">
        <w:t>,</w:t>
      </w:r>
      <w:r w:rsidRPr="004D55DA">
        <w:t xml:space="preserve"> releva o facto de a procura dos serviços portuários derivar do movimento de mercadorias e do consumo da região onde o porto está localizado.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Cheo (2007) refere a importância de se estudar a influência da região, onde o porto se localiza, no seu desempenho, mas também das estratégias de marketing aplicadas para a captura de novas linhas regulares, referindo que a localização e a região nem sempre são as principais determinantes.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Yeo e Song (2006) avaliaram a eficiência de terminais de contentores asiáticos pelo método “Hierarchy Fuzzy Process”, concluindo que Singapura e Hong Kong são os portos mais eficientes da amostra, e que as autoridades portuárias deverão dar atenção aos factores de qualidade do serviço e atenção ao cliente, sendo a localização, as facilidades portuárias, o volume de carga, as despesas do porto e o nível de serviço os principais atributos da competitividade portuária. A localização é referida por quase todos os autores.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determinantes do desempenho do porto, segundo Estache </w:t>
      </w:r>
      <w:r w:rsidRPr="00D713C2">
        <w:rPr>
          <w:i/>
        </w:rPr>
        <w:t>et al.</w:t>
      </w:r>
      <w:r w:rsidRPr="004D55DA">
        <w:t xml:space="preserve"> (2001),</w:t>
      </w:r>
      <w:r w:rsidR="009A5F29" w:rsidRPr="004D55DA">
        <w:t xml:space="preserve"> são a propriedade do porto, localização,</w:t>
      </w:r>
      <w:r w:rsidRPr="004D55DA">
        <w:t xml:space="preserve"> dimens</w:t>
      </w:r>
      <w:r w:rsidR="009A5F29" w:rsidRPr="004D55DA">
        <w:t>ão e</w:t>
      </w:r>
      <w:r w:rsidRPr="004D55DA">
        <w:t xml:space="preserve"> intensidade do capital, concluindo que, para uma amostra de portos espanhóis, entre 1993 e 1997, a localização é muito importante quando conjugada com o factor dimensão.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Sobre a escolha de um terminal de contentores “hub” na África do Sul, Notteboom (2011) refere questões como, por exemplo, o desvio mínimo do navio, ou seja, o tempo de navegação da rota marítima principal e a localização junto a rotas de primeira dimensão. A África do Sul é remota para a rota principal este-oeste, mas excelente para a rota sul de leste a oeste, via África do Sul, ligando a China ao Brasil como países emergentes, como alternativa marítima à rota de Suez.</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Notteboom (2011) refere</w:t>
      </w:r>
      <w:r w:rsidR="009A5F29" w:rsidRPr="004D55DA">
        <w:t>,</w:t>
      </w:r>
      <w:r w:rsidRPr="004D55DA">
        <w:t xml:space="preserve"> ainda, como factor de atração da África do Sul para a criação de um “hub” portuário para contentores, a capacidade de servir um grande número de pequenos mercados, como a característica definidora de alguns portos “hub” regionais, como os das Caraíbas. No caso da África do Sul, considera os mercados da Africa Subsaariana em grande crescimento.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Assim, a localização tem sido um factor de caracterização do porto muito considerado na sua relação com o desempenho dos portos, uma vez que certamente dois portos com características semelhantes poderão ter desempenhos diferentes se se considerarem diferentes localizações face aos centros de consumo e produção, à riqueza e às grandes rotas de tráfego. </w:t>
      </w:r>
      <w:r w:rsidRPr="004D55DA">
        <w:lastRenderedPageBreak/>
        <w:t>O desempenho das próprias regiões onde os portos se inserem é certamente determinantes do seu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Alguns modelos de desenvolvimento dos portos têm como base a dimensão económica e física do “hinterland” e o tipo de serviços marítimos para explicar o desempenho do porto, enquanto outros dão mais importância às acessibilidades do porto e aos seus equipamentos e infraestruturas (Notteboom, 2010). Outros ainda consideram fundamental o posicionamento do porto na hierarquia do transporte marítimo do porto e nas redes terrestres.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portos deixaram de ter apenas uma lógica de localização individual, para passarem a ter lógicas geográficas baseadas em conjuntos de portos concentrados numa região, que se interligam e formam “gateways” logísticos ou </w:t>
      </w:r>
      <w:r w:rsidR="00F318B4">
        <w:t>“</w:t>
      </w:r>
      <w:r w:rsidRPr="004D55DA">
        <w:t>clusters</w:t>
      </w:r>
      <w:r w:rsidR="00F318B4">
        <w:t>”</w:t>
      </w:r>
      <w:r w:rsidRPr="004D55DA">
        <w:t xml:space="preserve"> de portos (Slack, 2007).</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São muito interessantes os dados de Notteboom (2010) sobre os “hinterlands” dos portos principais do norte da Europa (</w:t>
      </w:r>
      <w:r w:rsidR="00F318B4">
        <w:t>F</w:t>
      </w:r>
      <w:r w:rsidR="00F318B4" w:rsidRPr="004D55DA">
        <w:t xml:space="preserve">iguras </w:t>
      </w:r>
      <w:r w:rsidRPr="004D55DA">
        <w:t>7 a 9), onde se verifica a penetração nos “hinterlands” dos portos do sul da Europa.</w:t>
      </w:r>
      <w:r w:rsidR="002A1F91">
        <w:t xml:space="preserve"> </w:t>
      </w:r>
      <w:r w:rsidRPr="004D55DA">
        <w:t>Verifica-se</w:t>
      </w:r>
      <w:r w:rsidR="009A5F29" w:rsidRPr="004D55DA">
        <w:t>,</w:t>
      </w:r>
      <w:r w:rsidRPr="004D55DA">
        <w:t xml:space="preserve"> ainda</w:t>
      </w:r>
      <w:r w:rsidR="009A5F29" w:rsidRPr="004D55DA">
        <w:t>,</w:t>
      </w:r>
      <w:r w:rsidRPr="004D55DA">
        <w:t xml:space="preserve"> a reduzida influência que diversos portos têm, resumindo-se aos países que servem, destacando em especial o carácter nacional dos portos alemães e franceses. Por outro lado, verifica-se a vertente multinacional dos portos belgas e holandeses, percebendo-se ainda que, enquanto os portos do norte da Europa, fruto da sua dimensão e nível de eficiência, conseguem servir o sul da Europa por terra, já os portos do sul só com muita dificuldade chegam ao centro do continente por via terrestre, servindo antes de “hubs” marítimos para o transbordo em navios “feeder” com destino aos portos do norte.</w:t>
      </w:r>
    </w:p>
    <w:p w:rsidR="00104A12" w:rsidRDefault="00104A12"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Default="002A1F91" w:rsidP="007F7964">
      <w:pPr>
        <w:spacing w:line="360" w:lineRule="auto"/>
        <w:jc w:val="both"/>
      </w:pPr>
    </w:p>
    <w:p w:rsidR="002A1F91" w:rsidRPr="004D55DA" w:rsidRDefault="002A1F91" w:rsidP="007F7964">
      <w:pPr>
        <w:spacing w:line="360" w:lineRule="auto"/>
        <w:jc w:val="both"/>
      </w:pPr>
    </w:p>
    <w:p w:rsidR="00104A12" w:rsidRPr="00D713C2" w:rsidRDefault="00104A12" w:rsidP="007F7964">
      <w:pPr>
        <w:pStyle w:val="Legenda"/>
        <w:rPr>
          <w:sz w:val="24"/>
          <w:szCs w:val="24"/>
        </w:rPr>
      </w:pPr>
      <w:bookmarkStart w:id="45" w:name="_Toc396134171"/>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7</w:t>
      </w:r>
      <w:r w:rsidR="00372F0E" w:rsidRPr="00D713C2">
        <w:rPr>
          <w:noProof/>
          <w:sz w:val="24"/>
          <w:szCs w:val="24"/>
        </w:rPr>
        <w:fldChar w:fldCharType="end"/>
      </w:r>
      <w:r w:rsidRPr="00D713C2">
        <w:rPr>
          <w:sz w:val="24"/>
          <w:szCs w:val="24"/>
        </w:rPr>
        <w:t xml:space="preserve"> - “hinterland” dos portos do norte da Europa</w:t>
      </w:r>
      <w:bookmarkEnd w:id="45"/>
    </w:p>
    <w:p w:rsidR="00104A12" w:rsidRPr="004D55DA" w:rsidRDefault="00BF31C8" w:rsidP="007F7964">
      <w:pPr>
        <w:spacing w:line="360" w:lineRule="auto"/>
        <w:jc w:val="both"/>
        <w:rPr>
          <w:lang w:val="en-US"/>
        </w:rPr>
      </w:pPr>
      <w:r w:rsidRPr="004D55DA">
        <w:rPr>
          <w:noProof/>
        </w:rPr>
        <w:drawing>
          <wp:inline distT="0" distB="0" distL="0" distR="0" wp14:anchorId="3E2EFA62" wp14:editId="2B485E11">
            <wp:extent cx="5160010" cy="3270250"/>
            <wp:effectExtent l="0" t="0" r="2540" b="6350"/>
            <wp:docPr id="18" name="Imagem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0010" cy="327025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Notteboom, 2010</w:t>
      </w:r>
    </w:p>
    <w:p w:rsidR="00104A12" w:rsidRPr="004D55DA" w:rsidRDefault="00104A12" w:rsidP="007F7964">
      <w:pPr>
        <w:pStyle w:val="Legenda"/>
      </w:pPr>
    </w:p>
    <w:p w:rsidR="00104A12" w:rsidRPr="004D55DA" w:rsidRDefault="00104A12" w:rsidP="007F7964"/>
    <w:p w:rsidR="00104A12" w:rsidRPr="00D713C2" w:rsidRDefault="00104A12" w:rsidP="007F7964">
      <w:pPr>
        <w:pStyle w:val="Legenda"/>
        <w:rPr>
          <w:sz w:val="24"/>
          <w:szCs w:val="24"/>
        </w:rPr>
      </w:pPr>
      <w:bookmarkStart w:id="46" w:name="_Toc396134172"/>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8</w:t>
      </w:r>
      <w:r w:rsidR="00372F0E" w:rsidRPr="00D713C2">
        <w:rPr>
          <w:noProof/>
          <w:sz w:val="24"/>
          <w:szCs w:val="24"/>
        </w:rPr>
        <w:fldChar w:fldCharType="end"/>
      </w:r>
      <w:r w:rsidRPr="00D713C2">
        <w:rPr>
          <w:sz w:val="24"/>
          <w:szCs w:val="24"/>
        </w:rPr>
        <w:t xml:space="preserve"> - “hinterland” dos portos europeus por regiões de portos</w:t>
      </w:r>
      <w:bookmarkEnd w:id="46"/>
    </w:p>
    <w:p w:rsidR="00104A12" w:rsidRPr="004D55DA" w:rsidRDefault="00BF31C8" w:rsidP="007F7964">
      <w:pPr>
        <w:spacing w:line="360" w:lineRule="auto"/>
        <w:jc w:val="both"/>
        <w:rPr>
          <w:lang w:val="en-US"/>
        </w:rPr>
      </w:pPr>
      <w:r w:rsidRPr="004D55DA">
        <w:rPr>
          <w:noProof/>
        </w:rPr>
        <w:drawing>
          <wp:inline distT="0" distB="0" distL="0" distR="0" wp14:anchorId="124D6B33" wp14:editId="3F163FC5">
            <wp:extent cx="5356225" cy="2408555"/>
            <wp:effectExtent l="0" t="0" r="0" b="0"/>
            <wp:docPr id="17" name="Imagem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6225" cy="2408555"/>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Notteboom, 2010</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Default="00104A12" w:rsidP="007F7964">
      <w:pPr>
        <w:spacing w:line="360" w:lineRule="auto"/>
        <w:jc w:val="both"/>
      </w:pPr>
    </w:p>
    <w:p w:rsidR="002A1F91" w:rsidRDefault="002A1F91" w:rsidP="007F7964">
      <w:pPr>
        <w:spacing w:line="360" w:lineRule="auto"/>
        <w:jc w:val="both"/>
      </w:pPr>
    </w:p>
    <w:p w:rsidR="00D216EA" w:rsidRDefault="00D216EA" w:rsidP="007F7964">
      <w:pPr>
        <w:spacing w:line="360" w:lineRule="auto"/>
        <w:jc w:val="both"/>
      </w:pPr>
    </w:p>
    <w:p w:rsidR="00104A12" w:rsidRPr="00D713C2" w:rsidRDefault="00104A12" w:rsidP="007F7964">
      <w:pPr>
        <w:pStyle w:val="Legenda"/>
        <w:rPr>
          <w:sz w:val="24"/>
          <w:szCs w:val="24"/>
        </w:rPr>
      </w:pPr>
      <w:bookmarkStart w:id="47" w:name="_Toc396134173"/>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9</w:t>
      </w:r>
      <w:r w:rsidR="00372F0E" w:rsidRPr="00D713C2">
        <w:rPr>
          <w:noProof/>
          <w:sz w:val="24"/>
          <w:szCs w:val="24"/>
        </w:rPr>
        <w:fldChar w:fldCharType="end"/>
      </w:r>
      <w:r w:rsidRPr="00D713C2">
        <w:rPr>
          <w:sz w:val="24"/>
          <w:szCs w:val="24"/>
        </w:rPr>
        <w:t xml:space="preserve"> - Localização e “hinterland” dos portos europeus</w:t>
      </w:r>
      <w:bookmarkEnd w:id="47"/>
    </w:p>
    <w:p w:rsidR="00104A12" w:rsidRPr="004D55DA" w:rsidRDefault="00BF31C8" w:rsidP="007F7964">
      <w:pPr>
        <w:spacing w:line="360" w:lineRule="auto"/>
        <w:jc w:val="both"/>
      </w:pPr>
      <w:r w:rsidRPr="004D55DA">
        <w:rPr>
          <w:noProof/>
        </w:rPr>
        <w:drawing>
          <wp:inline distT="0" distB="0" distL="0" distR="0" wp14:anchorId="539943E7" wp14:editId="39CEDEDE">
            <wp:extent cx="4808220" cy="3079750"/>
            <wp:effectExtent l="0" t="0" r="0" b="6350"/>
            <wp:docPr id="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29">
                      <a:extLst>
                        <a:ext uri="{28A0092B-C50C-407E-A947-70E740481C1C}">
                          <a14:useLocalDpi xmlns:a14="http://schemas.microsoft.com/office/drawing/2010/main" val="0"/>
                        </a:ext>
                      </a:extLst>
                    </a:blip>
                    <a:srcRect l="5299" t="15295" r="5124" b="6822"/>
                    <a:stretch>
                      <a:fillRect/>
                    </a:stretch>
                  </pic:blipFill>
                  <pic:spPr bwMode="auto">
                    <a:xfrm>
                      <a:off x="0" y="0"/>
                      <a:ext cx="4808220" cy="307975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Notteboom,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grandes “hubs” intermédios tendem a possuir boas acessibilidades marítimas e localizam-se na proximidade das principais rotas de navegação (</w:t>
      </w:r>
      <w:r w:rsidR="00F318B4">
        <w:t>F</w:t>
      </w:r>
      <w:r w:rsidR="00F318B4" w:rsidRPr="004D55DA">
        <w:t xml:space="preserve">igura </w:t>
      </w:r>
      <w:r w:rsidRPr="004D55DA">
        <w:t>10), na intersecção de rotas norte/sul e este/oeste, para facilitarem os fluxos de ligação (Notteboom &amp; Rodrigue, 2010).</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48" w:name="_Toc396134174"/>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10</w:t>
      </w:r>
      <w:r w:rsidR="00372F0E" w:rsidRPr="00D713C2">
        <w:rPr>
          <w:noProof/>
          <w:sz w:val="24"/>
          <w:szCs w:val="24"/>
        </w:rPr>
        <w:fldChar w:fldCharType="end"/>
      </w:r>
      <w:r w:rsidRPr="00D713C2">
        <w:rPr>
          <w:sz w:val="24"/>
          <w:szCs w:val="24"/>
        </w:rPr>
        <w:t xml:space="preserve"> - “hubs” intermédios do Mediterrâneo</w:t>
      </w:r>
      <w:bookmarkEnd w:id="48"/>
    </w:p>
    <w:p w:rsidR="00104A12" w:rsidRPr="004D55DA" w:rsidRDefault="00BF31C8" w:rsidP="007F7964">
      <w:pPr>
        <w:spacing w:line="360" w:lineRule="auto"/>
        <w:jc w:val="both"/>
        <w:rPr>
          <w:lang w:val="en-US"/>
        </w:rPr>
      </w:pPr>
      <w:r w:rsidRPr="004D55DA">
        <w:rPr>
          <w:noProof/>
        </w:rPr>
        <w:drawing>
          <wp:inline distT="0" distB="0" distL="0" distR="0" wp14:anchorId="5048BE58" wp14:editId="11BB0BB1">
            <wp:extent cx="5386705" cy="3410585"/>
            <wp:effectExtent l="0" t="0" r="4445" b="0"/>
            <wp:docPr id="15" name="Imagem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6705" cy="3410585"/>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Notteboom e Rodrigue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Como referem Ferrari </w:t>
      </w:r>
      <w:r w:rsidRPr="00D713C2">
        <w:rPr>
          <w:i/>
        </w:rPr>
        <w:t>et al</w:t>
      </w:r>
      <w:r w:rsidRPr="004D55DA">
        <w:t>. (2011), os portos da região da Ligúria no norte de Itália têm que se defender da concorrência dos portos do norte da Europa, que penetram fortemente nos seus “hinterlands” naturais, o que altera por completo a definição tradicional de “hinterland”. Estes portos possuem o seu “hinterland” mais limitado do que seria normal esperar de portos tão bem localizados na Europa, podendo</w:t>
      </w:r>
      <w:r w:rsidR="009A5F29" w:rsidRPr="004D55DA">
        <w:t>,</w:t>
      </w:r>
      <w:r w:rsidRPr="004D55DA">
        <w:t xml:space="preserve"> por exemplo</w:t>
      </w:r>
      <w:r w:rsidR="009A5F29" w:rsidRPr="004D55DA">
        <w:t>,</w:t>
      </w:r>
      <w:r w:rsidRPr="004D55DA">
        <w:t xml:space="preserve"> servir a Suíça e a Áustria, países encravados, na ligação à Ásia.</w:t>
      </w:r>
      <w:r w:rsidR="002A1F91">
        <w:t xml:space="preserve"> </w:t>
      </w:r>
      <w:r w:rsidRPr="004D55DA">
        <w:t xml:space="preserve">O objetivo dos portos da Ligúria é expandir o seu “hinterland” além-fronteiras italianas, </w:t>
      </w:r>
      <w:r w:rsidR="009A5F29" w:rsidRPr="004D55DA">
        <w:t xml:space="preserve">o que </w:t>
      </w:r>
      <w:r w:rsidRPr="004D55DA">
        <w:t>não tem sido muito bem-sucedido, como ainda têm que defender o próprio “hinterland” no norte de Itália.</w:t>
      </w:r>
      <w:r w:rsidR="00D216EA">
        <w:t xml:space="preserve"> </w:t>
      </w:r>
      <w:r w:rsidRPr="004D55DA">
        <w:t>Tradicionalmente, a distância do “hinterland” sempre foi considerada o parâmetro que reflete melhor a influência económica de um porto em terra, evidenciando a importância da eficácia das ligações interiores e as vantagens em termos de escala.</w:t>
      </w:r>
    </w:p>
    <w:p w:rsidR="00104A12" w:rsidRPr="004D55DA" w:rsidRDefault="00104A12" w:rsidP="007F7964">
      <w:pPr>
        <w:spacing w:line="360" w:lineRule="auto"/>
        <w:jc w:val="both"/>
        <w:rPr>
          <w:b/>
        </w:rPr>
      </w:pPr>
    </w:p>
    <w:p w:rsidR="00104A12" w:rsidRPr="004D55DA" w:rsidRDefault="00104A12" w:rsidP="007F7964">
      <w:pPr>
        <w:spacing w:line="360" w:lineRule="auto"/>
        <w:jc w:val="both"/>
      </w:pPr>
      <w:r w:rsidRPr="004D55DA">
        <w:t>Em conclusão, a localização é um factor incontornável na explicação do desempenho do terminal de contentores, possuindo relevância diversa das restantes características dos portos e diversas sub-variáveis que importa analisar. O desempenho da região onde se insere o terminal de contentores está relacionado com a localização do porto.</w:t>
      </w:r>
      <w:r w:rsidR="002A1F91">
        <w:t xml:space="preserve"> </w:t>
      </w:r>
      <w:r w:rsidRPr="004D55DA">
        <w:t>Uma das principais variáveis da localização de terminais de contentores na Europa é a distância face ao porto de Roterdão, por ser o maior porto da Europa, localizado no coração económico europeu. À medida que nos afastamos, os portos vão perdendo importância, correspondendo ao afastamento do centro económico da Europa. Uma outra variável é a distância ao Mar Mediterrâneo, porque passam por este mar as grandes rotas mundiais de navios de contentores Ásia-Europa. Em consequência, escolhem os portos do Mediterrâneo como portos “hub” de concentração de cargas oriundas de outros portos “feeder”, nomeadamente dos portos do norte da Europa e de portos de todo o Atlântico, incluindo América do Norte, América do Sul e África. O desempenho económico da região onde se localiza o terminal de contentores e a distância a zonas industriais e urbanas são fundamentais para compreender o desempenho do terminal, já que o seu “hinterland” cativo e o mercado a que pode aceder numa primeira fase determinam a sua dimensão, ganhando massa crítica para obter competitividade e alargar a sua área de influência terrestre.</w:t>
      </w:r>
    </w:p>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pPr>
    </w:p>
    <w:p w:rsidR="00104A12" w:rsidRPr="004D55DA" w:rsidRDefault="00104A12" w:rsidP="00D216EA">
      <w:pPr>
        <w:pStyle w:val="Cabealho2"/>
        <w:spacing w:line="360" w:lineRule="auto"/>
        <w:ind w:left="0" w:firstLine="0"/>
        <w:jc w:val="both"/>
        <w:rPr>
          <w:sz w:val="24"/>
          <w:szCs w:val="24"/>
          <w:lang w:val="pt-PT"/>
        </w:rPr>
      </w:pPr>
      <w:bookmarkStart w:id="49" w:name="_Toc395730130"/>
      <w:r w:rsidRPr="004D55DA">
        <w:rPr>
          <w:sz w:val="24"/>
          <w:szCs w:val="24"/>
          <w:lang w:val="pt-PT"/>
        </w:rPr>
        <w:t>“Hard-port</w:t>
      </w:r>
      <w:r w:rsidR="00E40CEF">
        <w:rPr>
          <w:sz w:val="24"/>
          <w:szCs w:val="24"/>
          <w:lang w:val="pt-PT"/>
        </w:rPr>
        <w:fldChar w:fldCharType="begin"/>
      </w:r>
      <w:r w:rsidR="00E40CEF" w:rsidRPr="00E40CEF">
        <w:rPr>
          <w:lang w:val="pt-PT"/>
        </w:rPr>
        <w:instrText xml:space="preserve"> XE "</w:instrText>
      </w:r>
      <w:r w:rsidR="00E40CEF" w:rsidRPr="0083230C">
        <w:rPr>
          <w:sz w:val="24"/>
          <w:szCs w:val="24"/>
          <w:lang w:val="pt-PT"/>
        </w:rPr>
        <w:instrText>Hard-port</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infraestruturas do porto</w:t>
      </w:r>
      <w:bookmarkEnd w:id="49"/>
    </w:p>
    <w:p w:rsidR="00104A12" w:rsidRPr="004D55DA" w:rsidRDefault="00104A12" w:rsidP="007F7964">
      <w:pPr>
        <w:spacing w:line="360" w:lineRule="auto"/>
        <w:jc w:val="both"/>
        <w:rPr>
          <w:rStyle w:val="hps"/>
        </w:rPr>
      </w:pPr>
    </w:p>
    <w:p w:rsidR="00104A12" w:rsidRPr="004D55DA" w:rsidRDefault="00104A12" w:rsidP="007F7964">
      <w:pPr>
        <w:spacing w:line="360" w:lineRule="auto"/>
        <w:jc w:val="both"/>
      </w:pPr>
      <w:r w:rsidRPr="004D55DA">
        <w:rPr>
          <w:rStyle w:val="hps"/>
        </w:rPr>
        <w:t>Diversos estudos</w:t>
      </w:r>
      <w:r w:rsidRPr="004D55DA">
        <w:t xml:space="preserve"> </w:t>
      </w:r>
      <w:r w:rsidRPr="004D55DA">
        <w:rPr>
          <w:rStyle w:val="hps"/>
        </w:rPr>
        <w:t>têm explorado os</w:t>
      </w:r>
      <w:r w:rsidRPr="004D55DA">
        <w:t xml:space="preserve"> </w:t>
      </w:r>
      <w:r w:rsidR="00136906">
        <w:rPr>
          <w:rStyle w:val="hps"/>
        </w:rPr>
        <w:t>vários fa</w:t>
      </w:r>
      <w:r w:rsidRPr="004D55DA">
        <w:rPr>
          <w:rStyle w:val="hps"/>
        </w:rPr>
        <w:t xml:space="preserve">tores que </w:t>
      </w:r>
      <w:r w:rsidR="00136906" w:rsidRPr="004D55DA">
        <w:rPr>
          <w:rStyle w:val="hps"/>
        </w:rPr>
        <w:t>afetam</w:t>
      </w:r>
      <w:r w:rsidRPr="004D55DA">
        <w:t xml:space="preserve"> </w:t>
      </w:r>
      <w:r w:rsidRPr="004D55DA">
        <w:rPr>
          <w:rStyle w:val="hps"/>
        </w:rPr>
        <w:t>os critérios</w:t>
      </w:r>
      <w:r w:rsidRPr="004D55DA">
        <w:t xml:space="preserve"> </w:t>
      </w:r>
      <w:r w:rsidRPr="004D55DA">
        <w:rPr>
          <w:rStyle w:val="hps"/>
        </w:rPr>
        <w:t>de seleção dos portos pelos armadores,</w:t>
      </w:r>
      <w:r w:rsidRPr="004D55DA">
        <w:t xml:space="preserve"> </w:t>
      </w:r>
      <w:r w:rsidRPr="004D55DA">
        <w:rPr>
          <w:rStyle w:val="hps"/>
        </w:rPr>
        <w:t>revelando que</w:t>
      </w:r>
      <w:r w:rsidRPr="004D55DA">
        <w:t xml:space="preserve"> </w:t>
      </w:r>
      <w:r w:rsidRPr="004D55DA">
        <w:rPr>
          <w:rStyle w:val="hps"/>
        </w:rPr>
        <w:t>as infraestruturas físicas</w:t>
      </w:r>
      <w:r w:rsidRPr="004D55DA">
        <w:t xml:space="preserve"> </w:t>
      </w:r>
      <w:r w:rsidRPr="004D55DA">
        <w:rPr>
          <w:rStyle w:val="hps"/>
        </w:rPr>
        <w:t>determinam o desempenho e o</w:t>
      </w:r>
      <w:r w:rsidRPr="004D55DA">
        <w:t xml:space="preserve"> </w:t>
      </w:r>
      <w:r w:rsidRPr="004D55DA">
        <w:rPr>
          <w:rStyle w:val="hps"/>
        </w:rPr>
        <w:t>volume total</w:t>
      </w:r>
      <w:r w:rsidRPr="004D55DA">
        <w:t xml:space="preserve"> </w:t>
      </w:r>
      <w:r w:rsidRPr="004D55DA">
        <w:rPr>
          <w:rStyle w:val="hps"/>
        </w:rPr>
        <w:t>de carga com influência, por sua vez, na escolha dos armadores.</w:t>
      </w:r>
      <w:r w:rsidRPr="004D55DA">
        <w:t xml:space="preserve"> </w:t>
      </w:r>
      <w:r w:rsidRPr="004D55DA">
        <w:rPr>
          <w:rStyle w:val="hps"/>
        </w:rPr>
        <w:t>Para aumentar</w:t>
      </w:r>
      <w:r w:rsidRPr="004D55DA">
        <w:t xml:space="preserve"> </w:t>
      </w:r>
      <w:r w:rsidRPr="004D55DA">
        <w:rPr>
          <w:rStyle w:val="hps"/>
        </w:rPr>
        <w:t>a competitividade</w:t>
      </w:r>
      <w:r w:rsidRPr="004D55DA">
        <w:t xml:space="preserve"> </w:t>
      </w:r>
      <w:r w:rsidRPr="004D55DA">
        <w:rPr>
          <w:rStyle w:val="hps"/>
        </w:rPr>
        <w:t>dos portos,</w:t>
      </w:r>
      <w:r w:rsidRPr="004D55DA">
        <w:t xml:space="preserve"> </w:t>
      </w:r>
      <w:r w:rsidRPr="004D55DA">
        <w:rPr>
          <w:rStyle w:val="hps"/>
        </w:rPr>
        <w:t>a maioria das autoridades</w:t>
      </w:r>
      <w:r w:rsidRPr="004D55DA">
        <w:t xml:space="preserve"> </w:t>
      </w:r>
      <w:r w:rsidRPr="004D55DA">
        <w:rPr>
          <w:rStyle w:val="hps"/>
        </w:rPr>
        <w:t>portuárias</w:t>
      </w:r>
      <w:r w:rsidRPr="004D55DA">
        <w:t xml:space="preserve"> </w:t>
      </w:r>
      <w:r w:rsidRPr="004D55DA">
        <w:rPr>
          <w:rStyle w:val="hps"/>
        </w:rPr>
        <w:t>em todo o mundo</w:t>
      </w:r>
      <w:r w:rsidRPr="004D55DA">
        <w:t xml:space="preserve"> </w:t>
      </w:r>
      <w:r w:rsidRPr="004D55DA">
        <w:rPr>
          <w:rStyle w:val="hps"/>
        </w:rPr>
        <w:t>e</w:t>
      </w:r>
      <w:r w:rsidRPr="004D55DA">
        <w:t xml:space="preserve"> </w:t>
      </w:r>
      <w:r w:rsidRPr="004D55DA">
        <w:rPr>
          <w:rStyle w:val="hps"/>
        </w:rPr>
        <w:t>os gestores de terminais de contentores</w:t>
      </w:r>
      <w:r w:rsidRPr="004D55DA">
        <w:t xml:space="preserve"> </w:t>
      </w:r>
      <w:r w:rsidRPr="004D55DA">
        <w:rPr>
          <w:rStyle w:val="hps"/>
        </w:rPr>
        <w:t>estão a fazer</w:t>
      </w:r>
      <w:r w:rsidRPr="004D55DA">
        <w:t xml:space="preserve"> </w:t>
      </w:r>
      <w:r w:rsidRPr="004D55DA">
        <w:rPr>
          <w:rStyle w:val="hps"/>
        </w:rPr>
        <w:t>investimentos nas</w:t>
      </w:r>
      <w:r w:rsidRPr="004D55DA">
        <w:t xml:space="preserve"> </w:t>
      </w:r>
      <w:r w:rsidRPr="004D55DA">
        <w:rPr>
          <w:rStyle w:val="hps"/>
        </w:rPr>
        <w:t>infraestrutura</w:t>
      </w:r>
      <w:r w:rsidR="00136906">
        <w:rPr>
          <w:rStyle w:val="hps"/>
        </w:rPr>
        <w:t>s</w:t>
      </w:r>
      <w:r w:rsidRPr="004D55DA">
        <w:rPr>
          <w:rStyle w:val="hps"/>
        </w:rPr>
        <w:t xml:space="preserve"> </w:t>
      </w:r>
      <w:r w:rsidR="001C4347" w:rsidRPr="004D55DA">
        <w:rPr>
          <w:rStyle w:val="hps"/>
        </w:rPr>
        <w:t>para</w:t>
      </w:r>
      <w:r w:rsidRPr="004D55DA">
        <w:rPr>
          <w:rStyle w:val="hps"/>
        </w:rPr>
        <w:t xml:space="preserve"> reduzir</w:t>
      </w:r>
      <w:r w:rsidRPr="004D55DA">
        <w:t xml:space="preserve"> </w:t>
      </w:r>
      <w:r w:rsidRPr="004D55DA">
        <w:rPr>
          <w:rStyle w:val="hps"/>
        </w:rPr>
        <w:t>custos operacionais</w:t>
      </w:r>
      <w:r w:rsidRPr="004D55DA">
        <w:t xml:space="preserve"> </w:t>
      </w:r>
      <w:r w:rsidRPr="004D55DA">
        <w:rPr>
          <w:rStyle w:val="hps"/>
        </w:rPr>
        <w:t>e melhorar</w:t>
      </w:r>
      <w:r w:rsidRPr="004D55DA">
        <w:t xml:space="preserve"> </w:t>
      </w:r>
      <w:r w:rsidRPr="004D55DA">
        <w:rPr>
          <w:rStyle w:val="hps"/>
        </w:rPr>
        <w:t>a qualidade do serviço (</w:t>
      </w:r>
      <w:r w:rsidRPr="004D55DA">
        <w:t>Cullinane &amp; Wang, 2009).</w:t>
      </w:r>
    </w:p>
    <w:p w:rsidR="00104A12" w:rsidRPr="004D55DA" w:rsidRDefault="00104A12" w:rsidP="007F7964">
      <w:pPr>
        <w:spacing w:line="360" w:lineRule="auto"/>
        <w:jc w:val="both"/>
        <w:rPr>
          <w:rStyle w:val="hps"/>
        </w:rPr>
      </w:pPr>
    </w:p>
    <w:p w:rsidR="00104A12" w:rsidRPr="004D55DA" w:rsidRDefault="00104A12" w:rsidP="007F7964">
      <w:pPr>
        <w:spacing w:line="360" w:lineRule="auto"/>
        <w:jc w:val="both"/>
      </w:pPr>
      <w:r w:rsidRPr="004D55DA">
        <w:rPr>
          <w:rStyle w:val="hps"/>
        </w:rPr>
        <w:t xml:space="preserve">As características físicas do porto, onde se localiza o terminal de contentores, </w:t>
      </w:r>
      <w:r w:rsidR="001C4347" w:rsidRPr="004D55DA">
        <w:rPr>
          <w:rStyle w:val="hps"/>
        </w:rPr>
        <w:t xml:space="preserve">determinaram </w:t>
      </w:r>
      <w:r w:rsidRPr="004D55DA">
        <w:rPr>
          <w:rStyle w:val="hps"/>
        </w:rPr>
        <w:t>o seu desempenho, em especial as acessibilidades, as áreas logísticas e as sinergias criadas pela localização no porto de outros terminais de contentores, motivo para a atração de carga e obtenção de economias de escala dos serviços de apoio do porto.</w:t>
      </w:r>
      <w:r w:rsidR="002A1F91">
        <w:rPr>
          <w:rStyle w:val="hps"/>
        </w:rPr>
        <w:t xml:space="preserve"> </w:t>
      </w:r>
      <w:r w:rsidRPr="004D55DA">
        <w:rPr>
          <w:rStyle w:val="hps"/>
        </w:rPr>
        <w:t>Vários estudos analisam a relação entre</w:t>
      </w:r>
      <w:r w:rsidRPr="004D55DA">
        <w:t xml:space="preserve"> </w:t>
      </w:r>
      <w:r w:rsidR="001C4347" w:rsidRPr="004D55DA">
        <w:rPr>
          <w:rStyle w:val="hps"/>
        </w:rPr>
        <w:t>a dimensão do porto,</w:t>
      </w:r>
      <w:r w:rsidRPr="004D55DA">
        <w:t xml:space="preserve"> a</w:t>
      </w:r>
      <w:r w:rsidRPr="004D55DA">
        <w:rPr>
          <w:rStyle w:val="hps"/>
        </w:rPr>
        <w:t xml:space="preserve"> eficiência</w:t>
      </w:r>
      <w:r w:rsidRPr="004D55DA">
        <w:t xml:space="preserve"> </w:t>
      </w:r>
      <w:r w:rsidRPr="004D55DA">
        <w:rPr>
          <w:rStyle w:val="hps"/>
        </w:rPr>
        <w:t>e o desempenho.</w:t>
      </w:r>
      <w:r w:rsidRPr="004D55DA">
        <w:t xml:space="preserve"> </w:t>
      </w:r>
      <w:r w:rsidR="001C4347" w:rsidRPr="004D55DA">
        <w:t>O</w:t>
      </w:r>
      <w:r w:rsidRPr="004D55DA">
        <w:t xml:space="preserve">s </w:t>
      </w:r>
      <w:r w:rsidRPr="004D55DA">
        <w:rPr>
          <w:rStyle w:val="hps"/>
        </w:rPr>
        <w:t>maiores</w:t>
      </w:r>
      <w:r w:rsidRPr="004D55DA">
        <w:t xml:space="preserve"> </w:t>
      </w:r>
      <w:r w:rsidRPr="004D55DA">
        <w:rPr>
          <w:rStyle w:val="hps"/>
        </w:rPr>
        <w:t>portos asiáticos</w:t>
      </w:r>
      <w:r w:rsidRPr="004D55DA">
        <w:t xml:space="preserve"> </w:t>
      </w:r>
      <w:r w:rsidRPr="004D55DA">
        <w:rPr>
          <w:rStyle w:val="hps"/>
        </w:rPr>
        <w:t>mostram</w:t>
      </w:r>
      <w:r w:rsidRPr="004D55DA">
        <w:t xml:space="preserve"> </w:t>
      </w:r>
      <w:r w:rsidRPr="004D55DA">
        <w:rPr>
          <w:rStyle w:val="hps"/>
        </w:rPr>
        <w:t>uma melhor eficiência na</w:t>
      </w:r>
      <w:r w:rsidRPr="004D55DA">
        <w:t xml:space="preserve"> </w:t>
      </w:r>
      <w:r w:rsidRPr="004D55DA">
        <w:rPr>
          <w:rStyle w:val="hps"/>
        </w:rPr>
        <w:t>movimentação de carga</w:t>
      </w:r>
      <w:r w:rsidRPr="004D55DA">
        <w:t xml:space="preserve">, em termos relativos, e </w:t>
      </w:r>
      <w:r w:rsidRPr="004D55DA">
        <w:rPr>
          <w:rStyle w:val="hps"/>
        </w:rPr>
        <w:t>maior quota de mercado</w:t>
      </w:r>
      <w:r w:rsidRPr="004D55DA">
        <w:t xml:space="preserve"> </w:t>
      </w:r>
      <w:r w:rsidRPr="004D55DA">
        <w:rPr>
          <w:rStyle w:val="hps"/>
        </w:rPr>
        <w:t>no</w:t>
      </w:r>
      <w:r w:rsidRPr="004D55DA">
        <w:t xml:space="preserve"> </w:t>
      </w:r>
      <w:r w:rsidRPr="004D55DA">
        <w:rPr>
          <w:rStyle w:val="hps"/>
        </w:rPr>
        <w:t>transbordo de contentores</w:t>
      </w:r>
      <w:r w:rsidRPr="004D55DA">
        <w:t xml:space="preserve">, sendo a dimensão a partir dos 5 milhões de TEU, um factor de referência crítico para o aumento da eficiência de um porto. A dimensão do porto é, há muitos anos, considerada um factor de estudo devido à sua influência no desempenho dos portos (Liu, 1995), por se tratar de um sector afetado por economias de escala e de aglomeração.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produtividade dos portos aumenta com a dimensão, com significativas economias de escala, o que levou à recomendação de se investir mais nos grandes portos e ser cauteloso nos pequenos portos, referem De Neufville e Tsunokawa, (1981).</w:t>
      </w:r>
      <w:r w:rsidR="002A1F91">
        <w:t xml:space="preserve"> </w:t>
      </w:r>
      <w:r w:rsidRPr="004D55DA">
        <w:t xml:space="preserve">Se os portos grandes têm melhor desempenho, então </w:t>
      </w:r>
      <w:r w:rsidR="0048309C" w:rsidRPr="004D55DA">
        <w:t xml:space="preserve">deveria </w:t>
      </w:r>
      <w:r w:rsidRPr="004D55DA">
        <w:t>apenas investir</w:t>
      </w:r>
      <w:r w:rsidR="0048309C" w:rsidRPr="004D55DA">
        <w:t>-se</w:t>
      </w:r>
      <w:r w:rsidRPr="004D55DA">
        <w:t xml:space="preserve"> nestes portos, desprezando os restantes, numa lógica de lucro e de crescimento. No entanto, os portos pequenos possuem também o seu papel, com impacto económico na região, apesar do seu menor desempenho em termos relativos. Interessará</w:t>
      </w:r>
      <w:r w:rsidR="0048309C" w:rsidRPr="004D55DA">
        <w:t>,</w:t>
      </w:r>
      <w:r w:rsidRPr="004D55DA">
        <w:t xml:space="preserve"> ainda</w:t>
      </w:r>
      <w:r w:rsidR="0048309C" w:rsidRPr="004D55DA">
        <w:t>,</w:t>
      </w:r>
      <w:r w:rsidRPr="004D55DA">
        <w:t xml:space="preserve"> saber se um porto pequeno se pode tornar maior, com melhor desempenho, </w:t>
      </w:r>
      <w:r w:rsidR="0048309C" w:rsidRPr="004D55DA">
        <w:t xml:space="preserve">se </w:t>
      </w:r>
      <w:r w:rsidRPr="004D55DA">
        <w:t>apenas se investir nesse porto. A questão normalmente coloca-se mais na dimensão dos terminais do que dos portos</w:t>
      </w:r>
      <w:r w:rsidR="0048309C" w:rsidRPr="004D55DA">
        <w:t>.</w:t>
      </w:r>
      <w:r w:rsidRPr="004D55DA">
        <w:t xml:space="preserve"> </w:t>
      </w:r>
      <w:r w:rsidR="0048309C" w:rsidRPr="004D55DA">
        <w:t>Os</w:t>
      </w:r>
      <w:r w:rsidRPr="004D55DA">
        <w:t xml:space="preserve"> terminais localizados em portos de maior dimensão podem também beneficiar desse facto no seu desempenho, fruto das sinergias criadas com outros terminais.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Em 2005, Estache </w:t>
      </w:r>
      <w:r w:rsidRPr="00D713C2">
        <w:rPr>
          <w:i/>
        </w:rPr>
        <w:t>et al</w:t>
      </w:r>
      <w:r w:rsidRPr="004D55DA">
        <w:t>., decomp</w:t>
      </w:r>
      <w:r w:rsidR="0048309C" w:rsidRPr="004D55DA">
        <w:t>useram</w:t>
      </w:r>
      <w:r w:rsidRPr="004D55DA">
        <w:t xml:space="preserve"> a eficiência em alterações técnicas e alterações de escala, mostrando a importância </w:t>
      </w:r>
      <w:r w:rsidR="0048309C" w:rsidRPr="004D55DA">
        <w:t xml:space="preserve">do efeito </w:t>
      </w:r>
      <w:r w:rsidRPr="004D55DA">
        <w:t>da dimensão no desempenho dos portos (ver também: Turner, Windle &amp; Dresner, 2004; Gonzalez &amp; Trujillo, 2008), verificando ainda um efeito de aprendizagem dos portos de maior dimensão que contribui para o seu melhor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efeito de aprendizagem é citado por muitos autores como sendo uma explicação para a diferença de desempenho entre os portos grandes e os portos pequenos, uma vez que os portos de maior dimensão são obrigados a adotar sistemas e processos mais eficientes para conseguir movimentar um grande volume de cargas, aprendendo gradualmente com a escala a serem mais eficientes e produtivos. A mão-de-obra dos grandes portos tem acesso a maior treino, fruto da própria dimensão, sendo agilizados os sistemas burocráticos nos terminais e entre entidades (Felício &amp; Caldeirinha, 2013).</w:t>
      </w:r>
      <w:r w:rsidR="002A1F91">
        <w:t xml:space="preserve"> </w:t>
      </w:r>
      <w:r w:rsidRPr="004D55DA">
        <w:t>Nos grandes portos, as arestas já foram limadas, porque os problemas com menor ocorrência já resultaram em várias soluções, as entidades criaram laços de maior coordenação, os sistemas informáticos estão otimizados.</w:t>
      </w:r>
      <w:r w:rsidR="002A1F91">
        <w:t xml:space="preserve"> </w:t>
      </w:r>
      <w:r w:rsidRPr="004D55DA">
        <w:t xml:space="preserve">O efeito de escala e a diluição dos custos indiretos, fixos, administrativos e centrais são habitualmente apontados como os </w:t>
      </w:r>
      <w:r w:rsidR="00136906" w:rsidRPr="004D55DA">
        <w:t>fatores</w:t>
      </w:r>
      <w:r w:rsidRPr="004D55DA">
        <w:t xml:space="preserve"> que mais contribuem para o efeito positivo da dimensão no desempenho dos portos.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Por outro lado, os portos têm que realizar periodicamente grandes investimentos em infraestruturas, que dificilmente podem ser faseados e que levam a que, em alguns períodos, os portos sejam ineficientes para aumentarem a sua dimensão e </w:t>
      </w:r>
      <w:r w:rsidR="0048309C" w:rsidRPr="004D55DA">
        <w:t>terem</w:t>
      </w:r>
      <w:r w:rsidRPr="004D55DA">
        <w:t xml:space="preserve"> melhor desempenho no futuro. Assim, é importante avaliar a homogeneidade das amostras, o que nem sempre se torna tarefa fácil devido à falta de dados para constituir as grandes amostras.</w:t>
      </w:r>
      <w:r w:rsidR="002A1F91">
        <w:t xml:space="preserve"> </w:t>
      </w:r>
      <w:r w:rsidRPr="004D55DA">
        <w:t xml:space="preserve">Em 2006, Herrera e Pang, utilizaram o modelo DEA, verificando que os portos maiores são mais eficientes que os menores e que a dimensão pode ser uma variável instrumental para aumentar a eficiência, bem como, concluíram que embora muitos dos portos pudessem ganhar eficiência com o aumento da escala, outros deveriam reduzir a dimensão para obterem o mesmo efeito. É natural que alguns portos de grande dimensão, que </w:t>
      </w:r>
      <w:r w:rsidR="0048309C" w:rsidRPr="004D55DA">
        <w:t xml:space="preserve">recentemente </w:t>
      </w:r>
      <w:r w:rsidRPr="004D55DA">
        <w:t>tenham realizado avultados investimentos, pareçam ter menor eficiência temporariamente, o que deve ser analisado caso a caso, recorrendo a estudos de caso.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A dimensão dos portos pode ser alterada através do investimento em infraestruturas de forma a aumentar a sua eficiência relativa, o que também pode ocorrer através de aquisições ou da transferência de cargas de uns portos para outros, concentrando-a, de forma a ganhar eficiência, como é o caso italiano (Barros, 2006).</w:t>
      </w:r>
      <w:r w:rsidR="002A1F91">
        <w:t xml:space="preserve"> </w:t>
      </w:r>
      <w:r w:rsidRPr="004D55DA">
        <w:t>O conceito de dimensão pode estar associado à oferta existente ou à procura. Sem uma oferta de grande dimensão, não será possível ter uma procura de grande dimensão. Mas um porto grande é aquele que além da capacidade está operacional. Existem autores que utilizam variáveis relacionadas com a infraestrutura e outros com o movimento de cargas, em especial no estudo dos terminais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entanto, os </w:t>
      </w:r>
      <w:r w:rsidR="00136906" w:rsidRPr="004D55DA">
        <w:t>fatores</w:t>
      </w:r>
      <w:r w:rsidRPr="004D55DA">
        <w:t xml:space="preserve"> dimensionais relacionados com a escala e economias de gama, a localização e os efeitos de aglomeração regionais poderão levar a que certos portos produzam temporariamente abaixo das suas capacidades (Barros &amp; Peypoch, 2007), o que desvirtua a aplicação do conceito da dimensão com base na infraestrutura.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Verifica-se</w:t>
      </w:r>
      <w:r w:rsidR="0048309C" w:rsidRPr="004D55DA">
        <w:t>,</w:t>
      </w:r>
      <w:r w:rsidRPr="004D55DA">
        <w:t xml:space="preserve"> ainda</w:t>
      </w:r>
      <w:r w:rsidR="0048309C" w:rsidRPr="004D55DA">
        <w:t>,</w:t>
      </w:r>
      <w:r w:rsidRPr="004D55DA">
        <w:t xml:space="preserve"> a existência de relação entre a eficiência do porto e a dimensão da autoridade portuária (Serrano </w:t>
      </w:r>
      <w:r w:rsidR="0048309C" w:rsidRPr="004D55DA">
        <w:t>&amp;</w:t>
      </w:r>
      <w:r w:rsidRPr="004D55DA">
        <w:t xml:space="preserve"> Trujillo, 2005). Porém, a dimensão da autoridade portuária é habitualmente ditada pela dimensão do porto, podendo ser condicionada também por aspetos de política local ou por existirem outras funções não relacionadas com a própria movimentação de cargas, como sejam</w:t>
      </w:r>
      <w:r w:rsidR="0048309C" w:rsidRPr="004D55DA">
        <w:t>,</w:t>
      </w:r>
      <w:r w:rsidRPr="004D55DA">
        <w:t xml:space="preserve"> a gestão de zonas ribeirinhas ou de zonas comerciais e industriais pós-operação portuária.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Wang e Cullinane (2006) estudaram a eficiência relativa de 104 terminais de contentores na Europa, concluindo que os maiores terminais são habitualmente mais eficientes, por motivo das economias de escala, e que a eficiência varia com a localização dos terminais, independentemente da sua dimensão.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Mas, alguns autores referem que a dimensão dos portos e dos terminais portuários não influenciam a sua eficiência, resultando esta do ambiente competitivo em que os portos estão enquadrados (Cullinane </w:t>
      </w:r>
      <w:r w:rsidRPr="00D713C2">
        <w:rPr>
          <w:i/>
        </w:rPr>
        <w:t>et al.,</w:t>
      </w:r>
      <w:r w:rsidRPr="004D55DA">
        <w:t xml:space="preserve"> 2004).</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Quando se analisa o desempenho em termos absolutos, a dimensão da própria variável de output pode explicar a dimensão da infraestrutura do porto. Ou seja, os portos só podem construir novos terminais e crescer se a procura corresponder de forma gradual. Neste caso, as </w:t>
      </w:r>
      <w:r w:rsidRPr="004D55DA">
        <w:lastRenderedPageBreak/>
        <w:t xml:space="preserve">variáveis de dimensão do porto não poderiam ser utilizadas como </w:t>
      </w:r>
      <w:r w:rsidR="00136906" w:rsidRPr="004D55DA">
        <w:t>fatores</w:t>
      </w:r>
      <w:r w:rsidRPr="004D55DA">
        <w:t xml:space="preserve"> explicativos do desempenho do porto, em termos absolutos ou operacionais, mas apenas quando se trata da eficiência relativa.</w:t>
      </w:r>
    </w:p>
    <w:p w:rsidR="00104A12" w:rsidRPr="004D55DA" w:rsidRDefault="00104A12" w:rsidP="007F7964">
      <w:pPr>
        <w:spacing w:line="360" w:lineRule="auto"/>
        <w:jc w:val="both"/>
      </w:pPr>
    </w:p>
    <w:p w:rsidR="00104A12" w:rsidRPr="004D55DA" w:rsidRDefault="002A1F91" w:rsidP="007F7964">
      <w:pPr>
        <w:spacing w:line="360" w:lineRule="auto"/>
        <w:jc w:val="both"/>
      </w:pPr>
      <w:r>
        <w:t>Em conclusão, a</w:t>
      </w:r>
      <w:r w:rsidR="00104A12" w:rsidRPr="004D55DA">
        <w:t xml:space="preserve"> dimensão parece ser um factor a considerar na sua relação com os resultados dos portos, em termos de desempenho e de eficiência, quer devido às economias de escala, quer ao efeito de aprendizagem e à geração de </w:t>
      </w:r>
      <w:r w:rsidR="00136906" w:rsidRPr="004D55DA">
        <w:t>fatores</w:t>
      </w:r>
      <w:r w:rsidR="00104A12" w:rsidRPr="004D55DA">
        <w:t xml:space="preserve"> de atracão e efeito de “hub”</w:t>
      </w:r>
      <w:r w:rsidR="00136906" w:rsidRPr="004D55DA">
        <w:t>,</w:t>
      </w:r>
      <w:r w:rsidR="00104A12" w:rsidRPr="004D55DA">
        <w:t xml:space="preserve"> embora se tenha que ter especial cuidado em perceber se se trata de uma variável explicativa ou explicada em determinados modelos, em especial nos que se relacionam com o desempenho económico e operacional medido em TEU ou toneladas de carga movimentada.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acessibilidades marítimas e terrestres parecem também ter muita importância na determinação da eficiência dos portos, uma vez que os portos com melhores acessos podem receber maiores navios, com fretes baixos e melhores taxas de produtividade nos cais e podem ter maiores outputs com o mesmo comprimento de cais.</w:t>
      </w:r>
      <w:r w:rsidR="002A1F91">
        <w:t xml:space="preserve"> </w:t>
      </w:r>
      <w:r w:rsidRPr="004D55DA">
        <w:t>No entanto, os portos com grandes fundos de acesso não naturais, que tenham u</w:t>
      </w:r>
      <w:r w:rsidR="0048309C" w:rsidRPr="004D55DA">
        <w:t>ma taxa de assoreamento elevada</w:t>
      </w:r>
      <w:r w:rsidRPr="004D55DA">
        <w:t xml:space="preserve"> ou que impliquem grandes obras de proteção, poderão ter os seus custos acrescidos relativamente a outros, o que poderá condicionar a sua eficiência em termos financeiros, situação que não é detetável nos tradicionais modelos baseados exclusivamente em </w:t>
      </w:r>
      <w:r w:rsidR="00136906">
        <w:t>“</w:t>
      </w:r>
      <w:r w:rsidRPr="004D55DA">
        <w:t>inputs</w:t>
      </w:r>
      <w:r w:rsidR="00136906">
        <w:t>”</w:t>
      </w:r>
      <w:r w:rsidRPr="004D55DA">
        <w:t xml:space="preserve"> de cais, equipamento e terraplenos.</w:t>
      </w:r>
      <w:r w:rsidR="002A1F91">
        <w:t xml:space="preserve"> </w:t>
      </w:r>
      <w:r w:rsidRPr="004D55DA">
        <w:t>Em 2002, Tongzon, estudou as acessibilidades do porto como determinante e Wiegmans (2003) chegou a conclusões sobre a importância da influência desta variável na eficiência do porto. De facto, uma melhor acessibilidade marítima define o tipo de mercado a que o porto pode aceder, determinando a possibilidade de oferecer aos seus clientes serviços marítimos com fortes economias de escala, ou seja, fretes substancialmente mais baixos. No entanto, ter boas acessibilidades marítimas não é condição suficiente para ser escalado por navios de maior calado médio, embora seja uma condição necessária.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À medida que crescem os calados dos navios a nível mundial, crescem as respetivas capacidades, e assim os custos de transporte por tonelada reduzem-se muito, tornando-se os navios mais eficientes. Os navios maiores escolhem tendencialmente um número inferior de portos para escalar, com base nas capacidades de acesso, tornando-se determinante para o desempenho do porto que o acesso permita a entrada do maior número de navios de grandes dimensões.</w:t>
      </w:r>
      <w:r w:rsidR="002A1F91">
        <w:t xml:space="preserve"> </w:t>
      </w:r>
      <w:r w:rsidRPr="004D55DA">
        <w:t>Esta é uma das limitações de crescimento de um porto. Sem acessos marítimos, qualquer porto está limitado a navios de menor dimensão e menos competitivos, tornando-se</w:t>
      </w:r>
      <w:r w:rsidR="0048309C" w:rsidRPr="004D55DA">
        <w:t>,</w:t>
      </w:r>
      <w:r w:rsidRPr="004D55DA">
        <w:t xml:space="preserve"> </w:t>
      </w:r>
      <w:r w:rsidRPr="004D55DA">
        <w:lastRenderedPageBreak/>
        <w:t>também</w:t>
      </w:r>
      <w:r w:rsidR="0048309C" w:rsidRPr="004D55DA">
        <w:t>,</w:t>
      </w:r>
      <w:r w:rsidRPr="004D55DA">
        <w:t xml:space="preserve"> um porto de maior custo na cadeia de transporte, e logo com uma área de influência reduzida, com efeitos na sua evolução natural, nos seus serviços e na sua eficiência.</w:t>
      </w:r>
      <w:r w:rsidR="002A1F91">
        <w:t xml:space="preserve"> </w:t>
      </w:r>
      <w:r w:rsidRPr="004D55DA">
        <w:t>Por exemplo, os fundos que permitem a entrada dos maiores navios facilitam a agilidade na troca de carga entre navios para responder às necessidades das linhas e espelham a facilidade de adaptação do porto às necessidades dos armadores e dos seus clientes</w:t>
      </w:r>
      <w:r w:rsidR="0048309C" w:rsidRPr="004D55DA">
        <w:t>,</w:t>
      </w:r>
      <w:r w:rsidRPr="004D55DA">
        <w:t xml:space="preserve"> num mercado em mudança</w:t>
      </w:r>
      <w:r w:rsidR="002A1F91">
        <w:t xml:space="preserve"> (</w:t>
      </w:r>
      <w:r w:rsidR="00136906">
        <w:t>Tongzon</w:t>
      </w:r>
      <w:r w:rsidR="002A1F91">
        <w:t>, 2002)</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distância física marítima entre o porto e o mar aberto pode implicar</w:t>
      </w:r>
      <w:r w:rsidR="00136906">
        <w:t xml:space="preserve"> </w:t>
      </w:r>
      <w:r w:rsidRPr="004D55DA">
        <w:t>maior ou menor tempo de navegação em porto, determinando a acessibilidade do porto aos navios das grandes rotas de alto mar, condicionando a competitividade do terminal (Zohil &amp; Prijon, 1999; Notteboom, 2011; Gaur, 2005).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acessibilidades terrestres são uma questão considerada muito importante para estender o “hinterland” a maiores distâncias, contribuindo para um melhor desempenho dos investimentos.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dimensão do “hinterland” terrestre e da área de influência do porto está condicionada pelos custos de transporte, pelo número de alternativas, capacidade das vias, custos e qualidade dos prestadores de serviços de transportes, pela qualidade da via e custo de utilização, pela integração direta do porto com as redes de transporte sem congestionamentos e pela interligação entre as vias rodoviárias, ferroviárias e fluviais.</w:t>
      </w:r>
      <w:r w:rsidR="005541CB">
        <w:t xml:space="preserve"> </w:t>
      </w:r>
      <w:r w:rsidRPr="004D55DA">
        <w:t>A dimensão do “hinterland” está assim determinada pela acessibilidade terrestre ao porto e condiciona, por sua vez, a capacidade de crescimento do porto e o seu desempenho</w:t>
      </w:r>
      <w:r w:rsidR="0048309C" w:rsidRPr="004D55DA">
        <w:t>,</w:t>
      </w:r>
      <w:r w:rsidRPr="004D55DA">
        <w:t xml:space="preserve"> em termos absolutos e relativos.</w:t>
      </w:r>
      <w:r w:rsidR="005541CB">
        <w:t xml:space="preserve"> </w:t>
      </w:r>
      <w:r w:rsidRPr="004D55DA">
        <w:t xml:space="preserve">Turner, Windle e Dresner (2004) estudaram o impacto das acessibilidades terrestres e marítimas e Gaur (2005) identificou seis </w:t>
      </w:r>
      <w:r w:rsidR="00136906" w:rsidRPr="004D55DA">
        <w:t>fatores</w:t>
      </w:r>
      <w:r w:rsidRPr="004D55DA">
        <w:t xml:space="preserve"> que afetam o desempenho do porto, entre eles, o acesso marítimo, o cais, o terminal, a armazenagem, os serviços de valor acrescentado e a conectividade com o “hinterland”.</w:t>
      </w:r>
      <w:r w:rsidR="005541CB">
        <w:t xml:space="preserve"> </w:t>
      </w:r>
      <w:r w:rsidRPr="004D55DA">
        <w:t>As acessibilidades são determinantes para as condições de entrada e saída do porto, permitindo que os fluxos sejam realizados de forma mais eficiente, considerado factor determinante na escolha do porto, uma vez relacionado com o desempenho portuário. No âmbito das acessibilidades marítimas, a distância física entre o porto e o mar aberto, pode implicar maior ou menor tempo de navegação em porto, determinando a acessibilidade do porto aos navios das grandes rotas de alto mar, condicionando a competitividade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A intermodalidade que surgiu com o advento do contentor levou a que ganhasse importância a gestão e coordenação das diferentes ofertas dos vários prestadores de serviços de transporte e logísticos, no mar e em terra, e das operações intermodais nos terminais.</w:t>
      </w:r>
      <w:r w:rsidR="005541CB">
        <w:t xml:space="preserve"> </w:t>
      </w:r>
      <w:r w:rsidRPr="004D55DA">
        <w:t>A integração modal e a redução das funções de produção n</w:t>
      </w:r>
      <w:r w:rsidR="0048309C" w:rsidRPr="004D55DA">
        <w:t>as unidades fabris, com o JIT (“</w:t>
      </w:r>
      <w:r w:rsidR="00136906" w:rsidRPr="004D55DA">
        <w:t>Just</w:t>
      </w:r>
      <w:r w:rsidR="0048309C" w:rsidRPr="004D55DA">
        <w:t xml:space="preserve"> in t</w:t>
      </w:r>
      <w:r w:rsidRPr="004D55DA">
        <w:t>ime</w:t>
      </w:r>
      <w:r w:rsidR="0048309C" w:rsidRPr="004D55DA">
        <w:t>”</w:t>
      </w:r>
      <w:r w:rsidRPr="004D55DA">
        <w:t>), levaram à exigência da oferta de serviços logísticos ao longo da cadeia de transportes, em especial nos portos, distribuindo-se fases da produção industrial pelas zonas de paragem da carga durante o seu transporte.</w:t>
      </w:r>
      <w:r w:rsidR="005541CB">
        <w:t xml:space="preserve"> </w:t>
      </w:r>
      <w:r w:rsidRPr="004D55DA">
        <w:t>As novas operações logísticas de valor acrescentado à indústria,</w:t>
      </w:r>
      <w:r w:rsidR="00E40CEF">
        <w:t xml:space="preserve"> relacionadas com</w:t>
      </w:r>
      <w:r w:rsidRPr="004D55DA">
        <w:t xml:space="preserve"> pequenas montagens, preparação para a encomenda</w:t>
      </w:r>
      <w:r w:rsidR="005541CB">
        <w:t>, operações de “postponement”</w:t>
      </w:r>
      <w:r w:rsidRPr="004D55DA">
        <w:t>, resposta à encomenda, etiquetagem, embalagem e distribuição, são uma realidade dos grandes portos. Para isso, os portos passaram a disponibilizar áreas para serviços logísticos, realizados por empresas especializadas, determinantes do desempenho dos terminais de contentores</w:t>
      </w:r>
      <w:r w:rsidR="005541CB">
        <w:t xml:space="preserve"> (Robinson, 2002)</w:t>
      </w:r>
      <w:r w:rsidRPr="004D55DA">
        <w:t>.</w:t>
      </w:r>
    </w:p>
    <w:p w:rsidR="00104A12" w:rsidRPr="004D55DA" w:rsidRDefault="00104A12" w:rsidP="007F7964">
      <w:pPr>
        <w:spacing w:line="360" w:lineRule="auto"/>
        <w:jc w:val="both"/>
      </w:pPr>
    </w:p>
    <w:p w:rsidR="00104A12" w:rsidRPr="004D55DA" w:rsidRDefault="00C36C6C" w:rsidP="007F7964">
      <w:pPr>
        <w:spacing w:line="360" w:lineRule="auto"/>
        <w:jc w:val="both"/>
      </w:pPr>
      <w:r>
        <w:t>Em conclusão, das</w:t>
      </w:r>
      <w:r w:rsidR="00104A12" w:rsidRPr="004D55DA">
        <w:t xml:space="preserve"> infraestruturas, constituindo-se como variáveis “hard-port”, destacam-se os fundos de acesso de navios ao porto, por via marítima, da maior relevância, por determinarem a hierarquia do porto no que respeita às condições de acesso do transporte marítimo, condicionando os navios de maiores dimensões com economias de escala e mais competitivos nos fretes, e desta forma o desempenho do porto.</w:t>
      </w:r>
      <w:r>
        <w:t xml:space="preserve"> </w:t>
      </w:r>
      <w:r w:rsidR="00104A12" w:rsidRPr="004D55DA">
        <w:t>As acessibilidades terrestres do porto, rodoviárias e ferroviárias, são outro especto fundamental, já que estas ligações determinam a facilidade de escoamento das cargas, devendo ter capacidade, qualidade e não estarem congestionadas por forma a permitir fluidez nos fluxos e ligação às redes nacionais e internacionais principais.</w:t>
      </w:r>
      <w:r>
        <w:t xml:space="preserve"> </w:t>
      </w:r>
      <w:r w:rsidR="00104A12" w:rsidRPr="004D55DA">
        <w:t>A dimensão do porto, associada à dimensão dos cais e terraplenos do porto, construídos para servir a crescente procura e ao ritmo desta, não explicando o desempenho económico, é no entanto um indicador de economias de escala e associado do efeito de aprendizagem do porto que permite melhores resultados nos restantes indicadores de desempenho, em especial na produtividade e eficiência.</w:t>
      </w:r>
      <w:r>
        <w:t xml:space="preserve"> </w:t>
      </w:r>
      <w:r w:rsidR="00104A12" w:rsidRPr="004D55DA">
        <w:t>A existência de áreas de atividades logísticas junto ao porto é uma questão muito importante para analisar a integração do porto nas cadeias logísticas terrestres, uma vez que estas atividades interagem com as mercadorias contentorizadas, preparando-as para o consumo ou para serem embarcadas, acrescentando valor na medida em que cumpre os requisitos das cadeias de abastecimento e serve de âncora destas no porto.</w:t>
      </w:r>
      <w:r>
        <w:t xml:space="preserve"> </w:t>
      </w:r>
      <w:r w:rsidR="00104A12" w:rsidRPr="004D55DA">
        <w:t>A existência de mais do que um terminal de contentores no porto em termos físicos, garante a concorrência com efeitos positivos na competitividade e no desempenho de cada um dos terminais de contentores, tratando-se de uma hipótese que importará também testar</w:t>
      </w:r>
      <w:r w:rsidR="00104A12" w:rsidRPr="004D55DA">
        <w:rPr>
          <w:rFonts w:ascii="Calibri" w:hAnsi="Calibri"/>
          <w:color w:val="000000"/>
          <w:sz w:val="40"/>
          <w:szCs w:val="40"/>
        </w:rPr>
        <w:t xml:space="preserve"> </w:t>
      </w:r>
      <w:r w:rsidR="00104A12" w:rsidRPr="004D55DA">
        <w:t xml:space="preserve">(Goss, 1990). </w:t>
      </w:r>
      <w:r w:rsidR="00104A12" w:rsidRPr="004D55DA">
        <w:br w:type="page"/>
      </w:r>
    </w:p>
    <w:p w:rsidR="00104A12" w:rsidRPr="004D55DA" w:rsidRDefault="00104A12" w:rsidP="007F7964">
      <w:pPr>
        <w:spacing w:line="360" w:lineRule="auto"/>
        <w:jc w:val="both"/>
      </w:pPr>
    </w:p>
    <w:p w:rsidR="00104A12" w:rsidRPr="004D55DA" w:rsidRDefault="00104A12" w:rsidP="00D216EA">
      <w:pPr>
        <w:pStyle w:val="Cabealho2"/>
        <w:spacing w:line="360" w:lineRule="auto"/>
        <w:ind w:left="0" w:firstLine="0"/>
        <w:jc w:val="both"/>
        <w:rPr>
          <w:sz w:val="24"/>
          <w:szCs w:val="24"/>
          <w:lang w:val="pt-PT"/>
        </w:rPr>
      </w:pPr>
      <w:bookmarkStart w:id="50" w:name="_Toc395730131"/>
      <w:r w:rsidRPr="004D55DA">
        <w:rPr>
          <w:sz w:val="24"/>
          <w:szCs w:val="24"/>
          <w:lang w:val="pt-PT"/>
        </w:rPr>
        <w:t>“Soft-port</w:t>
      </w:r>
      <w:r w:rsidR="00E40CEF">
        <w:rPr>
          <w:sz w:val="24"/>
          <w:szCs w:val="24"/>
          <w:lang w:val="pt-PT"/>
        </w:rPr>
        <w:fldChar w:fldCharType="begin"/>
      </w:r>
      <w:r w:rsidR="00E40CEF" w:rsidRPr="00E40CEF">
        <w:rPr>
          <w:lang w:val="pt-PT"/>
        </w:rPr>
        <w:instrText xml:space="preserve"> XE "</w:instrText>
      </w:r>
      <w:r w:rsidR="00E40CEF" w:rsidRPr="002B2A6D">
        <w:rPr>
          <w:sz w:val="24"/>
          <w:szCs w:val="24"/>
          <w:lang w:val="pt-PT"/>
        </w:rPr>
        <w:instrText>Soft-port</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serviço do porto</w:t>
      </w:r>
      <w:bookmarkEnd w:id="50"/>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Para além das características físicas “hard” dos portos, também as características não físicas ou de serviço dos portos ou “soft” determinam a variação do desempenho dos terminais de contentores. Incluem-se a especialização do porto e a dinâmica do porto, a autoridade portuária e a sua comunidade, as taxas portuárias e a qualidade geral dos serviços do porto, em termos de serviços marítimos de reboque e de pilotagem.</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especialização, em especial aferida pela taxa de contentorização, foi referida por Trujillo e Tovar (2007), Medda e Carbonaro (2007) e Laxe (2005), não sendo menos importante a taxa de unitização, ou seja, a quota da carga geral no total da carg</w:t>
      </w:r>
      <w:r w:rsidR="001B3B9F" w:rsidRPr="004D55DA">
        <w:t>a do porto, uma vez que espelha</w:t>
      </w:r>
      <w:r w:rsidRPr="004D55DA">
        <w:t xml:space="preserve"> o grau de evolução do porto, da fase industrial para porto </w:t>
      </w:r>
      <w:r w:rsidR="001B3B9F" w:rsidRPr="004D55DA">
        <w:t>comercial moderno</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Caldeirinha (2007) verificou que os portos ibéricos se repartem por três quadrantes de acordo com o cruzamento das variáveis, taxa de unitização da carga e dimensão do porto, o que explica uma boa parte das suas características e o seu desempenho.</w:t>
      </w:r>
      <w:r w:rsidR="00517679">
        <w:t xml:space="preserve"> O</w:t>
      </w:r>
      <w:r w:rsidRPr="004D55DA">
        <w:t>s portos com maior especialização em contentores têm habitualmente maiores níveis de receita por tonelada movimentada e por funcionário, sendo muitas vezes mais eficientes na utilização das respetivas infraestruturas de cais. Um porto especializado em graneis tem habitualmente um desempenho muito elevado em número de toneladas movimentadas e baixo desempenho em termos de receitas por toneladas e por funcionário, proporcional ao valor da carga. Já um porto não especializado, ou seja</w:t>
      </w:r>
      <w:r w:rsidR="001B3B9F" w:rsidRPr="004D55DA">
        <w:t>,</w:t>
      </w:r>
      <w:r w:rsidRPr="004D55DA">
        <w:t xml:space="preserve"> multiusos, não consegue normalmente ter elevados níveis de eficiência, uma vez que as suas infraestruturas são flexíveis e adap</w:t>
      </w:r>
      <w:r w:rsidR="001B3B9F" w:rsidRPr="004D55DA">
        <w:t>tadas a todos os tipos de carga</w:t>
      </w:r>
      <w:r w:rsidRPr="004D55DA">
        <w:t>, não se tirando o máximo rendimento de cada um d</w:t>
      </w:r>
      <w:r w:rsidR="001B3B9F" w:rsidRPr="004D55DA">
        <w:t>esses tipos</w:t>
      </w:r>
      <w:r w:rsidRPr="004D55DA">
        <w:t>, por não existirem equipamentos especializados e por ser necessária a constante adaptação dos terraplenos e</w:t>
      </w:r>
      <w:r w:rsidR="001B3B9F" w:rsidRPr="004D55DA">
        <w:t xml:space="preserve"> dos equipamentos a cada</w:t>
      </w:r>
      <w:r w:rsidRPr="004D55DA">
        <w:t xml:space="preserve"> carga, sendo habitualmente portos mais caros. Os portos pequenos em geral são mais caros por tonelada e menos eficientes</w:t>
      </w:r>
      <w:r w:rsidR="00517679" w:rsidRPr="00517679">
        <w:t xml:space="preserve"> </w:t>
      </w:r>
      <w:r w:rsidR="00517679">
        <w:t xml:space="preserve">(Caldeirinha, </w:t>
      </w:r>
      <w:r w:rsidR="00517679" w:rsidRPr="004D55DA">
        <w:t>2007)</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especialização é assim uma variável importante a analisar na sua relação com o desempenho dos portos, podendo servir para classificar os portos em grupos, com características e desempenhos distintos.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A qualidade dos serviços do porto, em termos de reboque, pilotagem e serviços das autoridades portuárias, é importante para a escolha do porto pelos armadores e pelos donos das cargas. Em 2006, Yeo e Song avaliaram a eficiência dos portos asiáticos, concluindo que as autoridades portuárias deverão privilegiar os </w:t>
      </w:r>
      <w:r w:rsidR="00136906" w:rsidRPr="004D55DA">
        <w:t>fatores</w:t>
      </w:r>
      <w:r w:rsidRPr="004D55DA">
        <w:t xml:space="preserve"> qualidade e atenção ao cliente.</w:t>
      </w:r>
      <w:r w:rsidR="00517679">
        <w:t xml:space="preserve"> </w:t>
      </w:r>
      <w:r w:rsidRPr="004D55DA">
        <w:t>A qualidade geral dos serviços do porto não inclui os serviços do próprio terminal, nem os serviços prestados ao navio e à carga no cais e no terrapleno, mas condiciona a entrada do navio e a saída da carga, bem como o despacho de ambos. Normalmente, a criação de um novo terminal de contentores de elevado nível, com serviços de elevada qualidade, implica o comprometimento do porto em elevar o nível dos seus diversos serviços gerais de apoio, para que fiquem compatíveis com o nível de serviço exigido pelos clientes do terminal.</w:t>
      </w:r>
      <w:r w:rsidR="00517679">
        <w:t xml:space="preserve"> </w:t>
      </w:r>
      <w:r w:rsidRPr="004D55DA">
        <w:t xml:space="preserve">No caso do mercado de contentores, a qualidade do serviço não é tão percebida pelo dono da carga como é pelo armador. Sendo os armadores os principais decisores na escolha das escalas nos portos, o factor de qualidade dos serviços, em termos gerais, é fundamental para a opção por este ou aquele porto, </w:t>
      </w:r>
      <w:r w:rsidR="001B3B9F" w:rsidRPr="004D55DA">
        <w:t>por</w:t>
      </w:r>
      <w:r w:rsidRPr="004D55DA">
        <w:t xml:space="preserve"> implicar maiores ou menores dispêndios de tempo. A qualidade do serviço em porto inclui subconceitos como o tempo de espera para entrar, o serviço dos pilotos na navegação e do sistema do radar de apoio VTS, a dimensão e o número de reboques, bem como a qualidade dos serviços que prestam, a coordenação da autoridade portuária com as restantes autoridades do porto, como sejam</w:t>
      </w:r>
      <w:r w:rsidR="001B3B9F" w:rsidRPr="004D55DA">
        <w:t>,</w:t>
      </w:r>
      <w:r w:rsidRPr="004D55DA">
        <w:t xml:space="preserve"> a polícia marítima, capitania, alfândega, entre outras. É ainda importante o trabalho dos agentes de navegação na intermediação da relação do armador com as autoridades e empresas do porto</w:t>
      </w:r>
      <w:r w:rsidR="00517679">
        <w:t xml:space="preserve"> (</w:t>
      </w:r>
      <w:r w:rsidR="00517679" w:rsidRPr="004D55DA">
        <w:t>Yeo</w:t>
      </w:r>
      <w:r w:rsidR="00517679">
        <w:t xml:space="preserve"> &amp; Song, 2006)</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imagem do porto parece ser muito importante para o desempenho do terminal, tendo Cheo (2007) referido a importância das estratégias de marketing, incluindo a comunicação e imagem, para a captura de novas linhas e cargas.</w:t>
      </w:r>
      <w:r w:rsidR="00517679">
        <w:t xml:space="preserve"> </w:t>
      </w:r>
      <w:r w:rsidRPr="004D55DA">
        <w:t>As comunidades portuárias são entidades muito ativas nos grandes portos modernos, servi</w:t>
      </w:r>
      <w:r w:rsidR="001B3B9F" w:rsidRPr="004D55DA">
        <w:t>n</w:t>
      </w:r>
      <w:r w:rsidRPr="004D55DA">
        <w:t>do de “locomotiva” que puxa pela qualidade e pela imagem de todo o porto e pelas autoridades públicas, lançando iniciativas na vertente do marketing e das soluções logísticas integradas, do ponto de vista geral.</w:t>
      </w:r>
      <w:r w:rsidR="00517679">
        <w:t xml:space="preserve"> </w:t>
      </w:r>
      <w:r w:rsidRPr="004D55DA">
        <w:t>As autoridades portuárias também possuem papel muito relevante enquanto gestores globais do porto em termos económicos, promovendo o porto e o seu desenvolvimento, garantindo a qualidade do serviço ao público e procurando assegurar a melhoria dos serviços comuns aos diversos terminais.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 Langen (2004) argumentou que a coordenação entre o grande grupo de atores da cadeia de “hinterland” é necessária. A qualidade de um porto depende do comportamento de muitos </w:t>
      </w:r>
      <w:r w:rsidRPr="004D55DA">
        <w:lastRenderedPageBreak/>
        <w:t>atores, incluindo operadores de terminais, transitários, operadores de contentores e autoridade portuária, coordenadora geral do porto.</w:t>
      </w:r>
      <w:r w:rsidR="00517679">
        <w:t xml:space="preserve"> </w:t>
      </w:r>
      <w:r w:rsidRPr="004D55DA">
        <w:t xml:space="preserve">A autoridade portuária como responsável pela gestão económica do porto exerce a sua influência sobre os diversos </w:t>
      </w:r>
      <w:r w:rsidR="00136906" w:rsidRPr="004D55DA">
        <w:t>fatores</w:t>
      </w:r>
      <w:r w:rsidRPr="004D55DA">
        <w:t xml:space="preserve"> de competitividade do porto, podendo ter um papel mais ou menos ativo em termos comerciais, uma política de preços/taxas mais ou menos comercial, podendo assumir um carácter mais governamental, institucional, municipal, regional ou comercial, e um perfil de gestão que influencie mais ou menos o desempenho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desempenho dos portos de “transhipment” estará ligado à segurança, às taxas de frete e portuárias e à qualidade do serviço das alfândegas (Hung </w:t>
      </w:r>
      <w:r w:rsidRPr="00D713C2">
        <w:rPr>
          <w:i/>
        </w:rPr>
        <w:t>et al</w:t>
      </w:r>
      <w:r w:rsidRPr="004D55DA">
        <w:t xml:space="preserve">., 2010). Slack (1985), Tongzon (2000), Fleming e Baird (1999), identificaram alguns dos principais </w:t>
      </w:r>
      <w:r w:rsidR="00136906" w:rsidRPr="004D55DA">
        <w:t>fatores</w:t>
      </w:r>
      <w:r w:rsidRPr="004D55DA">
        <w:t xml:space="preserve"> que influenciam o desempenho do porto</w:t>
      </w:r>
      <w:r w:rsidR="001B3B9F" w:rsidRPr="004D55DA">
        <w:t>,</w:t>
      </w:r>
      <w:r w:rsidRPr="004D55DA">
        <w:t xml:space="preserve"> como as taxas portuárias e os serviços do porto.</w:t>
      </w:r>
      <w:r w:rsidR="00517679">
        <w:t xml:space="preserve"> </w:t>
      </w:r>
      <w:r w:rsidRPr="004D55DA">
        <w:t>Um aspeto muito importante é a integração do porto com a logística terrestre, ou seja</w:t>
      </w:r>
      <w:r w:rsidR="001B3B9F" w:rsidRPr="004D55DA">
        <w:t>,</w:t>
      </w:r>
      <w:r w:rsidRPr="004D55DA">
        <w:t xml:space="preserve"> o nível de serviço prestado nas liga</w:t>
      </w:r>
      <w:r w:rsidR="001B3B9F" w:rsidRPr="004D55DA">
        <w:t>ções rodoviárias e ferroviárias e</w:t>
      </w:r>
      <w:r w:rsidRPr="004D55DA">
        <w:t xml:space="preserve"> a existência de serviços regulares de comboios de carga</w:t>
      </w:r>
      <w:r w:rsidR="001B3B9F" w:rsidRPr="004D55DA">
        <w:t>,</w:t>
      </w:r>
      <w:r w:rsidRPr="004D55DA">
        <w:t xml:space="preserve"> para zonas com portos secos distantes, que prolongam o “hinterland”.</w:t>
      </w:r>
      <w:r w:rsidR="00517679">
        <w:t xml:space="preserve"> </w:t>
      </w:r>
      <w:r w:rsidRPr="004D55DA">
        <w:t>Assim, o grau de integração do porto, como um todo na logística do “hinterland”, influencia o desempenho do terminal de contentores, quando</w:t>
      </w:r>
      <w:r w:rsidR="001B3B9F" w:rsidRPr="004D55DA">
        <w:t xml:space="preserve"> se</w:t>
      </w:r>
      <w:r w:rsidRPr="004D55DA">
        <w:t xml:space="preserve"> pretende desenvolver este tipo de mercado, não se ficando apenas pelos tráfegos de “transhipment” ou pelo “hinterland” local e cativo.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Chang </w:t>
      </w:r>
      <w:r w:rsidRPr="00D713C2">
        <w:rPr>
          <w:i/>
        </w:rPr>
        <w:t>et al.</w:t>
      </w:r>
      <w:r w:rsidRPr="004D55DA">
        <w:t xml:space="preserve"> (2008), num estudo sobre os </w:t>
      </w:r>
      <w:r w:rsidR="00136906" w:rsidRPr="004D55DA">
        <w:t>fatores</w:t>
      </w:r>
      <w:r w:rsidRPr="004D55DA">
        <w:t xml:space="preserve"> de escolha dos portos pelos armadores, definiram como principais aspetos a fiabilidade do serviço, a reputação no mundo, o papel da alfândega, a ligação terrestre e as taxas portuárias, entre outros. Woo </w:t>
      </w:r>
      <w:r w:rsidRPr="00D713C2">
        <w:rPr>
          <w:i/>
        </w:rPr>
        <w:t>et al.</w:t>
      </w:r>
      <w:r w:rsidRPr="004D55DA">
        <w:t xml:space="preserve"> (2011) definiram como </w:t>
      </w:r>
      <w:r w:rsidR="00136906" w:rsidRPr="004D55DA">
        <w:t>fatores</w:t>
      </w:r>
      <w:r w:rsidRPr="004D55DA">
        <w:t xml:space="preserve"> de sucesso de um porto a sua integração no âmbito da cadeia logística, seguindo os passos de Bichou (2007), e apontando como </w:t>
      </w:r>
      <w:r w:rsidR="00136906" w:rsidRPr="004D55DA">
        <w:t>fatores</w:t>
      </w:r>
      <w:r w:rsidRPr="004D55DA">
        <w:t xml:space="preserve"> de desempenho a qualidade do serviço, incluindo os tempos, a segurança da carga e a orientação para o cliente, as taxas totais do porto, os custos de uso da infraestrutura e dos serviços do porto, o tempo de espera do navio e o tempo do navio em porto, o número de acidentes, o tempo de espera entre modos de transporte e o valor acrescentado à carga junto ao porto.</w:t>
      </w:r>
    </w:p>
    <w:p w:rsidR="00104A12" w:rsidRPr="004D55DA" w:rsidRDefault="00104A12" w:rsidP="007F7964">
      <w:pPr>
        <w:spacing w:line="360" w:lineRule="auto"/>
        <w:jc w:val="both"/>
        <w:rPr>
          <w:b/>
        </w:rPr>
      </w:pPr>
    </w:p>
    <w:p w:rsidR="00104A12" w:rsidRPr="004D55DA" w:rsidRDefault="00104A12" w:rsidP="007F7964">
      <w:pPr>
        <w:spacing w:line="360" w:lineRule="auto"/>
        <w:jc w:val="both"/>
      </w:pPr>
      <w:r w:rsidRPr="004D55DA">
        <w:t>Em resumo, poderemos referir que as características “</w:t>
      </w:r>
      <w:r w:rsidR="001B3B9F" w:rsidRPr="004D55DA">
        <w:t>soft-port”, com influência no</w:t>
      </w:r>
      <w:r w:rsidRPr="004D55DA">
        <w:t xml:space="preserve"> desempenho dos terminais de contentores, incluem a especialização do porto em graneis ou em contentores, uma vez que esta especialização implica a existência de serviços comuns dedicados a este tipo de mer</w:t>
      </w:r>
      <w:r w:rsidR="001B3B9F" w:rsidRPr="004D55DA">
        <w:t>cado, seja dentro do porto, ou</w:t>
      </w:r>
      <w:r w:rsidRPr="004D55DA">
        <w:t xml:space="preserve"> em</w:t>
      </w:r>
      <w:r w:rsidR="001B3B9F" w:rsidRPr="004D55DA">
        <w:t xml:space="preserve"> seu redor</w:t>
      </w:r>
      <w:r w:rsidRPr="004D55DA">
        <w:t xml:space="preserve">. É ainda importante a </w:t>
      </w:r>
      <w:r w:rsidRPr="004D55DA">
        <w:lastRenderedPageBreak/>
        <w:t>qualidade dos serviços do porto, em especial os serviços de reboque e pilotagem, fundamentais para os armadores poderem estar seguros em relação ao seu navio, bem como</w:t>
      </w:r>
      <w:r w:rsidR="001B3B9F" w:rsidRPr="004D55DA">
        <w:t>,</w:t>
      </w:r>
      <w:r w:rsidRPr="004D55DA">
        <w:t xml:space="preserve"> a imagem do porto.</w:t>
      </w:r>
      <w:r w:rsidR="00517679">
        <w:t xml:space="preserve"> </w:t>
      </w:r>
      <w:r w:rsidRPr="004D55DA">
        <w:t>O dinamismo da autoridade e da comunidade portuária são considerados essenciais para o desempenho dos terminais de contentores, seja na facilitação de procedimentos e de soluções logísticas, seja na divulgação do porto e dos serviços dos terminais que nele operam. As autoridades portuárias em especial possuem um papel crucial nas dragagens do porto, na promoção das acessibilidades terrestres e na ligação física ao “hinterland”.</w:t>
      </w:r>
      <w:r w:rsidR="00517679">
        <w:t xml:space="preserve"> </w:t>
      </w:r>
      <w:r w:rsidRPr="004D55DA">
        <w:t xml:space="preserve">Uma outra questão fundamental é o facto de o porto ser gerido por entidade nomeada pelo Estado </w:t>
      </w:r>
      <w:r w:rsidR="001B3B9F" w:rsidRPr="004D55DA">
        <w:t>c</w:t>
      </w:r>
      <w:r w:rsidRPr="004D55DA">
        <w:t>entral ou pela região ou município, o que pode influenciar a ligação entre o porto e a envolvente, facilitando soluções na ligação do terminal ao “hinterland”, com influência no seu desempenho.</w:t>
      </w:r>
    </w:p>
    <w:p w:rsidR="00104A12" w:rsidRPr="004D55DA" w:rsidRDefault="00104A12" w:rsidP="007F7964">
      <w:pPr>
        <w:spacing w:line="360" w:lineRule="auto"/>
        <w:jc w:val="both"/>
      </w:pPr>
    </w:p>
    <w:p w:rsidR="001B3B9F" w:rsidRPr="004D55DA" w:rsidRDefault="00104A12" w:rsidP="007F7964">
      <w:pPr>
        <w:spacing w:line="360" w:lineRule="auto"/>
        <w:jc w:val="both"/>
      </w:pPr>
      <w:r w:rsidRPr="004D55DA">
        <w:t xml:space="preserve">Por outro lado, os portos que possuem terminais maioritariamente concessionados, possuem vantagens em termos de serviço, atraindo mais carga e navios, com efeitos no desempenho dos seus terminais, demonstrados por vários autores (Notteboom </w:t>
      </w:r>
      <w:r w:rsidRPr="00D713C2">
        <w:rPr>
          <w:i/>
        </w:rPr>
        <w:t>et al.</w:t>
      </w:r>
      <w:r w:rsidRPr="004D55DA">
        <w:t xml:space="preserve"> 2000; Notteboom, 2010; Tongzon &amp; Heng, 2005; Tongzon, 2000). Este tema da governação é desenvolvido no capítulo dedicado à organização e gestão dos terminai</w:t>
      </w:r>
      <w:r w:rsidR="00061052">
        <w:t>s.</w:t>
      </w:r>
      <w:r w:rsidRPr="004D55DA">
        <w:t xml:space="preserve"> </w:t>
      </w:r>
    </w:p>
    <w:p w:rsidR="00104A12" w:rsidRPr="004D55DA" w:rsidRDefault="00104A12" w:rsidP="007F7964">
      <w:pPr>
        <w:spacing w:line="360" w:lineRule="auto"/>
        <w:jc w:val="both"/>
      </w:pPr>
      <w:r w:rsidRPr="004D55DA">
        <w:br w:type="page"/>
      </w:r>
    </w:p>
    <w:p w:rsidR="00104A12" w:rsidRPr="004D55DA" w:rsidRDefault="00104A12" w:rsidP="00D216EA">
      <w:pPr>
        <w:pStyle w:val="Cabealho2"/>
        <w:spacing w:line="360" w:lineRule="auto"/>
        <w:ind w:left="0" w:firstLine="0"/>
        <w:jc w:val="both"/>
        <w:rPr>
          <w:sz w:val="24"/>
          <w:szCs w:val="24"/>
          <w:lang w:val="pt-PT"/>
        </w:rPr>
      </w:pPr>
      <w:bookmarkStart w:id="51" w:name="_Toc395730132"/>
      <w:r w:rsidRPr="004D55DA">
        <w:rPr>
          <w:sz w:val="24"/>
          <w:szCs w:val="24"/>
          <w:lang w:val="pt-PT"/>
        </w:rPr>
        <w:lastRenderedPageBreak/>
        <w:t>“Hard-terminal</w:t>
      </w:r>
      <w:r w:rsidR="00E40CEF">
        <w:rPr>
          <w:sz w:val="24"/>
          <w:szCs w:val="24"/>
          <w:lang w:val="pt-PT"/>
        </w:rPr>
        <w:fldChar w:fldCharType="begin"/>
      </w:r>
      <w:r w:rsidR="00E40CEF" w:rsidRPr="00E40CEF">
        <w:rPr>
          <w:lang w:val="pt-PT"/>
        </w:rPr>
        <w:instrText xml:space="preserve"> XE "</w:instrText>
      </w:r>
      <w:r w:rsidR="00E40CEF" w:rsidRPr="00675336">
        <w:rPr>
          <w:sz w:val="24"/>
          <w:szCs w:val="24"/>
          <w:lang w:val="pt-PT"/>
        </w:rPr>
        <w:instrText>Hard-terminal</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infraestrutura do terminal</w:t>
      </w:r>
      <w:bookmarkEnd w:id="51"/>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Para além das características do porto em termos “hard” e “soft”, as características dos próprios terminais são fundamentais para o desempenho dos terminais de contentores, nas vertentes física e não física. Na vertente física ou “hard” do terminal, verificam-se como principais variáveis os fundos do cais, dimensão do cais, equipamentos de cais e de parque, bem como</w:t>
      </w:r>
      <w:r w:rsidR="00227B07" w:rsidRPr="004D55DA">
        <w:t>,</w:t>
      </w:r>
      <w:r w:rsidRPr="004D55DA">
        <w:t xml:space="preserve"> a largura e “</w:t>
      </w:r>
      <w:r w:rsidR="00136906">
        <w:t>layout</w:t>
      </w:r>
      <w:r w:rsidRPr="004D55DA">
        <w:t>” do terrapleno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investimento portuário em infraestruturas</w:t>
      </w:r>
      <w:r w:rsidR="00227B07" w:rsidRPr="004D55DA">
        <w:t>,</w:t>
      </w:r>
      <w:r w:rsidRPr="004D55DA">
        <w:t xml:space="preserve"> e a intensidade do capital nos portos</w:t>
      </w:r>
      <w:r w:rsidR="00227B07" w:rsidRPr="004D55DA">
        <w:t>,</w:t>
      </w:r>
      <w:r w:rsidRPr="004D55DA">
        <w:t xml:space="preserve"> tem sido muitas vezes factor explicativo </w:t>
      </w:r>
      <w:r w:rsidR="00227B07" w:rsidRPr="004D55DA">
        <w:t>d</w:t>
      </w:r>
      <w:r w:rsidRPr="004D55DA">
        <w:t xml:space="preserve">as diferenças de desempenho e eficiência nos portos (Liu, 1995), uma vez que, sem as infraestruturas e capacidade de oferta que permitem, não seria possível ter um movimento elevado de navios e cargas. Um grande movimento de navios apenas é possível com a existência de cais e equipamentos suficientes, </w:t>
      </w:r>
      <w:r w:rsidR="00227B07" w:rsidRPr="004D55DA">
        <w:t>evitando</w:t>
      </w:r>
      <w:r w:rsidRPr="004D55DA">
        <w:t xml:space="preserve"> elevados tempos de espera.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Por outro lado, um nível elevado de eficiência na utilização do porto, que permita ter uma posição competitiva no sector portuário, implica dispor de adequadas infraestruturas e superestruturas exploradas de forma intensiva, facilitadoras da exploração dos investimentos com elevados padrões de desempenho.</w:t>
      </w:r>
      <w:r w:rsidR="00517679">
        <w:t xml:space="preserve"> </w:t>
      </w:r>
      <w:r w:rsidRPr="004D55DA">
        <w:t xml:space="preserve">Em 1996, Sachish concluiu que o investimento em capital é um dos principais </w:t>
      </w:r>
      <w:r w:rsidR="00136906" w:rsidRPr="004D55DA">
        <w:t>fatores</w:t>
      </w:r>
      <w:r w:rsidRPr="004D55DA">
        <w:t xml:space="preserve"> que afetam a produtividade dos portos de Israel. Verificou que a dimensão da atividade e o investimento em capital são das principais influências na produtividade. Não só interessa o montante de capital investido, mas também a qualidade desses investimentos, a sua utilização e adequação às necessidades do mercado e da procura, nos “timings” mais corretos.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Onut </w:t>
      </w:r>
      <w:r w:rsidRPr="00D713C2">
        <w:rPr>
          <w:i/>
        </w:rPr>
        <w:t>et al.</w:t>
      </w:r>
      <w:r w:rsidRPr="004D55DA">
        <w:t xml:space="preserve"> (2011) referiram como determinantes do desempenho dos portos e terminais, as características físicas dos terminais, infraestrutura e equipamento. Bruce </w:t>
      </w:r>
      <w:r w:rsidRPr="00D713C2">
        <w:rPr>
          <w:i/>
        </w:rPr>
        <w:t>et al.</w:t>
      </w:r>
      <w:r w:rsidRPr="004D55DA">
        <w:t xml:space="preserve"> (2008) referiram as instalações, as ligações ao transporte ferroviário e rodoviário e as características dos fundos do cais.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principais infraestruturas dos terminais de contentores incluem o cais, terrapleno, áreas logísticas, áreas de transferência, portaria, caminho-de-ferro, entre outros (Lun &amp; Cariou, 2009).</w:t>
      </w:r>
    </w:p>
    <w:p w:rsidR="00104A12" w:rsidRPr="004D55DA" w:rsidRDefault="00104A12" w:rsidP="007F7964">
      <w:pPr>
        <w:spacing w:line="360" w:lineRule="auto"/>
        <w:jc w:val="both"/>
      </w:pPr>
    </w:p>
    <w:p w:rsidR="00104A12" w:rsidRPr="004D55DA" w:rsidRDefault="00227B07" w:rsidP="007F7964">
      <w:pPr>
        <w:spacing w:line="360" w:lineRule="auto"/>
        <w:jc w:val="both"/>
      </w:pPr>
      <w:r w:rsidRPr="004D55DA">
        <w:t>• Cais: o</w:t>
      </w:r>
      <w:r w:rsidR="00104A12" w:rsidRPr="004D55DA">
        <w:t xml:space="preserve"> cais é uma infraestrutura essencial onde os navios atracam para descarregar e carregar contentores. A capacidade e o comprimento do cais variam com o comprimento e dimensão dos navios, com entre 100 a 350 metros e calados de 7 a 17,5 m, pelo que o cais tem que ter condições adequadas para receber o maior navio alvo no mercado, considerando a posição do porto na hierarquia das rotas marítimas e dos navios;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 Pórticos de cais: </w:t>
      </w:r>
      <w:r w:rsidR="00227B07" w:rsidRPr="004D55DA">
        <w:t>o</w:t>
      </w:r>
      <w:r w:rsidRPr="004D55DA">
        <w:t xml:space="preserve"> cais deve ter guindastes especializados de pórtico lateral para movimentar os contentores entre o navio e o cais com grande produtividade, embora existam terminais com guindastes multiusos, menos produtivos, e mesmo cais sem equipamento de movimentação vertical, servindo-se dos braços de carga do próprio navio para realizar os movimentos dos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 Terrapleno: a área de parqueamento do terrapleno normalmente ocupa cerca de 60% a 70% da área total do terminal, sendo o resto para circulação e outras funções. É usada principalmente para armazenar contentores em altura, à espera do movimento para o cais ou para o modo de transporte terrestre/marítimo. O terrapleno deve ter profundidade suficiente para armazenar a carga de passagem, pelo tempo necessário, de todos os navios que demandam a frente ao cais que serve no terminal, sem constrangimentos e com facilidade e rapidez de manipulação.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Quanto maiores os navios servidos, maior deve ser a profundidade do terrapleno. O terrapleno deve estar munido de equipamento de parqueamento de contentores, empilhadores frontais, empilhadores com pórtico ou pórticos de parque com rodas ou carris, dependendo do tipo de armazenagem;</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Área logística: alguns terminais possuem áreas logísticas para consolidação e desconsolidação de contentores ou outras operações logísticas de valor acrescentado à carga do contentor. Em Portugal, não existem usualmente estas funções logísticas no terminal de contentores devido ao custo da mão-de-obra portuária, que tem o exclusivo do trabalho com a carga no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Área de interface: esta área permite a espera e a carga de veículos rodoviários e comboios;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Portaria: a portaria controla os contentores que saem e entram no terminal e controla os fluxos rodoviários;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 Outros: existem ainda edifícios de administração, áreas de circulação e oficinas de manutenção.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Kim e Sachish (1986) verificaram o impacto do investimento em capital no desempenho do porto de Ashdod (Israel), tendo encontrado uma relação entre o investimento na tecnologia de movimentação dos contentores e o aumento do desempenho.</w:t>
      </w:r>
      <w:r w:rsidR="00517679">
        <w:t xml:space="preserve"> </w:t>
      </w:r>
      <w:r w:rsidRPr="004D55DA">
        <w:t xml:space="preserve">Mais uma vez importa saber, no caso das infraestruturas, que tipo de medida de desempenho interessa. O movimento portuário absoluto, como é utilizado por muito autores, ou as receitas do porto ou da autoridade portuária ou a eficiência entre </w:t>
      </w:r>
      <w:r w:rsidR="00061052">
        <w:t>“</w:t>
      </w:r>
      <w:r w:rsidRPr="004D55DA">
        <w:t>inputs</w:t>
      </w:r>
      <w:r w:rsidR="00061052">
        <w:t>”</w:t>
      </w:r>
      <w:r w:rsidRPr="004D55DA">
        <w:t xml:space="preserve"> e </w:t>
      </w:r>
      <w:r w:rsidR="00061052">
        <w:t>“</w:t>
      </w:r>
      <w:r w:rsidRPr="004D55DA">
        <w:t>outputs</w:t>
      </w:r>
      <w:r w:rsidR="00061052">
        <w:t>”</w:t>
      </w:r>
      <w:r w:rsidRPr="004D55DA">
        <w:t>, uma vez que nem todos os portos procuram maximizar todos estes outputs de desempenho. O nível de investimento pode, por exemplo, proporcionar um elevado desempenho absoluto, mas condicionar a eficiência do porto e assim a sua capacidade de atrair navios e cargas.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capacidade do cais é uma variável de </w:t>
      </w:r>
      <w:r w:rsidR="00061052">
        <w:t>“</w:t>
      </w:r>
      <w:r w:rsidRPr="004D55DA">
        <w:t>input</w:t>
      </w:r>
      <w:r w:rsidR="00061052">
        <w:t>”</w:t>
      </w:r>
      <w:r w:rsidRPr="004D55DA">
        <w:t xml:space="preserve"> muito importante para a eficiência, que foi estudada por Park e De (2004), como </w:t>
      </w:r>
      <w:r w:rsidR="00061052">
        <w:t>“</w:t>
      </w:r>
      <w:r w:rsidRPr="004D55DA">
        <w:t>input</w:t>
      </w:r>
      <w:r w:rsidR="00061052">
        <w:t>”</w:t>
      </w:r>
      <w:r w:rsidRPr="004D55DA">
        <w:t xml:space="preserve"> e factor de produção que se relacionada com o resultado de </w:t>
      </w:r>
      <w:r w:rsidR="00061052">
        <w:t>“</w:t>
      </w:r>
      <w:r w:rsidRPr="004D55DA">
        <w:t>output</w:t>
      </w:r>
      <w:r w:rsidR="00061052">
        <w:t>”</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Hung </w:t>
      </w:r>
      <w:r w:rsidRPr="00D713C2">
        <w:rPr>
          <w:i/>
        </w:rPr>
        <w:t>et al.</w:t>
      </w:r>
      <w:r w:rsidRPr="004D55DA">
        <w:t xml:space="preserve"> (2010) utilizaram como variáveis a área do terrapleno do terminal, pórticos de cais, postos de acostagem do cais e comprimento cais. Na análise da eficiência DEA, vários autores utilizam como variáveis a área do terminal e o comprimento de cais, para representar o factor produtivo "terra", e o número de pórticos de cais, pórticos de parque e </w:t>
      </w:r>
      <w:r w:rsidR="00061052">
        <w:t>“</w:t>
      </w:r>
      <w:r w:rsidRPr="004D55DA">
        <w:t>reach stackers</w:t>
      </w:r>
      <w:r w:rsidR="00061052">
        <w:t>”</w:t>
      </w:r>
      <w:r w:rsidRPr="004D55DA">
        <w:t xml:space="preserve">, para representar o factor produtivo "capital".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Wu </w:t>
      </w:r>
      <w:r w:rsidRPr="00D713C2">
        <w:rPr>
          <w:i/>
        </w:rPr>
        <w:t>et al</w:t>
      </w:r>
      <w:r w:rsidRPr="004D55DA">
        <w:t>. (2010) utilizaram a capacidade do equipamento de parque, número de cais ou postos de acostagem, área do terminal e capacidade de armazenamento, para captar as variáveis da infraestrutura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Em 2007, Garcia-Alonso e Martin-Bofarull, num estudo efetuado sobre a evolução da eficiência relativa e dos “hinterlands” dos portos de Valência e Bilbao, durante um período de grandes investimentos nas duas infraestruturas, verificaram que nem sempre o mesmo nível de investimento em infraestruturas conduz a melhorias equivalentes no desempenho, sendo </w:t>
      </w:r>
      <w:r w:rsidRPr="004D55DA">
        <w:lastRenderedPageBreak/>
        <w:t xml:space="preserve">necessário estudar outros </w:t>
      </w:r>
      <w:r w:rsidR="00136906" w:rsidRPr="004D55DA">
        <w:t>fatores</w:t>
      </w:r>
      <w:r w:rsidRPr="004D55DA">
        <w:t xml:space="preserve"> relacionados com a localização, integração nas cadeias logísticas e “hinterlands”, entre outros.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Aqueles autores referem a necessidade de se desenvolverem ações de marketing para atrair mais negócios para o porto, ou seja, não se deve apenas investir em infraestruturas, mas igualmente noutras vertentes mais “soft”, como por exemplo integrar-se em redes logísticas internacionais (Ng &amp; Lee, 2006).</w:t>
      </w:r>
      <w:r w:rsidR="00517679">
        <w:t xml:space="preserve"> </w:t>
      </w:r>
      <w:r w:rsidRPr="004D55DA">
        <w:t>A infraestrutura parece ser uma variável importante para explicar o nível de desempenho do terminal de contentores, mas deve ser conjugada com as restantes variáveis, pois não é condição suficiente para explicar o desempenho portuário.</w:t>
      </w:r>
    </w:p>
    <w:p w:rsidR="00104A12" w:rsidRPr="004D55DA" w:rsidRDefault="00104A12" w:rsidP="007F7964">
      <w:pPr>
        <w:spacing w:line="360" w:lineRule="auto"/>
        <w:jc w:val="both"/>
        <w:rPr>
          <w:b/>
        </w:rPr>
      </w:pPr>
    </w:p>
    <w:p w:rsidR="00104A12" w:rsidRPr="004D55DA" w:rsidRDefault="006F5033" w:rsidP="007F7964">
      <w:pPr>
        <w:spacing w:line="360" w:lineRule="auto"/>
        <w:jc w:val="both"/>
      </w:pPr>
      <w:r w:rsidRPr="004D55DA">
        <w:t>Em resumo, c</w:t>
      </w:r>
      <w:r w:rsidR="00104A12" w:rsidRPr="004D55DA">
        <w:t xml:space="preserve">omo variáveis “hard-terminal” </w:t>
      </w:r>
      <w:r w:rsidRPr="004D55DA">
        <w:t>identifica-se</w:t>
      </w:r>
      <w:r w:rsidR="00104A12" w:rsidRPr="004D55DA">
        <w:t xml:space="preserve"> a profundidade do cais que condiciona o tipo e dimensão do</w:t>
      </w:r>
      <w:r w:rsidRPr="004D55DA">
        <w:t>s navios que nele podem acostar</w:t>
      </w:r>
      <w:r w:rsidR="00104A12" w:rsidRPr="004D55DA">
        <w:t xml:space="preserve"> e</w:t>
      </w:r>
      <w:r w:rsidRPr="004D55DA">
        <w:t>,</w:t>
      </w:r>
      <w:r w:rsidR="00104A12" w:rsidRPr="004D55DA">
        <w:t xml:space="preserve"> assim</w:t>
      </w:r>
      <w:r w:rsidRPr="004D55DA">
        <w:t>,</w:t>
      </w:r>
      <w:r w:rsidR="00104A12" w:rsidRPr="004D55DA">
        <w:t xml:space="preserve"> a hierarquia do mercado a que o terminal específico pode aceder.</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dimensão mínima do cais do terminal é um aspeto crítico, já que um reduzido número de postos de acostagem implica maior dificuldade na acostagem originando tempos de espera que podem não ser aceitáveis para as linhas regulares, que têm que cumprir rigorosos horários (Sharma &amp; Yu, 2009; Cullinane &amp; Wang, 2010; Hung </w:t>
      </w:r>
      <w:r w:rsidRPr="00D713C2">
        <w:rPr>
          <w:i/>
        </w:rPr>
        <w:t>et al</w:t>
      </w:r>
      <w:r w:rsidRPr="004D55DA">
        <w:t xml:space="preserve">., 2010; Wu </w:t>
      </w:r>
      <w:r w:rsidRPr="00D713C2">
        <w:rPr>
          <w:i/>
        </w:rPr>
        <w:t>et al</w:t>
      </w:r>
      <w:r w:rsidRPr="004D55DA">
        <w:t>.,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tipo, capacidade e qualidade do equipamento portuário de cais, pórticos de cais, e do equipamento de parque, empilhadores ou pórticos, são determinantes da produtividade e da capacidade do cais e do terrapleno, condicionando os ritmos de carga e descarga de navios, o que pode afetar o desempenho do terminal (Sharma &amp; Yu, 2009; Cullinane &amp; Wang, 2010; Onut </w:t>
      </w:r>
      <w:r w:rsidRPr="00D713C2">
        <w:rPr>
          <w:i/>
        </w:rPr>
        <w:t>et a</w:t>
      </w:r>
      <w:r w:rsidRPr="004D55DA">
        <w:t xml:space="preserve">l., 2011; Hung </w:t>
      </w:r>
      <w:r w:rsidRPr="00D713C2">
        <w:rPr>
          <w:i/>
        </w:rPr>
        <w:t>et al</w:t>
      </w:r>
      <w:r w:rsidRPr="004D55DA">
        <w:t xml:space="preserve">., 2010; Wu </w:t>
      </w:r>
      <w:r w:rsidRPr="00D713C2">
        <w:rPr>
          <w:i/>
        </w:rPr>
        <w:t>et al</w:t>
      </w:r>
      <w:r w:rsidRPr="004D55DA">
        <w:t xml:space="preserve">., 2010; Turnar </w:t>
      </w:r>
      <w:r w:rsidRPr="00D713C2">
        <w:rPr>
          <w:i/>
        </w:rPr>
        <w:t>et al</w:t>
      </w:r>
      <w:r w:rsidRPr="004D55DA">
        <w:t>., 2004).</w:t>
      </w:r>
      <w:r w:rsidR="00517679">
        <w:t xml:space="preserve"> </w:t>
      </w:r>
      <w:r w:rsidRPr="004D55DA">
        <w:t>Um adequado “</w:t>
      </w:r>
      <w:r w:rsidR="00136906">
        <w:t>layout</w:t>
      </w:r>
      <w:r w:rsidRPr="004D55DA">
        <w:t>” do terminal pode facilitar a produtividade e a capacidade deste, com influência no seu desempenho e na qualidade dos serviços. Também a largura do terrapleno está diretamente relacionada com o equipamento de parque utilizado, capacidade do terrapleno, velocidade de armazenagem e dimensão dos navios que o terminal pode servir de cada vez, com influência no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dimensão máxima dos navios admissível no cais do terminal, em termos de fundos de acesso e comprimento do cais, é característica do terminal de contentores que condiciona o desempenho</w:t>
      </w:r>
      <w:r w:rsidRPr="004D55DA">
        <w:rPr>
          <w:rFonts w:ascii="Calibri" w:hAnsi="Calibri"/>
          <w:color w:val="000000"/>
          <w:sz w:val="36"/>
          <w:szCs w:val="36"/>
        </w:rPr>
        <w:t xml:space="preserve"> </w:t>
      </w:r>
      <w:r w:rsidRPr="004D55DA">
        <w:t xml:space="preserve">(Acochrane, 2008; Veldman </w:t>
      </w:r>
      <w:r w:rsidRPr="00D713C2">
        <w:rPr>
          <w:i/>
        </w:rPr>
        <w:t>et al</w:t>
      </w:r>
      <w:r w:rsidRPr="004D55DA">
        <w:t xml:space="preserve">., 2011; Turner </w:t>
      </w:r>
      <w:r w:rsidRPr="00D713C2">
        <w:rPr>
          <w:i/>
        </w:rPr>
        <w:t>et al</w:t>
      </w:r>
      <w:r w:rsidRPr="004D55DA">
        <w:t xml:space="preserve">., 2004; Hung </w:t>
      </w:r>
      <w:r w:rsidRPr="00D713C2">
        <w:rPr>
          <w:i/>
        </w:rPr>
        <w:t>et al</w:t>
      </w:r>
      <w:r w:rsidRPr="004D55DA">
        <w:t>.,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É ainda importante a ligação do terminal às redes rodoferroviárias no interface, bem como</w:t>
      </w:r>
      <w:r w:rsidR="006F5033" w:rsidRPr="004D55DA">
        <w:t>,</w:t>
      </w:r>
      <w:r w:rsidRPr="004D55DA">
        <w:t xml:space="preserve"> a ligação massificada, em ferrovia, a terminais de segunda linha, que permite alargar o “hinterland” do terminal</w:t>
      </w:r>
      <w:r w:rsidRPr="004D55DA">
        <w:rPr>
          <w:rFonts w:ascii="Calibri" w:hAnsi="Calibri"/>
          <w:color w:val="000000"/>
          <w:sz w:val="36"/>
          <w:szCs w:val="36"/>
        </w:rPr>
        <w:t xml:space="preserve"> </w:t>
      </w:r>
      <w:r w:rsidRPr="004D55DA">
        <w:t xml:space="preserve">(Juang &amp; Roe, 2010; Chang </w:t>
      </w:r>
      <w:r w:rsidRPr="00D713C2">
        <w:rPr>
          <w:i/>
        </w:rPr>
        <w:t>et al</w:t>
      </w:r>
      <w:r w:rsidRPr="004D55DA">
        <w:t xml:space="preserve">., 2008; Bruce </w:t>
      </w:r>
      <w:r w:rsidRPr="00D713C2">
        <w:rPr>
          <w:i/>
        </w:rPr>
        <w:t>et al</w:t>
      </w:r>
      <w:r w:rsidRPr="004D55DA">
        <w:t xml:space="preserve">., 2008; Tongzon </w:t>
      </w:r>
      <w:r w:rsidRPr="00D713C2">
        <w:rPr>
          <w:i/>
        </w:rPr>
        <w:t>et al</w:t>
      </w:r>
      <w:r w:rsidRPr="004D55DA">
        <w:t>., 2009; Panayedes &amp; Song, 2011; Panayedes &amp; Song,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br w:type="page"/>
      </w:r>
    </w:p>
    <w:p w:rsidR="00104A12" w:rsidRPr="004D55DA" w:rsidRDefault="00104A12" w:rsidP="00D216EA">
      <w:pPr>
        <w:pStyle w:val="Cabealho2"/>
        <w:spacing w:line="360" w:lineRule="auto"/>
        <w:ind w:left="0" w:firstLine="0"/>
        <w:jc w:val="both"/>
        <w:rPr>
          <w:sz w:val="24"/>
          <w:szCs w:val="24"/>
          <w:lang w:val="pt-PT"/>
        </w:rPr>
      </w:pPr>
      <w:bookmarkStart w:id="52" w:name="_Toc395730133"/>
      <w:r w:rsidRPr="004D55DA">
        <w:rPr>
          <w:sz w:val="24"/>
          <w:szCs w:val="24"/>
          <w:lang w:val="pt-PT"/>
        </w:rPr>
        <w:lastRenderedPageBreak/>
        <w:t>“Softsea-terminal</w:t>
      </w:r>
      <w:r w:rsidR="00E40CEF">
        <w:rPr>
          <w:sz w:val="24"/>
          <w:szCs w:val="24"/>
          <w:lang w:val="pt-PT"/>
        </w:rPr>
        <w:fldChar w:fldCharType="begin"/>
      </w:r>
      <w:r w:rsidR="00E40CEF" w:rsidRPr="00E40CEF">
        <w:rPr>
          <w:lang w:val="pt-PT"/>
        </w:rPr>
        <w:instrText xml:space="preserve"> XE "</w:instrText>
      </w:r>
      <w:r w:rsidR="00E40CEF" w:rsidRPr="00E44F71">
        <w:rPr>
          <w:sz w:val="24"/>
          <w:szCs w:val="24"/>
          <w:lang w:val="pt-PT"/>
        </w:rPr>
        <w:instrText>Softsea-terminal</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serviço marítimo do terminal</w:t>
      </w:r>
      <w:bookmarkEnd w:id="52"/>
    </w:p>
    <w:p w:rsidR="00D216EA" w:rsidRDefault="00D216EA" w:rsidP="007F7964">
      <w:pPr>
        <w:spacing w:line="360" w:lineRule="auto"/>
        <w:jc w:val="both"/>
        <w:rPr>
          <w:rFonts w:eastAsia="Arial Unicode MS"/>
        </w:rPr>
      </w:pPr>
    </w:p>
    <w:p w:rsidR="00D216EA" w:rsidRPr="004D55DA" w:rsidRDefault="00D216EA" w:rsidP="007F7964">
      <w:pPr>
        <w:spacing w:line="360" w:lineRule="auto"/>
        <w:jc w:val="both"/>
        <w:rPr>
          <w:rFonts w:eastAsia="Arial Unicode MS"/>
        </w:rPr>
      </w:pPr>
    </w:p>
    <w:p w:rsidR="00104A12" w:rsidRPr="004D55DA" w:rsidRDefault="00104A12" w:rsidP="007F7964">
      <w:pPr>
        <w:spacing w:line="360" w:lineRule="auto"/>
        <w:jc w:val="both"/>
      </w:pPr>
      <w:r w:rsidRPr="004D55DA">
        <w:t xml:space="preserve">No âmbito </w:t>
      </w:r>
      <w:r w:rsidR="006F5033" w:rsidRPr="004D55DA">
        <w:t>das características “s</w:t>
      </w:r>
      <w:r w:rsidRPr="004D55DA">
        <w:t xml:space="preserve">oft-terminal”, procedeu-se à </w:t>
      </w:r>
      <w:r w:rsidR="006F5033" w:rsidRPr="004D55DA">
        <w:t xml:space="preserve">sua </w:t>
      </w:r>
      <w:r w:rsidR="00136906" w:rsidRPr="004D55DA">
        <w:t>subdivisão</w:t>
      </w:r>
      <w:r w:rsidRPr="004D55DA">
        <w:t xml:space="preserve"> </w:t>
      </w:r>
      <w:r w:rsidR="006F5033" w:rsidRPr="004D55DA">
        <w:t xml:space="preserve">em três </w:t>
      </w:r>
      <w:r w:rsidR="00136906" w:rsidRPr="004D55DA">
        <w:t>fatores</w:t>
      </w:r>
      <w:r w:rsidR="006F5033" w:rsidRPr="004D55DA">
        <w:t>:</w:t>
      </w:r>
      <w:r w:rsidRPr="004D55DA">
        <w:t xml:space="preserve"> “</w:t>
      </w:r>
      <w:r w:rsidR="006F5033" w:rsidRPr="004D55DA">
        <w:t>s</w:t>
      </w:r>
      <w:r w:rsidRPr="004D55DA">
        <w:t>oftlogis-terminal”, relativo aos serviços do terminal e integração logística na cadeia de abastecimento; “</w:t>
      </w:r>
      <w:r w:rsidR="006F5033" w:rsidRPr="004D55DA">
        <w:t>s</w:t>
      </w:r>
      <w:r w:rsidRPr="004D55DA">
        <w:t>oftorg-terminal”, relativ</w:t>
      </w:r>
      <w:r w:rsidR="006F5033" w:rsidRPr="004D55DA">
        <w:t>o</w:t>
      </w:r>
      <w:r w:rsidRPr="004D55DA">
        <w:t xml:space="preserve"> à gestão e organ</w:t>
      </w:r>
      <w:r w:rsidR="006F5033" w:rsidRPr="004D55DA">
        <w:t>ização do próprio terminal; e “s</w:t>
      </w:r>
      <w:r w:rsidRPr="004D55DA">
        <w:t>oftsea-terminal”, relativo aos serviços de transporte marítimo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 que respeita aos serviços de transporte marítimo do terminal, segundo Tongzon (2002), a frequência dos navios permite aos carregadores uma maior escolha e flexibilidade e menores “transit times”, levando a melhor desempenho. Refer</w:t>
      </w:r>
      <w:r w:rsidR="006F5033" w:rsidRPr="004D55DA">
        <w:t>e,</w:t>
      </w:r>
      <w:r w:rsidRPr="004D55DA">
        <w:t xml:space="preserve"> ainda</w:t>
      </w:r>
      <w:r w:rsidR="006F5033" w:rsidRPr="004D55DA">
        <w:t>,</w:t>
      </w:r>
      <w:r w:rsidRPr="004D55DA">
        <w:t xml:space="preserve"> </w:t>
      </w:r>
      <w:r w:rsidR="00136906" w:rsidRPr="004D55DA">
        <w:t>fatores</w:t>
      </w:r>
      <w:r w:rsidRPr="004D55DA">
        <w:t xml:space="preserve"> como a produtividade das linhas, reflexos das taxas portuárias nos serviços marítimos e tempos de espera, </w:t>
      </w:r>
      <w:r w:rsidR="006F5033" w:rsidRPr="004D55DA">
        <w:t>por</w:t>
      </w:r>
      <w:r w:rsidRPr="004D55DA">
        <w:t xml:space="preserve"> determina</w:t>
      </w:r>
      <w:r w:rsidR="006F5033" w:rsidRPr="004D55DA">
        <w:t xml:space="preserve">rem </w:t>
      </w:r>
      <w:r w:rsidRPr="004D55DA">
        <w:t xml:space="preserve">a escolha do porto pelos armadores, </w:t>
      </w:r>
      <w:r w:rsidR="006F5033" w:rsidRPr="004D55DA">
        <w:t>com influência no</w:t>
      </w:r>
      <w:r w:rsidRPr="004D55DA">
        <w:t xml:space="preserve">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Em 2002, Tongzon, estudou as determinantes da performance portuária e da escolha dos portos, tendo </w:t>
      </w:r>
      <w:r w:rsidR="006F5033" w:rsidRPr="004D55DA">
        <w:t>identificado</w:t>
      </w:r>
      <w:r w:rsidRPr="004D55DA">
        <w:t xml:space="preserve"> o equipamento, frequência dos navios, infraestrutura, localização, tarifas e produtividade, bem como</w:t>
      </w:r>
      <w:r w:rsidR="006F5033" w:rsidRPr="004D55DA">
        <w:t>,</w:t>
      </w:r>
      <w:r w:rsidRPr="004D55DA">
        <w:t xml:space="preserve"> o tempo de trânsito e o tempo de espera dos navios no porto</w:t>
      </w:r>
      <w:r w:rsidR="006F5033" w:rsidRPr="004D55DA">
        <w:t>.</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seu estudo de 1995, Tongzon referiu a frequência dos navios de linha e as rotas que passam pelo porto, como importantes </w:t>
      </w:r>
      <w:r w:rsidR="00136906" w:rsidRPr="004D55DA">
        <w:t>fatores</w:t>
      </w:r>
      <w:r w:rsidRPr="004D55DA">
        <w:t xml:space="preserve"> de escolha do porto e do seu desempenho, bem como</w:t>
      </w:r>
      <w:r w:rsidR="006F5033" w:rsidRPr="004D55DA">
        <w:t>,</w:t>
      </w:r>
      <w:r w:rsidRPr="004D55DA">
        <w:t xml:space="preserve"> a importância das economias de escala dos navios de maior dimensão </w:t>
      </w:r>
      <w:r w:rsidR="006F5033" w:rsidRPr="004D55DA">
        <w:t>para o</w:t>
      </w:r>
      <w:r w:rsidRPr="004D55DA">
        <w:t xml:space="preserve">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linhas determinam os portos que escalam com base nas parcerias que têm e nas redes logísticas que integram (Tongzon &amp; Heng, 2005), sendo importante a integração dos portos nos serviços marítimos, designadamente nas ligações de operadores globais aos principais portos mundiais, sendo fulcral o nível de integração nas redes logísticas dos grandes armadores.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Veldman e Buckmann (2003) procuraram explicar as quotas de mercado dos portos do norte da Europa e o seu desempenho, utilizando </w:t>
      </w:r>
      <w:r w:rsidR="00136906" w:rsidRPr="004D55DA">
        <w:t>fatores</w:t>
      </w:r>
      <w:r w:rsidRPr="004D55DA">
        <w:t xml:space="preserve"> como a frequência e tempo de trânsito dos navios, preços de frete e preços do terminal e do transporte terrestre. Turner </w:t>
      </w:r>
      <w:r w:rsidRPr="00D713C2">
        <w:rPr>
          <w:i/>
        </w:rPr>
        <w:t>et al.</w:t>
      </w:r>
      <w:r w:rsidRPr="004D55DA">
        <w:t xml:space="preserve"> (2004) </w:t>
      </w:r>
      <w:r w:rsidRPr="004D55DA">
        <w:lastRenderedPageBreak/>
        <w:t>estudaram o impacto do tipo de serviços marítimos e equipamento portuário no desempenho dos portos.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frequência dos navios de linha regular e a dimensão dos navios que escalam o terminal são importantes determinantes da eficiência do terminal, uma vez que definem o serviço que presta</w:t>
      </w:r>
      <w:r w:rsidR="006F5033" w:rsidRPr="004D55DA">
        <w:t>m</w:t>
      </w:r>
      <w:r w:rsidRPr="004D55DA">
        <w:t xml:space="preserve"> aos clientes finais e à carga, bem como</w:t>
      </w:r>
      <w:r w:rsidR="006F5033" w:rsidRPr="004D55DA">
        <w:t>,</w:t>
      </w:r>
      <w:r w:rsidRPr="004D55DA">
        <w:t xml:space="preserve"> o valor que acrescenta aos clientes.</w:t>
      </w:r>
      <w:r w:rsidR="00517679">
        <w:t xml:space="preserve"> </w:t>
      </w:r>
      <w:r w:rsidRPr="004D55DA">
        <w:t>A criação de uma linha regular implica a predeterminação de horários, portos de origem e destino, fretes pré-estabelecidos, integração com cadeias de transporte terrestre e marítimo complementares. A escala de um terminal por maior número de linhas regulares</w:t>
      </w:r>
      <w:r w:rsidR="006F5033" w:rsidRPr="004D55DA">
        <w:t>,</w:t>
      </w:r>
      <w:r w:rsidRPr="004D55DA">
        <w:t xml:space="preserve"> com frequência semanal ou várias vezes por semana, é potenciadora de cargas, elevando o nível de desempenho do terminal, p</w:t>
      </w:r>
      <w:r w:rsidR="006F5033" w:rsidRPr="004D55DA">
        <w:t>or</w:t>
      </w:r>
      <w:r w:rsidRPr="004D55DA">
        <w:t xml:space="preserve"> o dono da carga pode</w:t>
      </w:r>
      <w:r w:rsidR="006F5033" w:rsidRPr="004D55DA">
        <w:t>r</w:t>
      </w:r>
      <w:r w:rsidRPr="004D55DA">
        <w:t xml:space="preserve"> planear os envios de mercadorias</w:t>
      </w:r>
      <w:r w:rsidR="006F5033" w:rsidRPr="004D55DA">
        <w:t xml:space="preserve"> e </w:t>
      </w:r>
      <w:r w:rsidRPr="004D55DA">
        <w:t>minimizar</w:t>
      </w:r>
      <w:r w:rsidR="006F5033" w:rsidRPr="004D55DA">
        <w:t xml:space="preserve"> os</w:t>
      </w:r>
      <w:r w:rsidRPr="004D55DA">
        <w:t xml:space="preserve"> tempos de espera e custos </w:t>
      </w:r>
      <w:r w:rsidR="006F5033" w:rsidRPr="004D55DA">
        <w:t>com</w:t>
      </w:r>
      <w:r w:rsidRPr="004D55DA">
        <w:t xml:space="preserve"> o transporte marítimo, beneficiando de maior gama de destinos diretos frequentes a custos inferiores, com baixos “transit times”</w:t>
      </w:r>
      <w:r w:rsidR="00517679" w:rsidRPr="00517679">
        <w:t xml:space="preserve"> </w:t>
      </w:r>
      <w:r w:rsidR="00517679">
        <w:t xml:space="preserve">(Veldman &amp; Buckmann, </w:t>
      </w:r>
      <w:r w:rsidR="00517679" w:rsidRPr="004D55DA">
        <w:t>2003)</w:t>
      </w:r>
      <w:r w:rsidRPr="004D55DA">
        <w:t>.</w:t>
      </w:r>
      <w:r w:rsidR="00517679">
        <w:t xml:space="preserve"> </w:t>
      </w:r>
      <w:r w:rsidRPr="004D55DA">
        <w:t>Um terminal escalado por mais linhas regulares</w:t>
      </w:r>
      <w:r w:rsidR="006F5033" w:rsidRPr="004D55DA">
        <w:t xml:space="preserve"> que</w:t>
      </w:r>
      <w:r w:rsidRPr="004D55DA">
        <w:t xml:space="preserve"> possui melhor desempenho e maiores níveis de eficiência, </w:t>
      </w:r>
      <w:r w:rsidR="006F5033" w:rsidRPr="004D55DA">
        <w:t>é</w:t>
      </w:r>
      <w:r w:rsidRPr="004D55DA">
        <w:t xml:space="preserve"> obrigado a assegurar esses níveis para reter as linhas marítimas e atrair novas, satisfazendo as exigências muito elevada em termos de qualidade do serviço e de horários. Os serviços de transporte marítimo do terminal e a integração deste na logística marítima global, ou mesmo regional, permitem melhores níveis de desempenho, tornando-o mais atrativo.</w:t>
      </w:r>
    </w:p>
    <w:p w:rsidR="00104A12" w:rsidRPr="004D55DA" w:rsidRDefault="00104A12" w:rsidP="007F7964">
      <w:pPr>
        <w:spacing w:line="360" w:lineRule="auto"/>
        <w:jc w:val="both"/>
      </w:pPr>
    </w:p>
    <w:p w:rsidR="00104A12" w:rsidRPr="004D55DA" w:rsidRDefault="006F5033" w:rsidP="007F7964">
      <w:pPr>
        <w:spacing w:line="360" w:lineRule="auto"/>
        <w:jc w:val="both"/>
      </w:pPr>
      <w:r w:rsidRPr="004D55DA">
        <w:t>A dimensão dos navios</w:t>
      </w:r>
      <w:r w:rsidR="00104A12" w:rsidRPr="004D55DA">
        <w:t xml:space="preserve"> que escalam o terminal</w:t>
      </w:r>
      <w:r w:rsidR="00136906">
        <w:t xml:space="preserve"> e os respe</w:t>
      </w:r>
      <w:r w:rsidRPr="004D55DA">
        <w:t>tivos serviços marítimos</w:t>
      </w:r>
      <w:r w:rsidR="00104A12" w:rsidRPr="004D55DA">
        <w:t xml:space="preserve"> </w:t>
      </w:r>
      <w:r w:rsidRPr="004D55DA">
        <w:t>são</w:t>
      </w:r>
      <w:r w:rsidR="00104A12" w:rsidRPr="004D55DA">
        <w:t xml:space="preserve"> determinante</w:t>
      </w:r>
      <w:r w:rsidRPr="004D55DA">
        <w:t>s</w:t>
      </w:r>
      <w:r w:rsidR="00104A12" w:rsidRPr="004D55DA">
        <w:t xml:space="preserve"> do nível de fretes </w:t>
      </w:r>
      <w:r w:rsidRPr="004D55DA">
        <w:t>oferecidos</w:t>
      </w:r>
      <w:r w:rsidR="00104A12" w:rsidRPr="004D55DA">
        <w:t xml:space="preserve"> aos clientes e da hierarquia das rotas marítimas em que se insere</w:t>
      </w:r>
      <w:r w:rsidRPr="004D55DA">
        <w:t>m</w:t>
      </w:r>
      <w:r w:rsidR="00104A12" w:rsidRPr="004D55DA">
        <w:t xml:space="preserve">, </w:t>
      </w:r>
      <w:r w:rsidRPr="004D55DA">
        <w:t>fundamentais</w:t>
      </w:r>
      <w:r w:rsidR="00104A12" w:rsidRPr="004D55DA">
        <w:t xml:space="preserve"> para o desempenho.</w:t>
      </w:r>
      <w:r w:rsidR="00517679">
        <w:t xml:space="preserve"> </w:t>
      </w:r>
      <w:r w:rsidR="00104A12" w:rsidRPr="004D55DA">
        <w:t xml:space="preserve">Por outro lado, a inserção nas redes logísticas </w:t>
      </w:r>
      <w:r w:rsidRPr="004D55DA">
        <w:t>glob</w:t>
      </w:r>
      <w:r w:rsidR="00104A12" w:rsidRPr="004D55DA">
        <w:t xml:space="preserve">ais dos grandes armadores de linha regular, permite oferecer aos </w:t>
      </w:r>
      <w:r w:rsidRPr="004D55DA">
        <w:t>clientes um serviço mais global e</w:t>
      </w:r>
      <w:r w:rsidR="00104A12" w:rsidRPr="004D55DA">
        <w:t xml:space="preserve"> mais completo, com qualidade e muitas vezes mais competitivo. Discute-se sobre se a integração em redes logísticas internacionais importantes é uma característica do próprio terminal ou um factor ambiental. Considera-se </w:t>
      </w:r>
      <w:r w:rsidRPr="004D55DA">
        <w:t>ser</w:t>
      </w:r>
      <w:r w:rsidR="00104A12" w:rsidRPr="004D55DA">
        <w:t xml:space="preserve"> parte da oferta do próprio porto e uma das</w:t>
      </w:r>
      <w:r w:rsidRPr="004D55DA">
        <w:t xml:space="preserve"> suas</w:t>
      </w:r>
      <w:r w:rsidR="00104A12" w:rsidRPr="004D55DA">
        <w:t xml:space="preserve"> características e do terminal.</w:t>
      </w:r>
      <w:r w:rsidR="00517679">
        <w:t xml:space="preserve"> </w:t>
      </w:r>
      <w:r w:rsidR="00104A12" w:rsidRPr="004D55DA">
        <w:t>O poder de seleção dos terminais de contentores está muito ligado aos armadores, embora depois destes escolherem os portos de escala</w:t>
      </w:r>
      <w:r w:rsidRPr="004D55DA">
        <w:t>,</w:t>
      </w:r>
      <w:r w:rsidR="00104A12" w:rsidRPr="004D55DA">
        <w:t xml:space="preserve"> os carregadores po</w:t>
      </w:r>
      <w:r w:rsidRPr="004D55DA">
        <w:t>ssam</w:t>
      </w:r>
      <w:r w:rsidR="00104A12" w:rsidRPr="004D55DA">
        <w:t xml:space="preserve"> escolher a oferta dos armadores em diversos portos ou no porto/terminal, em especial os grandes carregadores, </w:t>
      </w:r>
      <w:r w:rsidRPr="004D55DA">
        <w:t>podendo</w:t>
      </w:r>
      <w:r w:rsidR="00104A12" w:rsidRPr="004D55DA">
        <w:t xml:space="preserve"> inclusivamente influenciar a alteração do porto de escala de certas linhas de </w:t>
      </w:r>
      <w:r w:rsidR="00517679">
        <w:t xml:space="preserve">navegação menos importantes. </w:t>
      </w:r>
      <w:r w:rsidR="00104A12" w:rsidRPr="004D55DA">
        <w:t xml:space="preserve">Os operadores de terminais de contentores devem assim centrar a sua atenção </w:t>
      </w:r>
      <w:r w:rsidRPr="004D55DA">
        <w:t>n</w:t>
      </w:r>
      <w:r w:rsidR="00104A12" w:rsidRPr="004D55DA">
        <w:t xml:space="preserve">o serviço do terminal e </w:t>
      </w:r>
      <w:r w:rsidRPr="004D55DA">
        <w:t>n</w:t>
      </w:r>
      <w:r w:rsidR="00104A12" w:rsidRPr="004D55DA">
        <w:t>a sua qualidade, co</w:t>
      </w:r>
      <w:r w:rsidRPr="004D55DA">
        <w:t>m</w:t>
      </w:r>
      <w:r w:rsidR="00104A12" w:rsidRPr="004D55DA">
        <w:t xml:space="preserve"> ênfase na gestão e operação.</w:t>
      </w:r>
      <w:r w:rsidR="00517679">
        <w:t xml:space="preserve"> </w:t>
      </w:r>
      <w:r w:rsidR="00104A12" w:rsidRPr="004D55DA">
        <w:t>O aumento da dimensão dos nav</w:t>
      </w:r>
      <w:r w:rsidR="00136906">
        <w:t>ios e a reorganização das rotas</w:t>
      </w:r>
      <w:r w:rsidR="00104A12" w:rsidRPr="004D55DA">
        <w:t xml:space="preserve"> levou à divisão dos terminais de contentores em três segmentos</w:t>
      </w:r>
      <w:r w:rsidRPr="004D55DA">
        <w:t xml:space="preserve"> e que </w:t>
      </w:r>
      <w:r w:rsidRPr="004D55DA">
        <w:lastRenderedPageBreak/>
        <w:t>são os</w:t>
      </w:r>
      <w:r w:rsidR="00104A12" w:rsidRPr="004D55DA">
        <w:t xml:space="preserve"> terminais “hub”, terminais “feeder” e portos de escala direta. Estes segmentos de mercado e de serviços são muito diferenciados, </w:t>
      </w:r>
      <w:r w:rsidRPr="004D55DA">
        <w:t>fazendo</w:t>
      </w:r>
      <w:r w:rsidR="00104A12" w:rsidRPr="004D55DA">
        <w:t xml:space="preserve"> pender o equilíbrio de poder em favor dos armadores, que</w:t>
      </w:r>
      <w:r w:rsidRPr="004D55DA">
        <w:t xml:space="preserve"> aproveitam para</w:t>
      </w:r>
      <w:r w:rsidR="00104A12" w:rsidRPr="004D55DA">
        <w:t xml:space="preserve"> exerce</w:t>
      </w:r>
      <w:r w:rsidRPr="004D55DA">
        <w:t>r</w:t>
      </w:r>
      <w:r w:rsidR="00104A12" w:rsidRPr="004D55DA">
        <w:t xml:space="preserve"> pressão sobre os terminais para melhorar a produtividade e a</w:t>
      </w:r>
      <w:r w:rsidRPr="004D55DA">
        <w:t xml:space="preserve"> sua</w:t>
      </w:r>
      <w:r w:rsidR="00104A12" w:rsidRPr="004D55DA">
        <w:t xml:space="preserve"> capacidade</w:t>
      </w:r>
      <w:r w:rsidRPr="004D55DA">
        <w:t>,</w:t>
      </w:r>
      <w:r w:rsidR="00104A12" w:rsidRPr="004D55DA">
        <w:t xml:space="preserve"> nos segmentos em que operam (Juang &amp; Roe,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resposta às necessidades dos armadores pode ser alcançada pelo operador do terminal ou pelo porto onde está localizado, através do aumento do leque de serviços, deixando de prestar apenas os serviços base. Por exemplo, com a prestação de ser</w:t>
      </w:r>
      <w:r w:rsidR="00737E6A" w:rsidRPr="004D55DA">
        <w:t>viços de transporte ferroviário</w:t>
      </w:r>
      <w:r w:rsidRPr="004D55DA">
        <w:t>, ou a assunção do seu risco comercial, serviços de armazenagem e serviços de apoio. Os serviços de armazenagem incluem carga e descarga, armazenagem, embalagem e rotulagem. Os serviços de apoio incluem</w:t>
      </w:r>
      <w:r w:rsidR="00737E6A" w:rsidRPr="004D55DA">
        <w:t xml:space="preserve"> ainda</w:t>
      </w:r>
      <w:r w:rsidRPr="004D55DA">
        <w:t xml:space="preserve"> o armazenamento de contentores e a sua manutenção, assistência na declaração aduaneira, fiscalização e operação terrestre.</w:t>
      </w:r>
      <w:r w:rsidR="00AF238A">
        <w:t xml:space="preserve"> </w:t>
      </w:r>
      <w:r w:rsidRPr="004D55DA">
        <w:t xml:space="preserve">As redes de transporte marítimo continuam a ter importância fundamental no desempenho </w:t>
      </w:r>
      <w:r w:rsidR="00737E6A" w:rsidRPr="004D55DA">
        <w:t>d</w:t>
      </w:r>
      <w:r w:rsidRPr="004D55DA">
        <w:t xml:space="preserve">os portos, apesar das alterações propostas </w:t>
      </w:r>
      <w:r w:rsidR="00737E6A" w:rsidRPr="004D55DA">
        <w:t>de</w:t>
      </w:r>
      <w:r w:rsidRPr="004D55DA">
        <w:t xml:space="preserve"> Robinson (2002), </w:t>
      </w:r>
      <w:r w:rsidR="00737E6A" w:rsidRPr="004D55DA">
        <w:t>para</w:t>
      </w:r>
      <w:r w:rsidRPr="004D55DA">
        <w:t xml:space="preserve"> um maior enfoque na integração dos portos nas redes terrestres. A importância das redes marítimas e dos serviços marítimos está bem patente na organização em serviços marítimos principais intercontinentais, que apenas tocam alguns portos “hub”, para fazer o transbordo para navios “feeder”, que alimentam depois os portos mais pequenos, com influência no desempenho dos terminais</w:t>
      </w:r>
      <w:r w:rsidR="00737E6A" w:rsidRPr="004D55DA">
        <w:t xml:space="preserve">, e asseguram a ligação às </w:t>
      </w:r>
      <w:r w:rsidRPr="004D55DA">
        <w:t>redes terrestres.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autores têm concentrado os seus esforços no estudo da concorrência dos portos no interior do “hinterland”, na regionalização ou alargamento do âmbito dos portos de local para regional</w:t>
      </w:r>
      <w:r w:rsidR="005628E1" w:rsidRPr="004D55DA">
        <w:t xml:space="preserve"> e</w:t>
      </w:r>
      <w:r w:rsidRPr="004D55DA">
        <w:t xml:space="preserve"> na integração nas cadeias de abastecimentos, mas têm esquecido as questões ligadas aos serviços de transporte marítimo (Cheon, 2010).</w:t>
      </w:r>
      <w:r w:rsidR="00AF238A">
        <w:t xml:space="preserve"> </w:t>
      </w:r>
      <w:r w:rsidRPr="004D55DA">
        <w:t xml:space="preserve">A falta de interesse pelas redes de transporte marítimo parece paradoxal, já que os maiores impulsionadores das mudanças nos portos são as linhas marítimas de transporte de contentores.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seleção de portos “hub” pelos armadores tem modificado profundamente a estrutura da rede de regiões portuárias em todo o mundo (Hoffmann, 1998), pelo que os estudos sobre a seleção de portos e terminais não devem restringir-se a critérios de gestão em terra, </w:t>
      </w:r>
      <w:r w:rsidR="005628E1" w:rsidRPr="004D55DA">
        <w:t>mas alargar-se</w:t>
      </w:r>
      <w:r w:rsidRPr="004D55DA">
        <w:t xml:space="preserve"> aos serviços dos transportadores marítimos.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tipo de interligações e relações que se criam no âmbito das redes marítimas, as suas intensidades de fluxos, tipo de navios, capacidade, regularidade, cruzamentos de linhas e </w:t>
      </w:r>
      <w:r w:rsidRPr="004D55DA">
        <w:lastRenderedPageBreak/>
        <w:t>portos de escala, são importantes para compreender o desempenho dos portos e dos terminais de contentores.</w:t>
      </w:r>
      <w:r w:rsidR="00AF238A">
        <w:t xml:space="preserve"> </w:t>
      </w:r>
      <w:r w:rsidRPr="004D55DA">
        <w:t xml:space="preserve">Os próprios portos criam relações entre si, </w:t>
      </w:r>
      <w:r w:rsidR="005628E1" w:rsidRPr="004D55DA">
        <w:t xml:space="preserve">assim como os terminais, </w:t>
      </w:r>
      <w:r w:rsidRPr="004D55DA">
        <w:t>e com os armadores de li</w:t>
      </w:r>
      <w:r w:rsidR="005628E1" w:rsidRPr="004D55DA">
        <w:t xml:space="preserve">nha, </w:t>
      </w:r>
      <w:r w:rsidRPr="004D55DA">
        <w:t xml:space="preserve">que vão </w:t>
      </w:r>
      <w:r w:rsidR="005628E1" w:rsidRPr="004D55DA">
        <w:t xml:space="preserve">para </w:t>
      </w:r>
      <w:r w:rsidRPr="004D55DA">
        <w:t>além da geografia, economia e relações logísticas em terra, embora influenciadas por estas.</w:t>
      </w:r>
      <w:r w:rsidR="00AF238A">
        <w:t xml:space="preserve"> </w:t>
      </w:r>
      <w:r w:rsidR="005628E1" w:rsidRPr="004D55DA">
        <w:t xml:space="preserve">Apesar da estratégia </w:t>
      </w:r>
      <w:r w:rsidR="00136906" w:rsidRPr="004D55DA">
        <w:t>adotada</w:t>
      </w:r>
      <w:r w:rsidR="005628E1" w:rsidRPr="004D55DA">
        <w:t xml:space="preserve"> pel</w:t>
      </w:r>
      <w:r w:rsidRPr="004D55DA">
        <w:t xml:space="preserve">os terminais </w:t>
      </w:r>
      <w:r w:rsidR="00AF238A">
        <w:t>para alargarem os seus mercados</w:t>
      </w:r>
      <w:r w:rsidRPr="004D55DA">
        <w:t xml:space="preserve"> passarem muitas vezes pelo aumento do seu âmbito de </w:t>
      </w:r>
      <w:r w:rsidR="00136906" w:rsidRPr="004D55DA">
        <w:t>atividade</w:t>
      </w:r>
      <w:r w:rsidRPr="004D55DA">
        <w:t xml:space="preserve">, oferecendo serviços às cadeias logísticas e no “hinterland” (Hesse &amp; Rodrigue 2004), a frequência das escalas e os destinos dos navios de linha regular </w:t>
      </w:r>
      <w:r w:rsidR="00136906">
        <w:t>ainda são determinantes na atraç</w:t>
      </w:r>
      <w:r w:rsidRPr="004D55DA">
        <w:t xml:space="preserve">ão de importadores e exportadores (Onut </w:t>
      </w:r>
      <w:r w:rsidRPr="00D713C2">
        <w:rPr>
          <w:i/>
        </w:rPr>
        <w:t>et al</w:t>
      </w:r>
      <w:r w:rsidRPr="004D55DA">
        <w:t xml:space="preserve">., 2011).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Ou seja, para atrair cargas, é necessário primeiro atrair serviços marítimos, em diversidade e frequentes. Em especial, os serviços intercontinentais que fazem escala direta, ou usam o terminal como ponto “hub” de “transhipment” ou ponto de “gateway” para o “hinterland” alargado, são muito atraentes para os carregadores, uma vez que oferecem usualmente fretes baixos, fruto das economias de escala, evitando os custos e os tempos perdidos em navios “feeder” ou alimentadores.</w:t>
      </w:r>
      <w:r w:rsidR="00AF238A">
        <w:t xml:space="preserve"> </w:t>
      </w:r>
      <w:r w:rsidRPr="004D55DA">
        <w:t>A análise das escolhas do porto por parte dos donos das cargas</w:t>
      </w:r>
      <w:r w:rsidR="00047477">
        <w:t xml:space="preserve"> (carregadores e operadores logísticos)</w:t>
      </w:r>
      <w:r w:rsidRPr="004D55DA">
        <w:t xml:space="preserve"> indica que a frequência de serviço do navio é a principal razão para a escolha do porto. Por outro lado, se considerarmos o desempenho operacional ou económico, é certo que as operações de </w:t>
      </w:r>
      <w:r w:rsidR="00E53B56">
        <w:t>“</w:t>
      </w:r>
      <w:r w:rsidRPr="004D55DA">
        <w:t>trans</w:t>
      </w:r>
      <w:r w:rsidR="00AF238A">
        <w:t>hipment</w:t>
      </w:r>
      <w:r w:rsidR="00E53B56">
        <w:t>”</w:t>
      </w:r>
      <w:r w:rsidRPr="004D55DA">
        <w:t xml:space="preserve"> são o segmento com maior crescimento, o que é fundamental para explicar o desempenho económico de grande parte dos terminais, em especial no Mediterrâneo e nas Caraíbas</w:t>
      </w:r>
      <w:r w:rsidR="00AF238A">
        <w:t xml:space="preserve"> </w:t>
      </w:r>
      <w:r w:rsidR="00AF238A" w:rsidRPr="004D55DA">
        <w:t xml:space="preserve">(Onut </w:t>
      </w:r>
      <w:r w:rsidR="00AF238A" w:rsidRPr="00D713C2">
        <w:rPr>
          <w:i/>
        </w:rPr>
        <w:t>et al</w:t>
      </w:r>
      <w:r w:rsidR="00AF238A" w:rsidRPr="004D55DA">
        <w:t>.,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frequência dos navios de linha regular e a dimensão dos navios que escalam o porto, são determinantes para a eficiência, uma vez que caracterizam o serviço que o porto presta. Uma linha regular implica horários pré-determinados, portos de origem e destino definidos, fretes pré-estabelecidos, a integração com as cadeias de transporte terrestre e marítimo complementares (Chou, 2010). Para atrair linhas regular, um terminal e um porto têm que ter um conjunto de pré-requisitos que fazem depender a escolha do porto pelos armadores, das características do porto e do serviço do terminal. A produtividade do cais de um terminal de contentores é muito importante para os armadores e depende do tipo de navio, da dimensão, do número e capacidade das gruas, dos fundos do cais, da habilidade e experiência dos operadores das gruas e da capacidade do terrapleno e equipamento de parque, para aliviar rapidamente o cais.</w:t>
      </w:r>
      <w:r w:rsidR="00AF238A">
        <w:t xml:space="preserve"> </w:t>
      </w:r>
      <w:r w:rsidRPr="004D55DA">
        <w:t xml:space="preserve">No entanto, a escolha do porto pelos carregadores e pelos operadores logísticos depende, não só do serviço do terminal, mas do tipo e número de serviços </w:t>
      </w:r>
      <w:r w:rsidRPr="004D55DA">
        <w:lastRenderedPageBreak/>
        <w:t>marítimos oferecidos, ou que são oferecidos pelos operadores marítimos, numa cadeia de inter-relações que condiciona o desempenho do terminal de contentores.</w:t>
      </w:r>
    </w:p>
    <w:p w:rsidR="00104A12" w:rsidRPr="004D55DA" w:rsidRDefault="00104A12" w:rsidP="007F7964">
      <w:pPr>
        <w:spacing w:line="360" w:lineRule="auto"/>
        <w:jc w:val="both"/>
        <w:rPr>
          <w:b/>
        </w:rPr>
      </w:pPr>
    </w:p>
    <w:p w:rsidR="00104A12" w:rsidRPr="004D55DA" w:rsidRDefault="00AF238A" w:rsidP="007F7964">
      <w:pPr>
        <w:spacing w:line="360" w:lineRule="auto"/>
        <w:jc w:val="both"/>
      </w:pPr>
      <w:r>
        <w:t>Em conclusão</w:t>
      </w:r>
      <w:r w:rsidR="00104A12" w:rsidRPr="004D55DA">
        <w:t>, consideram-se características “softsea-terminal</w:t>
      </w:r>
      <w:r w:rsidR="005628E1" w:rsidRPr="004D55DA">
        <w:t>”</w:t>
      </w:r>
      <w:r w:rsidR="00104A12" w:rsidRPr="004D55DA">
        <w:t xml:space="preserve"> o número e frequência de serviços marítimos de </w:t>
      </w:r>
      <w:r w:rsidR="005628E1" w:rsidRPr="004D55DA">
        <w:t>“</w:t>
      </w:r>
      <w:r w:rsidR="00104A12" w:rsidRPr="004D55DA">
        <w:t>shortsea-shipping</w:t>
      </w:r>
      <w:r w:rsidR="005628E1" w:rsidRPr="004D55DA">
        <w:t>”</w:t>
      </w:r>
      <w:r w:rsidR="00104A12" w:rsidRPr="004D55DA">
        <w:t xml:space="preserve"> intraeuropeu e mediterrânico, bem como de serviços “feeder” ou alimentadores, que servem o porto e o ligam a portos pequenos ou a portos principais.</w:t>
      </w:r>
      <w:r>
        <w:t xml:space="preserve"> </w:t>
      </w:r>
      <w:r w:rsidR="00104A12" w:rsidRPr="004D55DA">
        <w:t>O número e a frequência de serviços de escala direta intercontinental ou de serviços principais de “transhipment”, dos principais armadores globais, são também importantes para determinar o nível de desempenho do terminal.</w:t>
      </w:r>
      <w:r>
        <w:t xml:space="preserve"> </w:t>
      </w:r>
      <w:r w:rsidR="00104A12" w:rsidRPr="004D55DA">
        <w:t>A dimensão dos navios que escalam o terminal é uma variável fundamental para perceber a posição do porto na hierarquia mundial, com efeitos significativos na sua competitividade e no seu desempenho.</w:t>
      </w:r>
      <w:r>
        <w:t xml:space="preserve"> </w:t>
      </w:r>
      <w:r w:rsidR="00104A12" w:rsidRPr="004D55DA">
        <w:t>O tempo de espera dos navios é uma variável importante para o armador, que tem que cumprir rigorosos horários nas suas escalas, não podendo perder sequer uma hora a mais, sem ter custos não produtivos importantes com o navio e perder a janela prevista para acostagem e operação no porto seguinte. Tal pode implicar a necessidade de aumento da velocidade de navegação com custos energéticos elevados. O tempo de operação no cais é importante pelo mesmo tipo de razões e porque as taxas portuárias tem por vezes relação com o tempo de estadia e acostagem nos cais.</w:t>
      </w:r>
    </w:p>
    <w:p w:rsidR="00104A12" w:rsidRPr="004D55DA" w:rsidRDefault="00104A12" w:rsidP="007F7964">
      <w:pPr>
        <w:spacing w:line="360" w:lineRule="auto"/>
        <w:jc w:val="both"/>
      </w:pPr>
    </w:p>
    <w:p w:rsidR="00104A12" w:rsidRPr="004D55DA" w:rsidRDefault="00104A12" w:rsidP="00D216EA">
      <w:pPr>
        <w:pStyle w:val="Cabealho2"/>
        <w:ind w:left="0" w:firstLine="0"/>
        <w:rPr>
          <w:sz w:val="24"/>
          <w:szCs w:val="24"/>
          <w:lang w:val="pt-PT"/>
        </w:rPr>
      </w:pPr>
      <w:r w:rsidRPr="004D55DA">
        <w:rPr>
          <w:highlight w:val="yellow"/>
          <w:lang w:val="pt-PT"/>
        </w:rPr>
        <w:br w:type="page"/>
      </w:r>
      <w:bookmarkStart w:id="53" w:name="_Toc395730134"/>
      <w:r w:rsidRPr="004D55DA">
        <w:rPr>
          <w:sz w:val="24"/>
          <w:szCs w:val="24"/>
          <w:lang w:val="pt-PT"/>
        </w:rPr>
        <w:lastRenderedPageBreak/>
        <w:t>“Softlogis-terminal</w:t>
      </w:r>
      <w:r w:rsidR="00E40CEF">
        <w:rPr>
          <w:sz w:val="24"/>
          <w:szCs w:val="24"/>
          <w:lang w:val="pt-PT"/>
        </w:rPr>
        <w:fldChar w:fldCharType="begin"/>
      </w:r>
      <w:r w:rsidR="00E40CEF" w:rsidRPr="00E40CEF">
        <w:rPr>
          <w:lang w:val="pt-PT"/>
        </w:rPr>
        <w:instrText xml:space="preserve"> XE "</w:instrText>
      </w:r>
      <w:r w:rsidR="00E40CEF" w:rsidRPr="00D36AA0">
        <w:rPr>
          <w:sz w:val="24"/>
          <w:szCs w:val="24"/>
          <w:lang w:val="pt-PT"/>
        </w:rPr>
        <w:instrText>Softlogis-terminal</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serviço na cadeia logística</w:t>
      </w:r>
      <w:bookmarkEnd w:id="53"/>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desempenho do terminal de contentores </w:t>
      </w:r>
      <w:r w:rsidR="005628E1" w:rsidRPr="004D55DA">
        <w:t xml:space="preserve">depende </w:t>
      </w:r>
      <w:r w:rsidRPr="004D55DA">
        <w:t xml:space="preserve">cada vez mais </w:t>
      </w:r>
      <w:r w:rsidR="005628E1" w:rsidRPr="004D55DA">
        <w:t>da</w:t>
      </w:r>
      <w:r w:rsidRPr="004D55DA">
        <w:t xml:space="preserve"> cadeia logística e </w:t>
      </w:r>
      <w:r w:rsidR="005628E1" w:rsidRPr="004D55DA">
        <w:t>associa-se a</w:t>
      </w:r>
      <w:r w:rsidRPr="004D55DA">
        <w:t xml:space="preserve"> conceitos como a agilidade, flexibilidade, fiabilidade, qualidade e orientação para o cliente e para a integração nas cadeias de abastecimento. Esta questão é central na literatura atual sobre o desempenho dos portos e dos terminais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operadores de terminais de contentores prestam as atividades básicas de receção, parqueamento e expedição de carga contentorizada em navios ou a partir de navios </w:t>
      </w:r>
      <w:r w:rsidR="005628E1" w:rsidRPr="004D55DA">
        <w:t xml:space="preserve">no interior do terminal </w:t>
      </w:r>
      <w:r w:rsidRPr="004D55DA">
        <w:t>(Lun &amp; Cariou, 2009).</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A atividade de planeamento de cais inclui a definição do "</w:t>
      </w:r>
      <w:r w:rsidR="00136906">
        <w:t>layout</w:t>
      </w:r>
      <w:r w:rsidRPr="004D55DA">
        <w:t>" do cais, a gestão de informações do navio, que abrange informações gerais sobre embarcações, tais como linhas, rotas e tipos de navio, a gestão de chegadas e partidas de navios, alocação de cais e equipamento de cais e acostagem, amarração, gruas de parque e pessoas, com o apoio de sistemas de informações, que devem ser flexíveis para lidar com as mudanças frequentes na chegada do navio e nos horários de partida.</w:t>
      </w:r>
      <w:r w:rsidR="00AF238A">
        <w:t xml:space="preserve"> </w:t>
      </w:r>
      <w:r w:rsidRPr="004D55DA">
        <w:t>O planeamento do terrapleno inclui a gestão do "</w:t>
      </w:r>
      <w:r w:rsidR="00136906">
        <w:t>layout</w:t>
      </w:r>
      <w:r w:rsidRPr="004D55DA">
        <w:t>" do parque de contentores, para a importação, exportação e transbordo, do parque de vazios e de frigoríficos e a gestão dos movimentos no interior do terminal e nos interfaces com os navios, camiões e comboios</w:t>
      </w:r>
      <w:r w:rsidR="00AF238A">
        <w:t xml:space="preserve"> </w:t>
      </w:r>
      <w:r w:rsidR="00AF238A" w:rsidRPr="004D55DA">
        <w:t>(Lun &amp; Cariou,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planeamento das atividades de carga e descarga consiste na gestão de dados de navios, que incluem as especificações detalhadas da estrutura e estabilidade do navio, do porão de carga, do projeto do navio, dados fundamentais para o cálculo da estabilidade da embarcação e da sua estrutura. Inclui</w:t>
      </w:r>
      <w:r w:rsidR="005628E1" w:rsidRPr="004D55DA">
        <w:t>,</w:t>
      </w:r>
      <w:r w:rsidRPr="004D55DA">
        <w:t xml:space="preserve"> ainda, o planeamento da atividade dos pórticos de cais</w:t>
      </w:r>
      <w:r w:rsidR="005628E1" w:rsidRPr="004D55DA">
        <w:t>,</w:t>
      </w:r>
      <w:r w:rsidRPr="004D55DA">
        <w:t xml:space="preserve"> de acordo com o plano de cargas do navio e com os destinos, maximizando a velocidade e o controlo do parqueamento e levantamento sequencial do parque, com o menor número de movimentos possível. O planeamento do caminho-de-ferro inclui a gestão do parque de interface, o controlo das chegadas e partidas de comboios e o plano de carga e descarga. O planeamento de recursos inclui </w:t>
      </w:r>
      <w:r w:rsidR="005628E1" w:rsidRPr="004D55DA">
        <w:t xml:space="preserve">a </w:t>
      </w:r>
      <w:r w:rsidRPr="004D55DA">
        <w:t xml:space="preserve">análise e alocação de empilhadores e de mão-de-obra. O controlo geral do terminal relaciona-se com o controlo do cais, do terrapleno e da portaria, com o envio de ordens de trabalho aos operadores de guindastes de contentores, tratores e gruas de parque, </w:t>
      </w:r>
      <w:r w:rsidRPr="004D55DA">
        <w:lastRenderedPageBreak/>
        <w:t>com base nos detalhes do plano de carga e descarga, bem como o plano de afetação de equipamentos</w:t>
      </w:r>
      <w:r w:rsidR="00AF238A">
        <w:t xml:space="preserve"> (Lun &amp; Cariou, 2009)</w:t>
      </w:r>
      <w:r w:rsidRPr="004D55DA">
        <w:t>.</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A coordenação das cadeias de transporte de base marítima é um grande desafio para os portos, ainda diferente das restantes cadeias de base terrestre. Várias empresas como as linhas de navegação, operadores de terminais de contentores, transitários, agentes de navegação, empresas de transporte terrestre, operadores de terminais terrestres, alfândega, polícia marítima e capitania estão envolvidos neste desafio. Além disso, as próprias autoridades portuárias e representantes das comunidades portuárias estão cada vez mais envolvidos na criação e facilitação de soluções nos portos para que as cadeias de transporte sejam eficazes na ligação aos “hinterlands” (Van Der Horst &amp; De Langen, 2008).</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Martin e Thomas (2001) identificaram as principais relações interorganizacionais na cadeia de transporte de contentores da seguinte forma: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Transportador terrestre e armador: o transporte terrestre inicia-se no interface do terminal, com o acompanhamento direto das linhas de navegação;</w:t>
      </w:r>
    </w:p>
    <w:p w:rsidR="00104A12" w:rsidRPr="004D55DA" w:rsidRDefault="00104A12" w:rsidP="007F7964">
      <w:pPr>
        <w:spacing w:line="360" w:lineRule="auto"/>
        <w:jc w:val="both"/>
      </w:pPr>
      <w:r w:rsidRPr="004D55DA">
        <w:t>• Operador do terminal e armador: tem-se verificado um forte desenvolvimento de relações estreitas entre os operadores dos terminais e os armadores das linhas de navegação, sendo a qualidade dessa relação fundamental para assegurar a presença das linhas nos terminais;</w:t>
      </w:r>
    </w:p>
    <w:p w:rsidR="00104A12" w:rsidRPr="004D55DA" w:rsidRDefault="00104A12" w:rsidP="007F7964">
      <w:pPr>
        <w:spacing w:line="360" w:lineRule="auto"/>
        <w:jc w:val="both"/>
      </w:pPr>
      <w:r w:rsidRPr="004D55DA">
        <w:t>• Armador e transitário: os armadores têm vindo a entrar no negócio dos transitários, tornando-se operadores intermodais globais, com relação direta com os carregadores ou donos da carga. Ainda assim, muitos carregadores preferem um transitário independente, para poderem mudar de linha com facilidade, mantendo o mesmo relacionamento comercial. Assim, os transitários são considerados clientes dos armadores, já que os clientes muitas vezes não se relacionam diretamente com armadores.</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A necessidade de integração dos vários modos de transporte ou intermodalidade, como um aspeto significativo da unidade da carga e do transporte a nível mundial, levaram à necessidade de uniformização dos equipamentos, terminais, conceitos, documentos e informação sobre os fluxos de transporte (Thill &amp; Lim, 2010), aumentando a interdependência entre os elos na cadeia.</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lastRenderedPageBreak/>
        <w:t xml:space="preserve">Em muitos portos da Europa e do mundo, o transporte de contentores tornou-se o fluxo de carga mais importante. Alguns dos fluxos de transporte provenientes ou com destino ao “hinterland” próximo são cativos, mas cada vez mais os portos procuram atrair fluxos não cativos, seja de “hinterlands” distantes, seja de “transhipment”, levando à concorrência crescente entre portos (Notteboom &amp; Winkelmans, 2004).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Como elos das cadeias logísticas (Robinson, 2002), os portos incrementaram muito o seu nível de concorrência, sendo cada vez mais importantes os aspetos relacionados com a satisfação dessas cadeias. Como resultado, os portos pretendem cada vez mais melhorar a qualidade do seu serviço operacional e das ligações ao “hinterland” (Notteboom e Winkelmans, 2004). O acesso ao “hinterland”, agora é percebido como um factor chave de sucesso dos portos europeus (De Langen, 2004). </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 xml:space="preserve">Por outro lado, isto implica que para além de melhorarem a sua eficiência e operação, os portos e terminais devem também facilitar a eficiência e o desempenho das cadeias logísticas em que participam (Tongzon </w:t>
      </w:r>
      <w:r w:rsidRPr="00D713C2">
        <w:rPr>
          <w:i/>
        </w:rPr>
        <w:t>et al</w:t>
      </w:r>
      <w:r w:rsidRPr="004D55DA">
        <w:t>., 2009).</w:t>
      </w:r>
      <w:r w:rsidR="00AF238A">
        <w:t xml:space="preserve"> </w:t>
      </w:r>
      <w:r w:rsidRPr="004D55DA">
        <w:t>Assim, é necessária uma orientação mais forte para a cadeia de abastecimento e a facilitação das funções necessárias a essa cadeia, tendo em vista responder às necessidades dos clientes e atingir níveis elevados de desempenho global.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Devido ao caráter intermodal da cadeia de transporte de contentores, é necessária uma utilização eficaz e eficiente dos vários modos de transporte interligados pelo terminal portuário. Robinson (2002) referiu que a escolha dos portos é realizada no contexto da cadeia de abastecimento, pelo que a competição ocorre entre cadeias de abastecimento alternativas e não entre portos, sendo por isso necessária uma visão alargada de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Ou seja, </w:t>
      </w:r>
      <w:r w:rsidR="00047477">
        <w:t>os donos das</w:t>
      </w:r>
      <w:r w:rsidRPr="004D55DA">
        <w:t xml:space="preserve"> cargas tendem a procurar rotas que vão ao encontro da sua carteira de requisitos, os quais normalmente incluem, em diferentes dosagens, menor custo, menor tempo, movimento mais eficiente, maior produtividade e fiabilidade, conectividade e interoperabilidade (Tongzon </w:t>
      </w:r>
      <w:r w:rsidRPr="00D713C2">
        <w:rPr>
          <w:i/>
        </w:rPr>
        <w:t>et al</w:t>
      </w:r>
      <w:r w:rsidRPr="004D55DA">
        <w:t>., 2009).</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 xml:space="preserve">Algumas variáveis utilizadas na literatura sobre a cadeia de abastecimento incluem as acessibilidades aos mercados, nível de conectividade, nível de integração na cadeia de abastecimento, eficiência geral do terminal, eficiência das interfaces intermodais do terminal, custo total da cadeia de abastecimento, nível de coordenação da cadeia logística e tipo de </w:t>
      </w:r>
      <w:r w:rsidRPr="004D55DA">
        <w:lastRenderedPageBreak/>
        <w:t>serviço intermodal ou porta-a-porta.</w:t>
      </w:r>
      <w:r w:rsidR="00AF238A">
        <w:t xml:space="preserve"> </w:t>
      </w:r>
      <w:r w:rsidRPr="004D55DA">
        <w:t>No âmbito do desempenho dos portos e dos terminais de contentores, é muito importante o serviço e operação do porto, incluindo a qualidade da gestão portuária, atendimento nas operações, eficiência na carga e descarga, sistema de atracação de navios, marketing, custos portuários, logística e simplificação de procedimentos (Juang &amp; Roe,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Juang e Roe (2010) verificaram três </w:t>
      </w:r>
      <w:r w:rsidR="00136906" w:rsidRPr="004D55DA">
        <w:t>fatores</w:t>
      </w:r>
      <w:r w:rsidRPr="004D55DA">
        <w:t xml:space="preserve"> principais com impacto sobre as atividades dos portos: serviço do porto, marketing e logística. No serviço do porto, possui um elevado peso a eficiência e qualidade na operação portuária. No marketing, tem peso a variável preço dos terminais portuários, não sendo as restantes consideradas pelos carregadores. Na logística, importa o cumprimento dos requisitos das cargas e da cadeia de abastecimento.</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rPr>
          <w:rFonts w:eastAsia="Arial Unicode MS"/>
          <w:color w:val="000000"/>
        </w:rPr>
      </w:pPr>
      <w:r w:rsidRPr="004D55DA">
        <w:t xml:space="preserve">Hung </w:t>
      </w:r>
      <w:r w:rsidRPr="00D713C2">
        <w:rPr>
          <w:i/>
        </w:rPr>
        <w:t>et al.</w:t>
      </w:r>
      <w:r w:rsidRPr="004D55DA">
        <w:t xml:space="preserve"> (2010) utilizaram como variáveis o c</w:t>
      </w:r>
      <w:r w:rsidRPr="004D55DA">
        <w:rPr>
          <w:rFonts w:eastAsia="Arial Unicode MS"/>
          <w:color w:val="000000"/>
        </w:rPr>
        <w:t>usto de transporte terrestre, custo do transporte marítimo, qualidade serviço, dimensão dos navios, dimensão do “hinterland”, frequência, serviços logísticos e valor acrescentado no porto, evidenciando a importância dos serviços do terminal, dos serviços marítimos oferecidos no terminal e das ligações logísticas ao “hinterland”, para o desempenho do porto.</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 xml:space="preserve">Onut </w:t>
      </w:r>
      <w:r w:rsidRPr="00D713C2">
        <w:rPr>
          <w:i/>
        </w:rPr>
        <w:t>et al.</w:t>
      </w:r>
      <w:r w:rsidRPr="004D55DA">
        <w:t xml:space="preserve"> (2011) usaram como variáveis a eficiência na movimentação de contentores, fretes, operações na carga e descarga, tempo no terminal, tempo de espera, eficiência no terrapleno do terminal, eficiência junto dos clientes, bem como a velocidade dos processos burocráticos. A produtividade e a eficiência são os dois conceitos mais importantes e frequentemente utilizados para medir o desempenho do porto.</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As cadeias de abastecimentos revelam-se cada vez mais importantes na gestão dos terminais portuários, que ocupam um papel mais ativo na logística global, impondo janelas de atracação, tempos máximos de operação e fazendo pressão para aumentar a produtividade e otimizar a capacidade do terminal, com vista a satisfazer os agentes do mercado em termos operacionais (Rodrigue &amp; Notteboom,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Com o desenvolvimento da logística nos portos, uma nova dimensão é adicionada à equação, fazendo-se melhor uso do tempo disponível nos portos e terminais terrestres, otimizando a paragem no terminal, com a realização de serviços de valor acrescentado.</w:t>
      </w:r>
      <w:r w:rsidR="00AF238A">
        <w:t xml:space="preserve"> </w:t>
      </w:r>
      <w:r w:rsidRPr="004D55DA">
        <w:t xml:space="preserve">Ou seja, reconhecendo que os portos têm um papel importante a desempenhar no contexto da </w:t>
      </w:r>
      <w:r w:rsidRPr="004D55DA">
        <w:lastRenderedPageBreak/>
        <w:t xml:space="preserve">integração das suas cadeias de abastecimentos, muitos autores têm abordado a logística da cadeia de abastecimento e o papel dos portos (Notteboom &amp; Winkelmans, 2001; Robinson, 2002).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Mas as cadeias integradas requerem a coordenação de vários atores, pelo que as linhas de transporte marítimo e as empresas que operam terminais portuários estão a ampliar seu âmbito no transporte intermodal e nos terminais terrestres, além do habitual (Franc &amp; Horst, 2010) e o mercado confronta cada vez mais os terminais portuários com exigências operacionais semelhantes aos dessas cadeias (Rodrigue &amp; Notteboom,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 o desenvolvimento de terminais terrestres, uma nova dimensão é adicionada aos portos, fazendo incidir cada vez mais o foco nas ligações bipolares com os terminais terrestres (Dias </w:t>
      </w:r>
      <w:r w:rsidRPr="00D713C2">
        <w:rPr>
          <w:i/>
        </w:rPr>
        <w:t>et al</w:t>
      </w:r>
      <w:r w:rsidRPr="004D55DA">
        <w:t>., 2010) e verifica-se uma crescente pressão sobre a capacidade e o nível de serviço do porto, o que reforça o papel ativo dos terminais de contentores nas cadeias logísticas.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Bichou e Gray (2005) verificaram existir uma associação entre a intermodalidade e integração organizacional e a integração dos portos nas cadeias logísticas, estando a intermodalidade relacionada com aspetos da gestão do terminal de contentores e com a cooperação organizacional interna e a eficiência. No contexto da integração organizacional, o que parece ser a chave é o valor acrescentado que os portos podem oferecer às cadeias logísticas (Robinson 2002).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UNCTAD (1995) define os portos de terceira geração como aqueles que oferecem serviços de valor acrescentado. Assim, o potencial logístico dos portos pode ser avaliado através da oferta de serviços gerais de logística e atividades de valor acrescentado oferecidas às cadeias intermodais (Harding &amp; Juhel, 1997). Ou seja, os </w:t>
      </w:r>
      <w:r w:rsidR="00136906" w:rsidRPr="004D55DA">
        <w:t>fatores</w:t>
      </w:r>
      <w:r w:rsidRPr="004D55DA">
        <w:t xml:space="preserve"> do desempenho dos portos incluem as tecnologias de informação e comunicação e aspetos que se relacionam com valor acrescentado à carga, influenciando a relação com o cliente e a sua satisfação (Carbone &amp; De Martino, 2003).</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integração dos portos na cadeia de abastecimentos pode ser alcançada através da tecnologia de informação e comunicação, da partilha de informações e da introdução de valor acrescentado às atividades e operações. A integração dos portos nas cadeias de abastecimento implica uma contínua melhoria do “lean management”, com a eliminação de operações de </w:t>
      </w:r>
      <w:r w:rsidRPr="004D55DA">
        <w:lastRenderedPageBreak/>
        <w:t>comunicação redundantes, de desperdícios e redução de custos nas operações, melhoria das operações e da prestação de serviços de valor acrescentado (Panayides &amp; Song.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novos requisitos das cadeias logísticas para os portos incluem os sistemas de informações </w:t>
      </w:r>
      <w:r w:rsidR="00E53B56">
        <w:t>“</w:t>
      </w:r>
      <w:r w:rsidRPr="004D55DA">
        <w:t>standard</w:t>
      </w:r>
      <w:r w:rsidR="00E53B56">
        <w:t>”</w:t>
      </w:r>
      <w:r w:rsidRPr="004D55DA">
        <w:t>, fiabilidade, custo, eficiência, flexibilidade e capacidade de resposta, já que num ambiente de globalização é importante que os portos sejam considerados como partes integrantes das cadeias de abastecimento, funcionando como centros de logística, acrescentando valor (Bichou &amp; Gray, 2005).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Considerando que a medição do desempenho dos portos implica a inclusão dos princípios da logística, Bichou e Gray (2005) realizaram estudos de medição de desempenho dos portos, com especial referência para a logística e o canal onde está integrado 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Entre as variáveis utilizadas para avaliara a integração na SCM (</w:t>
      </w:r>
      <w:r w:rsidR="00E53B56">
        <w:t>“</w:t>
      </w:r>
      <w:r w:rsidRPr="004D55DA">
        <w:t>supply chain management</w:t>
      </w:r>
      <w:r w:rsidR="00E53B56">
        <w:t>”</w:t>
      </w:r>
      <w:r w:rsidRPr="004D55DA">
        <w:t>) estão os sistemas de informação e comunicação do terminal, fornecimento de serviços logísticos de valor acrescentado, integração física dos sistemas multimodais, eficácia e eficiência (Panayides &amp; Song.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 facto, as linhas de transporte marítimo de contentores operam e prestam serviços de transporte marítimo aos carregadores, mas cada vez mais oferecem serviços porta-a-porta e serviços de logística integrada, através da coordenação com os operadores de transportes rodoviário e ferroviário e com prestadores de serviços logísticos e operadores de terminais (Veldman </w:t>
      </w:r>
      <w:r w:rsidRPr="00D713C2">
        <w:rPr>
          <w:i/>
        </w:rPr>
        <w:t>et al</w:t>
      </w:r>
      <w:r w:rsidRPr="004D55DA">
        <w:t>., 2011). Ou seja, o desenvolvimento de operações globais colocou pressão sobre a prestação de serviços de transportes marítimos e na extensão das operações ao lado de terra (Carbone &amp; Martino, 2003).</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Noutra vertente do serviço do terminal, verifica-se que para melhorar a eficiência operacional, os terminais de contentores investem em avançados sistemas de informação integrados. Os ERP (</w:t>
      </w:r>
      <w:r w:rsidR="005628E1" w:rsidRPr="004D55DA">
        <w:t>“</w:t>
      </w:r>
      <w:hyperlink r:id="rId31" w:history="1">
        <w:r w:rsidRPr="004D55DA">
          <w:t>Enterprise resource planning</w:t>
        </w:r>
        <w:r w:rsidR="005628E1" w:rsidRPr="004D55DA">
          <w:t>”</w:t>
        </w:r>
        <w:r w:rsidRPr="004D55DA">
          <w:t>)</w:t>
        </w:r>
      </w:hyperlink>
      <w:r w:rsidRPr="004D55DA">
        <w:t xml:space="preserve"> são sistemas de informação destinados a coordenar todos os recursos, informações e atividades necessárias aos processos de movimentação de contentores no terminal e à comunicação com os clientes e transportadores.</w:t>
      </w:r>
      <w:r w:rsidR="00AF238A">
        <w:t xml:space="preserve"> </w:t>
      </w:r>
      <w:r w:rsidRPr="004D55DA">
        <w:t>Os ERP são úteis para a gestão dos terminais de contentores, uma vez que reduzem o tempo de desenvolvimento de sistemas de informação próprios, fornecendo processos de trabalho padronizados e capacidades de operação já testadas.</w:t>
      </w:r>
      <w:r w:rsidR="00AF238A">
        <w:t xml:space="preserve"> </w:t>
      </w:r>
      <w:r w:rsidRPr="004D55DA">
        <w:t xml:space="preserve">Choi </w:t>
      </w:r>
      <w:r w:rsidRPr="00D713C2">
        <w:rPr>
          <w:i/>
        </w:rPr>
        <w:t>et al</w:t>
      </w:r>
      <w:r w:rsidRPr="004D55DA">
        <w:t xml:space="preserve">. (2003) apresentaram uma </w:t>
      </w:r>
      <w:r w:rsidRPr="004D55DA">
        <w:lastRenderedPageBreak/>
        <w:t>abordagem para o desenvolvimento de ERP de terminais de contentores e sugeriram que um sistema ERP deve incluir módulos de planeamento de cais, planeamento do parque, plano de carga/descarga, interface ferroviário, gestão de recursos e controlo das operações do terminal.</w:t>
      </w:r>
    </w:p>
    <w:p w:rsidR="00104A12" w:rsidRPr="004D55DA" w:rsidRDefault="00104A12" w:rsidP="007F7964">
      <w:pPr>
        <w:spacing w:line="360" w:lineRule="auto"/>
        <w:jc w:val="both"/>
        <w:rPr>
          <w:rFonts w:eastAsia="Arial Unicode MS"/>
          <w:color w:val="000000"/>
        </w:rPr>
      </w:pPr>
    </w:p>
    <w:p w:rsidR="00AF238A" w:rsidRDefault="00104A12" w:rsidP="007F7964">
      <w:pPr>
        <w:spacing w:line="360" w:lineRule="auto"/>
        <w:jc w:val="both"/>
      </w:pPr>
      <w:r w:rsidRPr="004D55DA">
        <w:t>Panayides e Song (2011) identificaram os sistemas de informação e comunicação, os serviços de valor agregado, os sistemas multimodais e as práticas de relacionamento com a cadeia logística como fundamentais para o desempenho, produtividade e competitividade das cadeias de fornecimento e dos portos.</w:t>
      </w:r>
    </w:p>
    <w:p w:rsidR="00AF238A" w:rsidRDefault="00AF238A" w:rsidP="007F7964">
      <w:pPr>
        <w:spacing w:line="360" w:lineRule="auto"/>
        <w:jc w:val="both"/>
      </w:pPr>
    </w:p>
    <w:p w:rsidR="00104A12" w:rsidRPr="004D55DA" w:rsidRDefault="00104A12" w:rsidP="007F7964">
      <w:pPr>
        <w:spacing w:line="360" w:lineRule="auto"/>
        <w:jc w:val="both"/>
      </w:pPr>
      <w:r w:rsidRPr="004D55DA">
        <w:t xml:space="preserve">Os sistemas de informação e comunicação facilitam a manutenção eficiente das operações da cadeia de abastecimento e a realização dos objetivos respetivos (Cachon &amp; Fisher, 2000).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Por outro lado, a partilha de informação leva a altos níveis de integração dos portos na SCM, permitindo que as organizações melhorem a segurança, fiabilidade e velocidade com impactos em termos de custo e nível de serviço (Zhao </w:t>
      </w:r>
      <w:r w:rsidRPr="00D713C2">
        <w:rPr>
          <w:i/>
        </w:rPr>
        <w:t>et al.</w:t>
      </w:r>
      <w:r w:rsidRPr="004D55DA">
        <w:t xml:space="preserve"> 2002), uma vez que os sistemas de informação evitam a duplicação de documentação, mantendo a integridade dos dados ao longo da cadeia de transporte, com redução dos custos.</w:t>
      </w:r>
    </w:p>
    <w:p w:rsidR="00104A12" w:rsidRPr="004D55DA" w:rsidRDefault="00104A12" w:rsidP="007F7964">
      <w:pPr>
        <w:spacing w:line="360" w:lineRule="auto"/>
        <w:jc w:val="both"/>
        <w:rPr>
          <w:rFonts w:eastAsia="Arial Unicode MS"/>
          <w:color w:val="000000"/>
        </w:rPr>
      </w:pPr>
    </w:p>
    <w:p w:rsidR="00104A12" w:rsidRPr="004D55DA" w:rsidRDefault="00104A12" w:rsidP="007F7964">
      <w:pPr>
        <w:spacing w:line="360" w:lineRule="auto"/>
        <w:jc w:val="both"/>
      </w:pPr>
      <w:r w:rsidRPr="004D55DA">
        <w:t>Os serviços logísticos de valor acrescentado são outra vertente do serviço do terminal definidos como a capacidade do terminal para prestar serviços de elevado valor não portuários, no contexto da facilitação dos objetivos do SCM. As atividades logísticas de valor acrescentado dos portos, tais como pequenas montagens</w:t>
      </w:r>
      <w:r w:rsidR="000729AF">
        <w:t xml:space="preserve">, </w:t>
      </w:r>
      <w:r w:rsidR="00E53B56">
        <w:t>“</w:t>
      </w:r>
      <w:r w:rsidR="000729AF">
        <w:t>postponement</w:t>
      </w:r>
      <w:r w:rsidR="00E53B56">
        <w:t>”</w:t>
      </w:r>
      <w:r w:rsidRPr="004D55DA">
        <w:t>, preparação para resposta às encomendas, distribuição e etiquetagem, são essenciais como elementos da cadeia logística e elementos de competitividade dos portos (Panayides &amp; Song.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uso eficiente dos modos de transporte interligados no terminal portuário tem recebido bastante atenção no contexto do estudo académico do transporte de contentores (Panayides e Song. 2011). Considera-se que os portos fazem a ligação entre os diversos sistemas de transporte terrestre e o transporte marítimo, implicando elevado nível de fiabilidade dos serviços na interconexão, incluindo do terminal e dos transportadores ferroviários e rodoviários, portaria e planeamento.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Paixão e Marlow (2003) referiram-se à capacidade dos operadores portuários integrarem as suas operações a montante e a jusante na cadeia logística, fazendo uso dos serviços de valor </w:t>
      </w:r>
      <w:r w:rsidRPr="004D55DA">
        <w:lastRenderedPageBreak/>
        <w:t>agregado, competindo com outros sistemas de valor agregado da cadeia, já que o fluxo de carga irá procurar os percursos e os portos que oferecem o menor custo total, com um adequado nível de eficiência, produtividade, fiabilidade e eficácia, em especial nos interfaces intermodais, adaptados à logística de cada carga e operador logístico.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imagem do porto e do terminal também é importante para o desempenho do terminal. Cheo (2007) referiu a importância das estratégias de marketing, incluindo a comunicação e a imagem, para a captura de novas linhas e cargas. De facto, não basta ser, é preciso comunicar. Pando et al (2005), </w:t>
      </w:r>
      <w:r w:rsidRPr="004D55DA">
        <w:rPr>
          <w:iCs/>
        </w:rPr>
        <w:t>Pardali</w:t>
      </w:r>
      <w:r w:rsidRPr="004D55DA">
        <w:t xml:space="preserve"> e Kounoupas (2007) e Cahoon (2007) analisaram os instrumentos do marketing portuário, onde se inclui a imagem e a comunicação como forma de alterar essa imagem.</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Notteboom (2011) referiu inúmeros </w:t>
      </w:r>
      <w:r w:rsidR="00136906" w:rsidRPr="004D55DA">
        <w:t>fatores</w:t>
      </w:r>
      <w:r w:rsidRPr="004D55DA">
        <w:t xml:space="preserve"> relacionados com a procura do porto, entre eles a qualidade dos serviços do porto, reputação do porto e o trabalho desenvolvido pela comunidade portuária na vertente do marketing.</w:t>
      </w:r>
      <w:r w:rsidR="00D216EA">
        <w:t xml:space="preserve"> </w:t>
      </w:r>
      <w:r w:rsidRPr="004D55DA">
        <w:t>Um porto reputado como pequeno, lento, burocrático, sem perspetivas futuras, terá sempre um fundo de verdade para os clientes e mesmo que altere as suas características vai demorar tempo a alterar a sua imagem. A imagem ganha-se com muito tempo, mas perde-se com facilidade. Por exemplo com uma greve prolongada, como foi o caso de Tanger em 2011 ou de Lisboa em 2012 e 2013, ou quando ocorrem acidentes com o navio ou a carga.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No sector dos transportes, em especial no sector portuário, funciona o “passa-palavra” das ideias relativas à imagem criada em torno dos portos, ficando os respetivos terminais definitivamente afetados pela imagem global do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preço também é uma das variáveis mais importantes dos instrumentos do marketing portuário, quando se pretende atrair determinados mercados e ter certos desempenhos económicos e financeiros. Os preços portuários incluem as taxas portuárias, terminal handling charges e “port dues”, englobando os preços pagos pelo navio e pela carga na sua passagem pelo porto e pela utilização de infraestruturas e serviços portuários específicos e gerais.</w:t>
      </w:r>
      <w:r w:rsidR="00AF238A">
        <w:t xml:space="preserve"> </w:t>
      </w:r>
      <w:r w:rsidRPr="004D55DA">
        <w:t xml:space="preserve">Onut </w:t>
      </w:r>
      <w:r w:rsidRPr="00D713C2">
        <w:rPr>
          <w:i/>
        </w:rPr>
        <w:t>et al.</w:t>
      </w:r>
      <w:r w:rsidRPr="004D55DA">
        <w:t xml:space="preserve"> (2011) referiram os custos portuários como determinantes da escolha do porto pelos donos das cargas e pelos armadores. As taxas portuárias, os custos de transportes em terra e os custos dos serviços portuários, são fundamentais para explicar o desempenho do porto, </w:t>
      </w:r>
      <w:r w:rsidRPr="004D55DA">
        <w:lastRenderedPageBreak/>
        <w:t>dependentes muitas vezes da política comercial do porto e da sua eficiência ou fase de exploração dos investimentos, sendo muito influenciados pela escala e dimensão.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Chou (2010) propôs algumas dimensões importantes para a avaliação e seleção de um porto de transbordo apropriado, incluindo a dimensão do porto, a dimensão do “hinterland” económico, a eficiência do porto e os seus custos, traduzidos nos preços.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Gonzalez e Trujillo (2008) referiram que os resultados de eficiência dos portos se refletem em tarifas mais baixas para as exportações, que favorecem a competitividade dos produtos nos mercados internacionais. Isto implica analisar os custos da cadeia de abastecimento como um todo e não apenas os custos portuários (Panayides &amp; Song. 2011).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Por outro lado, a agilidade é considerada uma das principais características do desenvolvimento das cadeias de abastecimento e das empresas que dela fazem parte. Assim sendo, os terminais de contentores são cada vez mais partes importantes das cadeias logísticas e devem ter características relacionadas com a agilidade (Liu </w:t>
      </w:r>
      <w:r w:rsidRPr="00D713C2">
        <w:rPr>
          <w:i/>
        </w:rPr>
        <w:t>et al.,</w:t>
      </w:r>
      <w:r w:rsidRPr="004D55DA">
        <w:t xml:space="preserve"> 2009).</w:t>
      </w:r>
      <w:r w:rsidR="00AF238A">
        <w:t xml:space="preserve"> </w:t>
      </w:r>
      <w:r w:rsidRPr="004D55DA">
        <w:t>Logo, a agilidade deve ser analisada no âmbito das características dos terminais de contentores, por ser fundamental à sua integração e aceitação pelas cadeias de abastecimento que integra. A agilidade tem como fonte a estrutura organizacional e o tipo de gestão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Integrados nas cadeias logísticas, os terminais de contentores devem dar atenção especial aos requisitos que permitem a satisfação dos seus clientes e aos sistemas de informação logísticos integradores dos diversos prestadores de serviços da cadeia. A flexibilidade interna, agilidade e apetência para a cooperação, dependem do sistema de organização do terminal, do tipo de gestão e da formação das pessoas que gerem o terminal (Liu </w:t>
      </w:r>
      <w:r w:rsidRPr="00D713C2">
        <w:rPr>
          <w:i/>
        </w:rPr>
        <w:t>et al.,</w:t>
      </w:r>
      <w:r w:rsidRPr="004D55DA">
        <w:t xml:space="preserve">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agilidade da empresa está ligada a sistemas de informação flexíveis e a uma organização ágil nas operações de movimentação de cargas, no armazenamento, processamento e transporte. As técnicas ágeis devem ser combinadas com uma gestão ágil para alcançar a verdadeira agilidade. As organizações ágeis incluem uma orgânica flexível e achatada, em círculo ou em rede (Liu </w:t>
      </w:r>
      <w:r w:rsidRPr="00D713C2">
        <w:rPr>
          <w:i/>
        </w:rPr>
        <w:t>et al.,</w:t>
      </w:r>
      <w:r w:rsidRPr="004D55DA">
        <w:t xml:space="preserve"> 2009).</w:t>
      </w:r>
      <w:r w:rsidR="00AF238A">
        <w:t xml:space="preserve"> </w:t>
      </w:r>
      <w:r w:rsidRPr="004D55DA">
        <w:t xml:space="preserve">A agilidade é a característica do terminal de contentores que permite a adaptação rápida, e com custos reduzidos, a alterações dos requisitos e da programação. A agilidade tem a ver com equipamentos, </w:t>
      </w:r>
      <w:r w:rsidR="00894470">
        <w:t>“</w:t>
      </w:r>
      <w:r w:rsidRPr="004D55DA">
        <w:t>software</w:t>
      </w:r>
      <w:r w:rsidR="00894470">
        <w:t>”</w:t>
      </w:r>
      <w:r w:rsidRPr="004D55DA">
        <w:t xml:space="preserve">, organização, pessoas, </w:t>
      </w:r>
      <w:r w:rsidRPr="004D55DA">
        <w:lastRenderedPageBreak/>
        <w:t>formação, orientação para o cliente e rápida resposta a alterações do mercado e cooperação com o cliente, adaptando o terminal aos seus requisitos e alterações bruscas destes.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Segundo Liu </w:t>
      </w:r>
      <w:r w:rsidRPr="00D713C2">
        <w:rPr>
          <w:i/>
        </w:rPr>
        <w:t>et al.</w:t>
      </w:r>
      <w:r w:rsidRPr="004D55DA">
        <w:t xml:space="preserve"> (2009) a vantagem competitiva da agilidade relaciona-se com a resposta rápida à procura, pelo que é necessário não só integrar todos os recursos internos do terminal, mas também fazer uma utilização plena de recursos externos.</w:t>
      </w:r>
      <w:r w:rsidR="00D216EA">
        <w:t xml:space="preserve"> </w:t>
      </w:r>
      <w:r w:rsidRPr="004D55DA">
        <w:t xml:space="preserve">Algumas variáveis utilizadas por Lui </w:t>
      </w:r>
      <w:r w:rsidRPr="00D713C2">
        <w:rPr>
          <w:i/>
        </w:rPr>
        <w:t>et al</w:t>
      </w:r>
      <w:r w:rsidRPr="004D55DA">
        <w:t xml:space="preserve"> (2009) no âmbito da agilidade dos terminais incluem o nível de serviço, produtividade, qualidade, flexibilidade, satisfação do cliente, tempo do contentor no terminal, tempo de resposta aos requisitos, </w:t>
      </w:r>
      <w:r w:rsidR="00894470">
        <w:t>“</w:t>
      </w:r>
      <w:r w:rsidRPr="004D55DA">
        <w:t>feedback</w:t>
      </w:r>
      <w:r w:rsidR="00894470">
        <w:t>”</w:t>
      </w:r>
      <w:r w:rsidRPr="004D55DA">
        <w:t xml:space="preserve"> aos clientes, disponibilidade da informação, capacidade de cooperação, grau de competências, formação, “empowerment” e partilha de informações.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Ou seja, a agilidade é uma das estratégias que pode ajudar o terminal de contentores a sobreviver a um ambiente económico novo. O terminal deve adotar uma estrutura organizacional flexível para conseguir ter um serviço ágil e responder aos requisitos dos clientes (Liu </w:t>
      </w:r>
      <w:r w:rsidRPr="00D713C2">
        <w:rPr>
          <w:i/>
        </w:rPr>
        <w:t>et al.,</w:t>
      </w:r>
      <w:r w:rsidRPr="004D55DA">
        <w:t xml:space="preserve">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Verifica-se assim, que alguns autores defendem que o desempenho dos terminais de contentores não pode ser avaliado fora do contexto das cadeias logísticas que integra, ou seja, não faz sentido avaliar o desempenho do porto apenas por si, pelo que o seu desempenho só pode ser explicado pela forma como se integra nas cadeias de que faz parte, devendo os </w:t>
      </w:r>
      <w:r w:rsidR="00136906" w:rsidRPr="004D55DA">
        <w:t>fatores</w:t>
      </w:r>
      <w:r w:rsidRPr="004D55DA">
        <w:t xml:space="preserve"> explicativos do desempenho orientarem-se para esta vertente. No entanto, considera-se que não são apenas estes os </w:t>
      </w:r>
      <w:r w:rsidR="00136906" w:rsidRPr="004D55DA">
        <w:t>fatores</w:t>
      </w:r>
      <w:r w:rsidRPr="004D55DA">
        <w:t xml:space="preserve"> relevantes, sendo apenas parte dos que devem ser considerados, embora muito importantes. Sendo ainda relevante considerar os </w:t>
      </w:r>
      <w:r w:rsidR="00136906" w:rsidRPr="004D55DA">
        <w:t>fatores</w:t>
      </w:r>
      <w:r w:rsidRPr="004D55DA">
        <w:t xml:space="preserve"> relacionados com o porto em si, com a infraestrutura, os equipamentos, "shipping" e localização.</w:t>
      </w:r>
      <w:r w:rsidR="00AF238A">
        <w:t xml:space="preserve"> </w:t>
      </w:r>
      <w:r w:rsidRPr="004D55DA">
        <w:t>Com a progressiva integração dos portos nas cadeias de abastecimento, tornou-se claro que os carregadores que não escolhem o porto “per si”, mas sim a cadeia de abastecimentos e o respetivo pacote de serviços de logística associado. O porto é apenas mais um elemento da cadeia, ainda que um dos mais importantes do sistema (Magala &amp; Sammons, 2008).</w:t>
      </w:r>
      <w:r w:rsidR="00AF238A">
        <w:t xml:space="preserve"> </w:t>
      </w:r>
      <w:r w:rsidRPr="004D55DA">
        <w:t xml:space="preserve">Os estudos ainda se concentram na escolha dos portos de forma isolada dos sistemas de cadeia na qual ela está inserida. No entanto, a escolha do porto cabe essencialmente ao armador, que possui uma visão muito ligada aos aspetos das rotas marítimas e da organização do seu sistema de linhas regulares, olhando o porto do lado do mar. Mas cada vez mais os armadores oferecerem serviços porta-a-porta, obrigando-se a estar integrados nas cadeias </w:t>
      </w:r>
      <w:r w:rsidRPr="004D55DA">
        <w:lastRenderedPageBreak/>
        <w:t>logísticas e nos seus requisitos, para poderem cumprir as necessidades dos clientes, formando muitas vezes eles próprios as suas cadeias logísticas em terra.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Mas, a seleção do porto não deve ser avaliada apenas com base nos requisitos das cadeias logísticas, independentemente de se reconhecer a sua crescente importância. Os estudos existentes baseiam-se muitas vezes na extensão simples dos conceitos da logística terrestre ao transporte intermodal, recorrendo a inquéritos de opinião sobre os </w:t>
      </w:r>
      <w:r w:rsidR="00136906" w:rsidRPr="004D55DA">
        <w:t>fatores</w:t>
      </w:r>
      <w:r w:rsidRPr="004D55DA">
        <w:t xml:space="preserve"> de escolha das cadeias logísticas terrestres aplicados aos terminais portuários, esquecendo as especificidades do transporte marítimo e dos portos, e raramente avaliando o peso desses fatores, de facto, no desempenho dos terminais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Não são abundantes os estudos que cruzem as características dos terminais no âmbito da sua integração nas cadeias logísticas com indicadores físicos, financeiros ou operacionais de desempenho portuário e do serviço marítimo, avaliando o grau de explicação que lhes pode ser atribuído.</w:t>
      </w:r>
      <w:r w:rsidR="00AF238A">
        <w:t xml:space="preserve"> </w:t>
      </w:r>
      <w:r w:rsidRPr="004D55DA">
        <w:t>Anteriormente, as cadeias logísticas eram muito fragmentadas, sendo a integração dos portos um fenómeno recente e crescente, embora não nos pareça ser o único fenómeno explicativo do desempenho dos terminais portuários.</w:t>
      </w:r>
      <w:r w:rsidR="00AF238A">
        <w:t xml:space="preserve"> </w:t>
      </w:r>
      <w:r w:rsidRPr="004D55DA">
        <w:t>A escolha do terminal de contentores é uma questão abrangente e importante não só para os transportadores marítimos, mas também para os gestores do porto e do terminal, carregadores e decisores políticos. Robinson (2002) foi o primeiro investigador a propor e articular a visão do porto com a cadeia logística e a pedir uma mudança de paradigma. Na escolha de um terminal de contentores tem assim crescente importância a integração na cadeia de abastecimento e a oferta de vantagens competitivas ao cliente final, embora não seja o único factor.</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Num ambiente de crescente concorrência, os terminais não podem apenas esperar pelas cargas, simplesmente porque são elos importantes ou bem localizados, mas têm que se integrar e responder de forma adequada aos requisitos das cadeias logísticas dos seus clientes principais, garantindo a satisfação. Nesse contexto, os grandes operadores logísticos e transitários são cada vez mais clientes importantes dos armadores, com influência na escolha dos terminais portuários (Magala &amp; Sammons, 2008).</w:t>
      </w:r>
    </w:p>
    <w:p w:rsidR="00104A12" w:rsidRPr="004D55DA" w:rsidRDefault="00104A12" w:rsidP="007F7964">
      <w:pPr>
        <w:spacing w:line="360" w:lineRule="auto"/>
        <w:jc w:val="both"/>
      </w:pPr>
    </w:p>
    <w:p w:rsidR="00104A12" w:rsidRPr="004D55DA" w:rsidRDefault="00047477" w:rsidP="007F7964">
      <w:pPr>
        <w:spacing w:line="360" w:lineRule="auto"/>
        <w:jc w:val="both"/>
      </w:pPr>
      <w:r>
        <w:t>A</w:t>
      </w:r>
      <w:r w:rsidR="00104A12" w:rsidRPr="004D55DA">
        <w:t xml:space="preserve"> escolha do terminal de contentores interessa assim não só a eficiência, produtividade e localização, mas também a qualidade e fiabilidade na cadeia de abastecimentos, bem como o custo total da cadeia que passa pelo porto. O sucesso dos portos confunde-se com o </w:t>
      </w:r>
      <w:r w:rsidR="00104A12" w:rsidRPr="004D55DA">
        <w:lastRenderedPageBreak/>
        <w:t>desempenho da cadeia de abastecimento. Para os donos da carga, a escolha faz-se em função do desempenho geral da rede, que pode ou não incluir determinado porto.</w:t>
      </w:r>
      <w:r w:rsidR="00D216EA">
        <w:t xml:space="preserve"> </w:t>
      </w:r>
      <w:r w:rsidR="00104A12" w:rsidRPr="004D55DA">
        <w:t xml:space="preserve">Os operadores logísticos, que muitas vezes são também os próprios armadores, têm assumido o papel de integradores dos serviços na cadeia de abastecimento, com soluções completas porta-a-porta para os carregadores, deixando-os concentrarem-se no seu negócio principal, o que </w:t>
      </w:r>
      <w:r w:rsidR="00E91C11">
        <w:t xml:space="preserve">levou </w:t>
      </w:r>
      <w:r w:rsidR="00104A12" w:rsidRPr="004D55DA">
        <w:t>os operadores logísticos a ter</w:t>
      </w:r>
      <w:r w:rsidR="00E91C11">
        <w:t>em</w:t>
      </w:r>
      <w:r w:rsidR="00104A12" w:rsidRPr="004D55DA">
        <w:t xml:space="preserve"> pape</w:t>
      </w:r>
      <w:r>
        <w:t>l relevante na escolha do porto</w:t>
      </w:r>
      <w:r w:rsidRPr="004D55DA">
        <w:t xml:space="preserve"> (Magala &amp; Sammons, 2008).</w:t>
      </w:r>
    </w:p>
    <w:p w:rsidR="00104A12" w:rsidRPr="004D55DA" w:rsidRDefault="00104A12" w:rsidP="007F7964">
      <w:pPr>
        <w:spacing w:line="360" w:lineRule="auto"/>
        <w:jc w:val="both"/>
        <w:rPr>
          <w:b/>
        </w:rPr>
      </w:pPr>
    </w:p>
    <w:p w:rsidR="00D216EA" w:rsidRPr="00D216EA" w:rsidRDefault="00104A12" w:rsidP="00D216EA">
      <w:pPr>
        <w:spacing w:line="360" w:lineRule="auto"/>
        <w:jc w:val="both"/>
      </w:pPr>
      <w:r w:rsidRPr="004D55DA">
        <w:t>Em conclusão, parece-nos determinante para o desempenho do terminal de contentores a utilização de variáveis relacionadas com a ligação às cadeias logísticas, em especial através do cumprimento dos requisitos cada vez mais apertados destas, como sejam a agilidade, flexibilidade, fiabilidade, qualidade, preços, imagem, orientação para o cliente e para a integração nas cadeias de abastecimento, oferta de serviços logísticos de valor acrescentado no terminal e a existência de sistemas de informação integrados com os sistemas logísticos.</w:t>
      </w:r>
    </w:p>
    <w:p w:rsidR="00104A12" w:rsidRPr="004D55DA" w:rsidRDefault="00104A12" w:rsidP="00D216EA">
      <w:pPr>
        <w:pStyle w:val="Cabealho2"/>
        <w:ind w:left="0" w:firstLine="0"/>
        <w:rPr>
          <w:sz w:val="24"/>
          <w:szCs w:val="24"/>
          <w:lang w:val="pt-PT"/>
        </w:rPr>
      </w:pPr>
      <w:r w:rsidRPr="004D55DA">
        <w:rPr>
          <w:lang w:val="pt-PT"/>
        </w:rPr>
        <w:br w:type="page"/>
      </w:r>
      <w:bookmarkStart w:id="54" w:name="_Toc395730135"/>
      <w:r w:rsidRPr="004D55DA">
        <w:rPr>
          <w:sz w:val="24"/>
          <w:szCs w:val="24"/>
          <w:lang w:val="pt-PT"/>
        </w:rPr>
        <w:lastRenderedPageBreak/>
        <w:t>“Softorg-terminal</w:t>
      </w:r>
      <w:r w:rsidR="00E40CEF">
        <w:rPr>
          <w:sz w:val="24"/>
          <w:szCs w:val="24"/>
          <w:lang w:val="pt-PT"/>
        </w:rPr>
        <w:fldChar w:fldCharType="begin"/>
      </w:r>
      <w:r w:rsidR="00E40CEF" w:rsidRPr="00E40CEF">
        <w:rPr>
          <w:lang w:val="pt-PT"/>
        </w:rPr>
        <w:instrText xml:space="preserve"> XE "</w:instrText>
      </w:r>
      <w:r w:rsidR="00E40CEF" w:rsidRPr="0042010D">
        <w:rPr>
          <w:sz w:val="24"/>
          <w:szCs w:val="24"/>
          <w:lang w:val="pt-PT"/>
        </w:rPr>
        <w:instrText>Softorg-terminal</w:instrText>
      </w:r>
      <w:r w:rsidR="00E40CEF" w:rsidRPr="00E40CEF">
        <w:rPr>
          <w:lang w:val="pt-PT"/>
        </w:rPr>
        <w:instrText xml:space="preserve">" </w:instrText>
      </w:r>
      <w:r w:rsidR="00E40CEF">
        <w:rPr>
          <w:sz w:val="24"/>
          <w:szCs w:val="24"/>
          <w:lang w:val="pt-PT"/>
        </w:rPr>
        <w:fldChar w:fldCharType="end"/>
      </w:r>
      <w:r w:rsidRPr="004D55DA">
        <w:rPr>
          <w:sz w:val="24"/>
          <w:szCs w:val="24"/>
          <w:lang w:val="pt-PT"/>
        </w:rPr>
        <w:t>” ou organização do terminal</w:t>
      </w:r>
      <w:bookmarkEnd w:id="54"/>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tipo de gestão e o tipo de gestor do terminal são fundamentais para a agilidade dos terminais e para uma adequada resposta no âmbito da cadeia logística, como se verificou no capítulo anterior. Por outro lado, a gestão privada acrescenta valor aos terminais de contentores, em especial se tiver como protagonistas empresas operadoras ou armadoras internacionais, que garantam elevados níveis de desempenho.</w:t>
      </w:r>
      <w:r w:rsidR="000729AF">
        <w:t xml:space="preserve"> </w:t>
      </w:r>
      <w:r w:rsidRPr="004D55DA">
        <w:t>Existem operadores de terminais à escala global que possuem elevados níveis de eficiência exigidos pelas linhas e possuem contratos globais com operadores de transporte marítimo. Caracterizam-se por terem como foco principal a operação de terminais, considerados centros de lucros de elevada eficiência, com sistemas operacionais e de informação comuns para otimizar ao máximo a produtividade (Lun &amp; Cariou, 2009).</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Alguns operadores de terminais de contentores são simultaneamente operadores do transporte marítimo de contentores, sua atividade principal, mas têm investimentos em terminais como forma de integração vertical, operando em especial os seus navios.</w:t>
      </w:r>
      <w:r w:rsidR="000729AF">
        <w:t xml:space="preserve"> </w:t>
      </w:r>
      <w:r w:rsidRPr="004D55DA">
        <w:t>O nível de eficiência dos estivadores globais nas operações de terminais de contentores é muito elevado, quando se compara com o nível de eficiência de outro tipo de terminais portuários.</w:t>
      </w:r>
      <w:r w:rsidR="000729AF">
        <w:t xml:space="preserve"> </w:t>
      </w:r>
      <w:r w:rsidRPr="004D55DA">
        <w:t>Os operadores de terminais de contentores globais possuem uma experiência rica e especializada na gestão de terminais de contentores, que lhes confere uma vantagem competitiva importante quando pretendem ampliar sua operação internacionalmente</w:t>
      </w:r>
      <w:r w:rsidR="000729AF">
        <w:t xml:space="preserve"> (Notteboom &amp; Rodrigue,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de gestão portuária difere de país para país, existindo na Europa os conhecidos modelo “landlord-port”, em que a autoridade portuária concessiona a exploração dos terminais, o “tool-port”, em que a autoridade portuária explora os terminais portuários diretamente, mas o serviço de estiva é efetuado por empresas licenciadas para o efeito, e o “service-port”, em que a autoridade portuária exerce o serviço de estiva e manipulação da carga, modelo pouco utilizado na Europa (Baird, 1995).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Nos países do sul da Europa, os portos são geridos por entidades sob o domínio dos governos centrais, enquanto no norte da Europa, os portos são geridos pelas regiões ou municípios. Gonzalez e Trujillo (2008) referiram que o modelo espanhol é “landlord-port”, considerando fundamental reforçar a autonomia das autoridades portuárias. Nos anos 90, ocorreu uma </w:t>
      </w:r>
      <w:r w:rsidRPr="004D55DA">
        <w:lastRenderedPageBreak/>
        <w:t>reforma que incentivou a participação do setor privado na atividade portuária, o que veio reforçar a eficiência dos portos portugueses e espanhóis.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regime de propriedade e de gestão dos portos, </w:t>
      </w:r>
      <w:r w:rsidR="00894470">
        <w:t xml:space="preserve">a que está </w:t>
      </w:r>
      <w:r w:rsidR="00136906">
        <w:t>associada</w:t>
      </w:r>
      <w:r w:rsidRPr="004D55DA">
        <w:t xml:space="preserve"> governação, é considerado um dos </w:t>
      </w:r>
      <w:r w:rsidR="00136906" w:rsidRPr="004D55DA">
        <w:t>fatores</w:t>
      </w:r>
      <w:r w:rsidRPr="004D55DA">
        <w:t xml:space="preserve"> de caracterização dos portos que influencia o seu desempenho e a sua eficiência (Liu, 1995), uma vez que se considera que quando a gestão ou propriedade dos terminais está do lado público não existe o incentivo suficiente para que seja realizada uma constante melhoria da gestão da eficiência, criando-se assim ineficiências, que não ocorrem nos terminais geridos por empresas privadas, que têm como objetivo o lucro.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de gestão portuária tem vindo a evoluir ao longo dos últim</w:t>
      </w:r>
      <w:r w:rsidR="009E2F41">
        <w:t>os anos, tendo sido efetuadas</w:t>
      </w:r>
      <w:r w:rsidRPr="004D55DA">
        <w:t xml:space="preserve"> concessões de inúmeros terminais portuários em todo o mundo, com a disseminação do modelo tradicional do Norte da Europa, face ao seu sucesso em termos de desempenho.</w:t>
      </w:r>
      <w:r w:rsidR="009E2F41">
        <w:t xml:space="preserve"> </w:t>
      </w:r>
      <w:r w:rsidRPr="004D55DA">
        <w:t>No final do século XX, a grande maioria dos portos, que até então eram geridos por empresas ou organismos do Estado, sofreram diversas formas de privatização da respetiva gestão, seja através da concessão a longo prazo, do licenciamento ou de novos projetos BOT, “build operate and transfer”, tendo os Estados assumido papéis mais direcionados para o modelo “landlord-port”.</w:t>
      </w:r>
      <w:r w:rsidR="009E2F41">
        <w:t xml:space="preserve"> </w:t>
      </w:r>
      <w:r w:rsidR="00D713C2" w:rsidRPr="004D55DA">
        <w:t>A operação dos terminais por empresas privadas tem</w:t>
      </w:r>
      <w:r w:rsidRPr="004D55DA">
        <w:t xml:space="preserve"> assim importância e influência no desempenho dos portos, contribuindo para a respetiva inserção em novas cadeias logísticas marítimas e globais, agregando novos conhecimentos técnicos e facilitando a eliminação ao máximo dos custos não produtivos, aumentando a eficiência, satisfação do cliente e níveis de desempenho.</w:t>
      </w:r>
      <w:r w:rsidR="009E2F41">
        <w:t xml:space="preserve"> </w:t>
      </w:r>
      <w:r w:rsidRPr="004D55DA">
        <w:t>Tongzon (2000; 2001; 2002) avaliou a eficiência dos portos e os efeitos positivos na produtividade das reformas com a concessão dos terminais. Liu (1995) analisou quatro variáveis com influência sobre o desempenho, em especial a propriedade da gestão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ilustram que a reestruturação da propriedade nos portos contribuiu para ganhos de produtividade, otimizando a operação de terminais de contentores, especialmente nos grandes portos, e permitiu criar entidades privadas especializadas na operação de terminais, concentrando horizontalmente a sua atividade (Cheon </w:t>
      </w:r>
      <w:r w:rsidRPr="00D713C2">
        <w:rPr>
          <w:i/>
        </w:rPr>
        <w:t>et al</w:t>
      </w:r>
      <w:r w:rsidRPr="004D55DA">
        <w:t>., 2010).</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Existem pontos de vista conflituantes sobre o impacto da participação do setor privado na eficiência do porto. Por exemplo, Liu (1995) examinou como os diferentes tipos de </w:t>
      </w:r>
      <w:r w:rsidRPr="004D55DA">
        <w:lastRenderedPageBreak/>
        <w:t xml:space="preserve">propriedade do porto influenciam a eficiência técnica, mas não encontrou qualquer vantagem significativa na propriedade privada ou pública, quando o ambiente é competitivo.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Notteboom </w:t>
      </w:r>
      <w:r w:rsidRPr="00D713C2">
        <w:rPr>
          <w:i/>
        </w:rPr>
        <w:t>et al.</w:t>
      </w:r>
      <w:r w:rsidRPr="004D55DA">
        <w:t xml:space="preserve"> (2000) argumentaram que o modelo de gestão do porto não tem um efeito significativo sobre o desempenho do porto. No entanto, vários estudos empíricos apoiam as reformas institucionais baseadas na participação do setor privado como uma política eficaz para o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Estache </w:t>
      </w:r>
      <w:r w:rsidRPr="00D713C2">
        <w:rPr>
          <w:i/>
        </w:rPr>
        <w:t>et al.</w:t>
      </w:r>
      <w:r w:rsidRPr="004D55DA">
        <w:t xml:space="preserve"> (2001) verificaram que a reforma da privatização dos portos do México gerou grandes melhorias de curto prazo no desempenho médio da indústria portuária. Demonstraram a ocorrência de ganhos de 6 a 8% na eficiência da utilização da infraestrutura portuária com a concessão da exploração dos terminais</w:t>
      </w:r>
      <w:r w:rsidR="000729AF">
        <w:t xml:space="preserve">. </w:t>
      </w:r>
      <w:r w:rsidRPr="004D55DA">
        <w:t xml:space="preserve">Alguns estudos mostram que as reformas dos portos espanhóis geraram melhorias significativas na produtividade (Gonzalez &amp; Trujillo, 2009).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Barros (2003) concordou com os estudos mencionados anteriormente, argumentando que a reforma implementada nos portos portugueses alcançou impactos substanciais na melhoria da eficiência. Cullinane </w:t>
      </w:r>
      <w:r w:rsidRPr="00D713C2">
        <w:rPr>
          <w:i/>
        </w:rPr>
        <w:t>et al.</w:t>
      </w:r>
      <w:r w:rsidRPr="004D55DA">
        <w:t xml:space="preserve"> (2002) concluíram que a privatização teve impactos positivos na melhoria da eficiência dos portos asiáticos.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Tongzon e Heng, (2005), analisaram o efeito da privatização dos terminais na eficiência dos portos utilizando o método das componentes principais para reduzir e determinar os </w:t>
      </w:r>
      <w:r w:rsidR="00136906" w:rsidRPr="004D55DA">
        <w:t>fatores</w:t>
      </w:r>
      <w:r w:rsidRPr="004D55DA">
        <w:t xml:space="preserve"> principais. Concluíram que a privatização total do porto não garante o aumento da eficiência, sendo preferível a parcial, uma vez que apenas com o “mix” de propriedade pública e gestão privada, será possível obter o desempenho máximo na utilização dos </w:t>
      </w:r>
      <w:r w:rsidR="00136906">
        <w:t>“</w:t>
      </w:r>
      <w:r w:rsidRPr="004D55DA">
        <w:t>inputs</w:t>
      </w:r>
      <w:r w:rsidR="00136906">
        <w:t>”</w:t>
      </w:r>
      <w:r w:rsidRPr="004D55DA">
        <w:t xml:space="preserve"> dos portos, face à sua complexidade e às relações comerciais e institucionais que a sua gestão implica.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Tongzon e Heng (2005) afirmaram que a participação do setor privado na indústria portuária pode melhorar a eficiência operacional, sendo uma estratégia necessária para ganhar uma vantagem competitiva no mercado atual. Mas quando existe concorrência limitada numa região, as privatizações podem transformar-se em monopólios privados de instalações portuárias com efeitos perversos.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Baird (2002) argumentou que a venda pura de terrenos portuários é uma transferência de operações e funções de regulação para o setor privado, que pode eventualmente ser contraproducente. </w:t>
      </w:r>
    </w:p>
    <w:p w:rsidR="00104A12" w:rsidRPr="004D55DA" w:rsidRDefault="00104A12" w:rsidP="007F7964">
      <w:pPr>
        <w:spacing w:line="360" w:lineRule="auto"/>
        <w:jc w:val="both"/>
      </w:pPr>
    </w:p>
    <w:p w:rsidR="00104A12" w:rsidRPr="004D55DA" w:rsidRDefault="00136906" w:rsidP="007F7964">
      <w:pPr>
        <w:spacing w:line="360" w:lineRule="auto"/>
        <w:jc w:val="both"/>
      </w:pPr>
      <w:r>
        <w:t>Barros e Athanassiou</w:t>
      </w:r>
      <w:r w:rsidR="00104A12" w:rsidRPr="004D55DA">
        <w:t xml:space="preserve"> (2004) referiram que a privatização é a melhor forma de aumentar dramaticamente a eficiência dos portos e Lui </w:t>
      </w:r>
      <w:r w:rsidR="00104A12" w:rsidRPr="00D713C2">
        <w:rPr>
          <w:i/>
        </w:rPr>
        <w:t>et al.</w:t>
      </w:r>
      <w:r w:rsidR="00104A12" w:rsidRPr="004D55DA">
        <w:t xml:space="preserve"> (2005) referiram que os terminais portuários chineses com parecerias sino-estrangeiras (privadas) têm maiores níveis de desempenho, e que os terminais com linhas de navegação intercontinentais têm também uma maior eficiência, que aqueles que possuem apenas linhas regionais ou operadores locais. Este estudo demonstrou que a gestão por empresas privadas ligadas a grupos internacionais potencia o desempenho dos terminais, ao permitir a integração de conhecimentos técnicos inovadores desenvolvidos no grupo e ao elevar os padrões de desempenho através da comparação no grupo, indo ao encontro dos padrões a que as empresas clientes dos terminais do grupo estão habituadas.</w:t>
      </w:r>
      <w:r w:rsidR="009E2F41">
        <w:t xml:space="preserve"> </w:t>
      </w:r>
      <w:r w:rsidR="00104A12" w:rsidRPr="004D55DA">
        <w:t>As linhas intercontinentais são muitas das vezes operadoras dos terminais que escalam, ou têm parcerias com grandes operadores portuários internacionais, o que em qualquer dos casos, obriga os terminais a garantir um adequado nível de desempenho, uma vez que as linhas o que exigem, mas também facilitam a escala de navios de maior dimensão, que permitem o atingir de níveis de produtividade mais elevados.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terminais privados que possuem parcerias com operadores internacionais, ou com grandes armadores, são obrigados a adequar os respetivos “lay-out”, infraestruturas, equipamentos, sistemas de informação e modelos de gestão e formação, facto que leva a saltos qualitativos no desempenho respetivo, quando comparados com os que não beneficiam destes conhecimentos e exigências.</w:t>
      </w:r>
      <w:r w:rsidR="009E2F41">
        <w:t xml:space="preserve"> </w:t>
      </w:r>
      <w:r w:rsidRPr="004D55DA">
        <w:t xml:space="preserve">Tal situação foi também referida por Notteboom </w:t>
      </w:r>
      <w:r w:rsidRPr="00D713C2">
        <w:rPr>
          <w:i/>
        </w:rPr>
        <w:t>et al.</w:t>
      </w:r>
      <w:r w:rsidRPr="004D55DA">
        <w:t xml:space="preserve"> (2000) no que respeita à maior eficiência dos portos “hub” face aos portos “feeder”, uma vez que estes são muitas vezes geridos pelas autoridades ou empresas locais e não possuem ligações a grupos internacionais de operadores.</w:t>
      </w:r>
    </w:p>
    <w:p w:rsidR="00104A12" w:rsidRPr="004D55DA" w:rsidRDefault="00104A12" w:rsidP="007F7964">
      <w:pPr>
        <w:spacing w:line="360" w:lineRule="auto"/>
        <w:jc w:val="both"/>
      </w:pPr>
    </w:p>
    <w:p w:rsidR="00104A12" w:rsidRPr="004D55DA" w:rsidRDefault="009E2F41" w:rsidP="007F7964">
      <w:pPr>
        <w:spacing w:line="360" w:lineRule="auto"/>
        <w:jc w:val="both"/>
      </w:pPr>
      <w:r>
        <w:t>Em resumo,</w:t>
      </w:r>
      <w:r w:rsidR="00104A12" w:rsidRPr="004D55DA">
        <w:t xml:space="preserve"> </w:t>
      </w:r>
      <w:r>
        <w:t>é fundamental</w:t>
      </w:r>
      <w:r w:rsidR="00104A12" w:rsidRPr="004D55DA">
        <w:t xml:space="preserve"> não só a governação com apoio privado, mas que a participação privada inclua a integração do porto em redes internacionais de operadores de terminais ou linhas de navegação, para que o desempenho beneficie de conhecimentos e exigências acrescidas.</w:t>
      </w:r>
      <w:r>
        <w:t xml:space="preserve"> </w:t>
      </w:r>
      <w:r w:rsidR="00104A12" w:rsidRPr="004D55DA">
        <w:t>O essencial é que a participação na gestão dos portos e dos terminais seja realizada por atores chave do sistema portuário e marítimo internacional, ligados às grandes redes logísticas, com requisitos de qualidade e velocidade acima da média.</w:t>
      </w:r>
      <w:r>
        <w:t xml:space="preserve"> </w:t>
      </w:r>
      <w:r w:rsidR="005628E1" w:rsidRPr="004D55DA">
        <w:t>Em suma, p</w:t>
      </w:r>
      <w:r w:rsidR="00104A12" w:rsidRPr="004D55DA">
        <w:t xml:space="preserve">odemos </w:t>
      </w:r>
      <w:r w:rsidR="00104A12" w:rsidRPr="004D55DA">
        <w:lastRenderedPageBreak/>
        <w:t>considerar como variáveis “softorg-terminal”, o tipo de propriedade ou governo do terminal, se é pública ou privada, com a gestão privada a acrescentar valor e produtividade ao serviço dos terminais de contentores.</w:t>
      </w:r>
      <w:r>
        <w:t xml:space="preserve"> </w:t>
      </w:r>
      <w:r w:rsidR="00104A12" w:rsidRPr="004D55DA">
        <w:t>Outra questão muito importante, embora já tratada no capítulo anterior em ligação com a agilidade, é o tipo de gestor. É orientado para o cliente e para as necessidades das cadeias logísticas que passam pelo porto.</w:t>
      </w:r>
      <w:r>
        <w:t xml:space="preserve"> </w:t>
      </w:r>
      <w:r w:rsidR="00104A12" w:rsidRPr="004D55DA">
        <w:t>O tipo de organização do terminal, mais informal ou formal, flexível ou rígida, hierárquica ou achatada, é determinante para a agilidade do terminal e para responder de forma adequada às necessidades dos clientes e das redes do lado de terra e do lado de mar, como também verificámos no capítulo anterior.</w:t>
      </w:r>
    </w:p>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pPr>
    </w:p>
    <w:p w:rsidR="00104A12" w:rsidRPr="00E40CEF" w:rsidRDefault="00104A12" w:rsidP="00D216EA">
      <w:pPr>
        <w:pStyle w:val="Cabealho2"/>
        <w:spacing w:line="360" w:lineRule="auto"/>
        <w:ind w:left="0" w:firstLine="0"/>
        <w:jc w:val="both"/>
        <w:rPr>
          <w:sz w:val="24"/>
          <w:szCs w:val="24"/>
          <w:lang w:val="pt-PT"/>
        </w:rPr>
      </w:pPr>
      <w:bookmarkStart w:id="55" w:name="_Toc395730136"/>
      <w:r w:rsidRPr="004D55DA">
        <w:rPr>
          <w:sz w:val="24"/>
          <w:szCs w:val="24"/>
          <w:lang w:val="pt-PT"/>
        </w:rPr>
        <w:t>Desempenho</w:t>
      </w:r>
      <w:r w:rsidRPr="00E40CEF">
        <w:rPr>
          <w:sz w:val="24"/>
          <w:szCs w:val="24"/>
          <w:lang w:val="pt-PT"/>
        </w:rPr>
        <w:t xml:space="preserve"> do terminal</w:t>
      </w:r>
      <w:r w:rsidR="00E40CEF">
        <w:rPr>
          <w:sz w:val="24"/>
          <w:szCs w:val="24"/>
        </w:rPr>
        <w:fldChar w:fldCharType="begin"/>
      </w:r>
      <w:r w:rsidR="00E40CEF" w:rsidRPr="00E40CEF">
        <w:rPr>
          <w:lang w:val="pt-PT"/>
        </w:rPr>
        <w:instrText xml:space="preserve"> XE "</w:instrText>
      </w:r>
      <w:r w:rsidR="00E40CEF" w:rsidRPr="00780050">
        <w:rPr>
          <w:sz w:val="24"/>
          <w:szCs w:val="24"/>
          <w:lang w:val="pt-PT"/>
        </w:rPr>
        <w:instrText>Desempenho</w:instrText>
      </w:r>
      <w:r w:rsidR="00E40CEF" w:rsidRPr="00E40CEF">
        <w:rPr>
          <w:sz w:val="24"/>
          <w:szCs w:val="24"/>
          <w:lang w:val="pt-PT"/>
        </w:rPr>
        <w:instrText xml:space="preserve"> do terminal</w:instrText>
      </w:r>
      <w:r w:rsidR="00E40CEF" w:rsidRPr="00E40CEF">
        <w:rPr>
          <w:lang w:val="pt-PT"/>
        </w:rPr>
        <w:instrText xml:space="preserve">" </w:instrText>
      </w:r>
      <w:r w:rsidR="00E40CEF">
        <w:rPr>
          <w:sz w:val="24"/>
          <w:szCs w:val="24"/>
        </w:rPr>
        <w:fldChar w:fldCharType="end"/>
      </w:r>
      <w:r w:rsidRPr="00E40CEF">
        <w:rPr>
          <w:sz w:val="24"/>
          <w:szCs w:val="24"/>
          <w:lang w:val="pt-PT"/>
        </w:rPr>
        <w:t xml:space="preserve"> de</w:t>
      </w:r>
      <w:r w:rsidRPr="004D55DA">
        <w:rPr>
          <w:sz w:val="24"/>
          <w:szCs w:val="24"/>
          <w:lang w:val="pt-PT"/>
        </w:rPr>
        <w:t xml:space="preserve"> contentores</w:t>
      </w:r>
      <w:bookmarkEnd w:id="55"/>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desempenho dos terminais de contentores é hoje em dia fundamental para todos os interessados no seu funcionamento, gestores, população, clientes, operadores, indústrias, governos e autoridades do porto. A crescente concorrência entre portos, transportadores marítimos e modos de transporte, levou ao aumento da importância da medida e comparação do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Mas o desempenho pode ser medido de várias formas, podendo ser sinónimo de eficiência, ou seja fazer mais com menos, pode ser apenas fazer mais em termos absolutos, independentemente dos recursos despendidos até determinado limite, </w:t>
      </w:r>
      <w:r w:rsidR="005628E1" w:rsidRPr="004D55DA">
        <w:t xml:space="preserve">e </w:t>
      </w:r>
      <w:r w:rsidRPr="004D55DA">
        <w:t>pode ser qualidade de serviço ou baixo nível de custos, garantindo-se um mínimo de serviço. Pode ser ganhar o mais possível por tonelada movimentada, oferecendo mais serviços, ou movimentar mais determinada carga que acrescenta mais valor à economia da região que outra.</w:t>
      </w:r>
      <w:r w:rsidR="00F657CD">
        <w:t xml:space="preserve"> </w:t>
      </w:r>
      <w:r w:rsidRPr="004D55DA">
        <w:t>Assim, consideram os autores estudados uma multiplicidade de indicadores de desempenho, que variam conforme o objetivo que pretendem ou o público-alvo que têm em mente ou o fenómeno que decidiram estudar.</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indicador de desempenho mais utilizado</w:t>
      </w:r>
      <w:r w:rsidR="009E2F41">
        <w:t xml:space="preserve"> pelos diversos autores</w:t>
      </w:r>
      <w:r w:rsidRPr="004D55DA">
        <w:t xml:space="preserve"> é o movimento absoluto de carga em toneladas ou em TEU (</w:t>
      </w:r>
      <w:r w:rsidR="00B16785">
        <w:t>“</w:t>
      </w:r>
      <w:r w:rsidRPr="004D55DA">
        <w:t>twenty-foot equivalent unit</w:t>
      </w:r>
      <w:r w:rsidR="00B16785">
        <w:t>”</w:t>
      </w:r>
      <w:r w:rsidRPr="004D55DA">
        <w:t>) no caso dos contentores. Para os portos, alguns autores utilizam também a distinção entre o movimento absoluto em toneladas pelos diferentes modos de acondicionamento da carga e número de navios servidos pelo porto em determinado período. Este indicador mostra bem a dimensão da escolha do porto pelos seus clientes, ou seja, quanto mais carga movimentar, mais escolhido pelos clientes foi o porto e logo, melhor o seu desempenho operacional, sendo fundamental compreender as características do porto que o explicam. Neste caso, cada tonelada possui um voto na escolha do porto.</w:t>
      </w:r>
      <w:r w:rsidR="009E2F41">
        <w:t xml:space="preserve"> </w:t>
      </w:r>
      <w:r w:rsidRPr="004D55DA">
        <w:t>Alguns preferem utilizar indicadores de receita absoluta ou de forma relativa, por tonelada ou TEU de carga movimentada. O custo para o cliente, relacionado com a receita do porto, é por vezes utilizado como factor que caracteriza o porto e factor de escolha do próprio porto. De facto, trata-se de um importante factor de escolha do porto pelas cargas e navios, mas é também um indicador de desempenho resultante das características do próprio porto e da sua eficiência.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Atualmente, com a maior preocupação pela eficiência dos portos e dos terminais de contentores, o indicador de eficiência multidimensional DEA (</w:t>
      </w:r>
      <w:r w:rsidR="00B16785">
        <w:t>“</w:t>
      </w:r>
      <w:r w:rsidRPr="004D55DA">
        <w:t>data envelopment analysis</w:t>
      </w:r>
      <w:r w:rsidR="00B16785">
        <w:t>”</w:t>
      </w:r>
      <w:r w:rsidRPr="004D55DA">
        <w:t xml:space="preserve">) tem vindo a ser muito utilizado na comparação entre portos, embora poucos estudos tenham ainda procurado utilizar este indicador em modelos de regressão que permitam explicar quais os </w:t>
      </w:r>
      <w:r w:rsidR="00136906" w:rsidRPr="004D55DA">
        <w:t>fatores</w:t>
      </w:r>
      <w:r w:rsidRPr="004D55DA">
        <w:t xml:space="preserve"> que determinam os valores encontrados nos portos. Refira-se que a eficiência é apontada por muitos autores como uma dos </w:t>
      </w:r>
      <w:r w:rsidR="00136906" w:rsidRPr="004D55DA">
        <w:t>fatores</w:t>
      </w:r>
      <w:r w:rsidRPr="004D55DA">
        <w:t xml:space="preserve"> de escolha do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 acordo com Talley (2006), o desempenho pode ser avaliado de forma relativa, dos pontos de vista da eficiência técnica, da rentabilidade e eficácia, comparando os resultados reais com o porto técnica e economicamente mais eficiente. O desempenho económico dos portos também pode ser avaliado pela comparação dos valores reais com os indicadores de desempenho padrão que sejam objetivos do porto.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questão crucial que se coloca na avaliação do desempenho de um porto é como medir o desempenho. O desempenho do porto deve ser avaliado ao longo do tempo ou em relação ao desempenho de outros portos? Numa perspetiva económica, técnica ou financeira? Habitualmente os portos analisam o seu desempenho, comparando os seus tráfegos de navios e mercadorias com anos anteriores, com os objetivos ou com outros portos (Talley, 2006).</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Bichou (2007) referiu que o desempenho dos portos é representado pelos diversos autores com variáveis financeiras ou de produtividade financeira, medidas de produtividade física dos portos ou terminais, medidas de produtividade multifator ou “total factor”, estudos de impacto económico e medidas de eficiência relativa, verificando existir uma falha entre a ligação das operações do lado do mar e as operações do lado de terra, devendo ser analisado o desempenho como um todo na cadeia logística de abastecimento, desde a entrada do navio até ao interface intermodal externo.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Num ambiente em que os portos possuem “hinterlands” que fomentam a concorrência entre si, num processo de seleção, o desempenho deve ser comparado com outros portos. No caso dos terminais de contentores, tem interesse comparar o desempenho económico, mas também a produtividade, eficiência e satisfação do cliente</w:t>
      </w:r>
      <w:r w:rsidR="00FE1EED">
        <w:t xml:space="preserve"> (eficácia)</w:t>
      </w:r>
      <w:r w:rsidRPr="004D55DA">
        <w:t>, dos operadores, armadores, carregadores e cadeias logísticas.</w:t>
      </w:r>
      <w:r w:rsidR="009E2F41">
        <w:t xml:space="preserve"> </w:t>
      </w:r>
      <w:r w:rsidRPr="004D55DA">
        <w:t xml:space="preserve">O terminal não pode verificar apenas se melhorou em relação ao ano anterior, mas verificar se melhorou mais que os outros e se ficou acima dos </w:t>
      </w:r>
      <w:r w:rsidRPr="004D55DA">
        <w:lastRenderedPageBreak/>
        <w:t>outros. Num ambiente competitivo, todos os detalhes contam para o desempenho do terminal de contentores, desde os custos, tempos, armazenagem, operações do lado de mar e de terra, para os carregadores e armadores, na cadeia logística terrestre e na rede marítima</w:t>
      </w:r>
      <w:r w:rsidR="009E2F41">
        <w:t xml:space="preserve"> </w:t>
      </w:r>
      <w:r w:rsidR="009E2F41" w:rsidRPr="004D55DA">
        <w:t>(Talley, 2006).</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Se o objetivo económico for maximizar os lucros, então a gestão portuária deve selecionar valores para os indicadores relacionados com os lucros máximos. Mas numa perspetiva macro da investigação, o objetivo dos terminais de contentores deve estar relacionado com uma multiplicidade de aspetos, passando pelos económicos e macroeconómicos, produtividade, eficiência e satisfação do cliente, cumprindo o serviço público e garantindo ser pólo de desenvolvimento do país e da região onde está integrado.</w:t>
      </w:r>
      <w:r w:rsidR="009E2F41">
        <w:t xml:space="preserve"> </w:t>
      </w:r>
      <w:r w:rsidRPr="004D55DA">
        <w:t>Talley (2006) definiu um conjunto de indicadores de desempenho, o movimento de carga anual em toneladas, toneladas de carga movimentada para/de navios por hora, tempo de serviço por navio, tempo de espera, tempo anual de abertura do porto e dos canais de navegação e número de problemas de segurança na carga e no navio, por ano. Referiu ainda que os objetivos do porto e do terminal portuário podem ser obter o maior movimento possível de cargas, menor custo, maior produtividade ou melhor resultado financeiro.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Na literatura, as avaliações do desempenho da eficiência técnica multiporto, dependem por vezes de modelos estatísticos que utilizam a fronteira técnica da eficiência, recorrendo à programação matemática do modelo de fronteira de produção. As comparações devem abarcar portos semelhantes ou poderão ter conclusões enganosas.</w:t>
      </w:r>
      <w:r w:rsidR="00F657CD">
        <w:t xml:space="preserve"> </w:t>
      </w:r>
      <w:r w:rsidRPr="004D55DA">
        <w:t>Como escolher os indicadores de desempenho do porto? Devemos escolher os relacionados com a eficiência interna, com a dimensão e sucesso no mercado, com a rentabilidade? Estes indicadores estão certamente relacionados, mas por vezes são conflituantes.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armadores de navios porta-contentores escolhem os portos que apresentam desempenhos em termos de menores tempos de espera, operação e rotação nas escalas e que cumprem os horários contratados, considerando que os tempos de imobilização dos navios têm um custo significativo no transporte marítimo</w:t>
      </w:r>
      <w:r w:rsidR="009E2F41">
        <w:t xml:space="preserve"> (Tongzon &amp; Sawant, 2007)</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carga contentorizada segue muitas vezes as escolhas dos armadores, o que não sucede no caso do mercado de “tramping” dos granéis, no qual os armadores seguem as preferências das cargas em termos de portos. Que público-alvo escolher, uma vez que tal escolha influencia os </w:t>
      </w:r>
      <w:r w:rsidRPr="004D55DA">
        <w:lastRenderedPageBreak/>
        <w:t>indicadores a selecionar?</w:t>
      </w:r>
      <w:r w:rsidR="00FE1EED">
        <w:t xml:space="preserve"> </w:t>
      </w:r>
      <w:r w:rsidRPr="004D55DA">
        <w:t>Considerando o desempenho como as qualidades do serviço que levam à atra</w:t>
      </w:r>
      <w:r w:rsidR="00FE1EED">
        <w:t>ç</w:t>
      </w:r>
      <w:r w:rsidRPr="004D55DA">
        <w:t xml:space="preserve">ão de mais navios e mais cargas, Sanchez </w:t>
      </w:r>
      <w:r w:rsidRPr="00D713C2">
        <w:rPr>
          <w:i/>
        </w:rPr>
        <w:t>et al.</w:t>
      </w:r>
      <w:r w:rsidRPr="004D55DA">
        <w:t xml:space="preserve"> (2003) determinaram três principais componentes da eficiência portuária, eficiência portuária no tempo, eficiência no terminal e tempo de rotação dos navios no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Mas, na maioria dos estudos, os principais indicadores de eficiência utilizados para os portos são o movimento portuário de cargas em toneladas, em TEUs no caso dos terminais de contentores ou decomposto por tipo de carga, </w:t>
      </w:r>
      <w:r w:rsidR="00B16785">
        <w:t>“</w:t>
      </w:r>
      <w:r w:rsidRPr="004D55DA">
        <w:t>roll-on roll-off</w:t>
      </w:r>
      <w:r w:rsidR="00B16785">
        <w:t>”</w:t>
      </w:r>
      <w:r w:rsidRPr="004D55DA">
        <w:t>, carga fracionada, carga contentorizada, granéis sólidos e granéis líquidos, considerando que este é o resultado final esperado por qualquer porto, movimentar mais cargas e mais navios.</w:t>
      </w:r>
      <w:r w:rsidR="00F657CD">
        <w:t xml:space="preserve"> </w:t>
      </w:r>
      <w:r w:rsidRPr="004D55DA">
        <w:t xml:space="preserve">Apenas para citar alguns autores que utilizaram o movimento em termos absolutos como variável de output de modelos de análise do desempenho dos portos, refiram-se Song e Yeo (2004), Poitras </w:t>
      </w:r>
      <w:r w:rsidRPr="00D713C2">
        <w:rPr>
          <w:i/>
        </w:rPr>
        <w:t>et al.</w:t>
      </w:r>
      <w:r w:rsidRPr="004D55DA">
        <w:t xml:space="preserve"> (1996), Barros (2003), Trujillo e Tovar (2007), Garcia-Alonso e Martin-Bofarull (2007), Park e De (2004) e Herrera e Pang (2006).</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Um outro indicador de desempenho adequado é o nível de receitas ou resultados financeiros por TEU ou funcionário do terminal, uma vez que este output espelha o valor do leque de serviços oferecidos e o que os clientes estão dispostos a pagar para escalar o terminal, dadas as suas condições ou localização. Apenas para citar alguns autores que optam pelos indicadores de desempenho relativos às receitas, Barros (2003), Park e De (2004), Kent e Ashar (2001), Gonzalez e Trujillo (2008), Turner </w:t>
      </w:r>
      <w:r w:rsidRPr="00D713C2">
        <w:rPr>
          <w:i/>
        </w:rPr>
        <w:t>e</w:t>
      </w:r>
      <w:r w:rsidR="00B16785" w:rsidRPr="00D713C2">
        <w:rPr>
          <w:i/>
        </w:rPr>
        <w:t>t</w:t>
      </w:r>
      <w:r w:rsidRPr="00D713C2">
        <w:rPr>
          <w:i/>
        </w:rPr>
        <w:t xml:space="preserve"> al</w:t>
      </w:r>
      <w:r w:rsidR="00B16785">
        <w:rPr>
          <w:i/>
        </w:rPr>
        <w:t>.</w:t>
      </w:r>
      <w:r w:rsidRPr="004D55DA">
        <w:t xml:space="preserve"> (2004).</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Cheon </w:t>
      </w:r>
      <w:r w:rsidRPr="00D713C2">
        <w:rPr>
          <w:i/>
        </w:rPr>
        <w:t>et al.</w:t>
      </w:r>
      <w:r w:rsidRPr="004D55DA">
        <w:t xml:space="preserve"> (2010) consideram os volumes de contentores manipulados no terminal em TEU como variável de desempenho do porto. Mas, muitos portos procuram tornar-se “hubs” intermédios de transbordo regional ou global, pelo que o volume de contentores pode ser subdividido em segmentos específicos, como seja “feeder”, “shortsea shipping”, “transhipment”, tráfego intercontinental, movimento de navios, tráfego dos principais armadores mundiais ou contentores de frio, entre outros.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Notteboom </w:t>
      </w:r>
      <w:r w:rsidRPr="00D713C2">
        <w:rPr>
          <w:i/>
        </w:rPr>
        <w:t>et al.</w:t>
      </w:r>
      <w:r w:rsidRPr="004D55DA">
        <w:t xml:space="preserve"> (2000) afirmaram que o desempenho do porto pode ser medido através de variáveis como a eficiência do terminal de contentores. Acochrane (2008) considerou o movimento do terminal em TEU, desagregado em componentes. Wang e Cullinane (2006), por exemplo, usaram esta medida para comparar ter</w:t>
      </w:r>
      <w:r w:rsidR="00FE1EED">
        <w:t xml:space="preserve">minais de contentores europeus. </w:t>
      </w:r>
      <w:r w:rsidRPr="004D55DA">
        <w:t xml:space="preserve">Existe uma discussão na literatura sobre as possíveis distorções criadas pela utilização da medida do </w:t>
      </w:r>
      <w:r w:rsidRPr="004D55DA">
        <w:lastRenderedPageBreak/>
        <w:t>movimento do terminal em TEU totais por ano, como única medida de desempenho para terminais de contentores, reconhecendo-se o efeito da relação dos contentores de 40´ e 20´ nos requisitos do terminal.</w:t>
      </w:r>
    </w:p>
    <w:p w:rsidR="00104A12" w:rsidRPr="004D55DA" w:rsidRDefault="00104A12" w:rsidP="007F7964">
      <w:pPr>
        <w:spacing w:line="360" w:lineRule="auto"/>
        <w:jc w:val="both"/>
      </w:pPr>
    </w:p>
    <w:p w:rsidR="00104A12" w:rsidRDefault="00104A12" w:rsidP="007F7964">
      <w:pPr>
        <w:spacing w:line="360" w:lineRule="auto"/>
        <w:jc w:val="both"/>
      </w:pPr>
      <w:r w:rsidRPr="004D55DA">
        <w:t>Nos últimos anos, tem havido um progresso significativo na literatura sobre a medição de eficiência em relação às atividades produtivas. Abordagens, denominadas DEA e análise de fronteira estocástica (SFA) têm sido cada vez mais utilizadas para analisar a produção e o desempenho dos terminais de contentores.</w:t>
      </w:r>
      <w:r w:rsidR="00F657CD">
        <w:t xml:space="preserve"> </w:t>
      </w:r>
      <w:r w:rsidRPr="004D55DA">
        <w:t xml:space="preserve">Martinez-Budira </w:t>
      </w:r>
      <w:r w:rsidRPr="00D713C2">
        <w:rPr>
          <w:i/>
        </w:rPr>
        <w:t>et al.</w:t>
      </w:r>
      <w:r w:rsidRPr="004D55DA">
        <w:t xml:space="preserve"> (1999) estudaram a evolução de grupos de diferentes portos espanhóis com base na sua complexidade em termos de eficiência relativa, usando a metodologia DEA, verificando que os portos de maior complexidade possuem níveis de eficiência mais elevados. Ryoo </w:t>
      </w:r>
      <w:r w:rsidRPr="00D713C2">
        <w:rPr>
          <w:i/>
        </w:rPr>
        <w:t>et al.</w:t>
      </w:r>
      <w:r w:rsidRPr="004D55DA">
        <w:t xml:space="preserve"> (2006) avaliaram a eficiência de 26 terminais de contentores na Ásia, identificando os terminais eficientes e ineficientes. </w:t>
      </w:r>
    </w:p>
    <w:p w:rsidR="00FE1EED" w:rsidRDefault="00FE1EED" w:rsidP="007F7964">
      <w:pPr>
        <w:spacing w:line="360" w:lineRule="auto"/>
        <w:jc w:val="both"/>
      </w:pPr>
    </w:p>
    <w:p w:rsidR="00FE1EED" w:rsidRPr="004D55DA" w:rsidRDefault="00FE1EED" w:rsidP="00FE1EED">
      <w:pPr>
        <w:spacing w:line="360" w:lineRule="auto"/>
        <w:jc w:val="both"/>
      </w:pPr>
      <w:r>
        <w:t>Brook</w:t>
      </w:r>
      <w:r w:rsidR="00F657CD">
        <w:t>s</w:t>
      </w:r>
      <w:r>
        <w:t xml:space="preserve"> e Pallis (2013) referem que o desempenho deve ser medido em termos de eficiência e </w:t>
      </w:r>
      <w:r w:rsidR="001212CE">
        <w:t>e</w:t>
      </w:r>
      <w:r>
        <w:t>ficácia</w:t>
      </w:r>
      <w:r w:rsidR="00F657CD">
        <w:t xml:space="preserve">. </w:t>
      </w:r>
      <w:r w:rsidR="001212CE">
        <w:t>R</w:t>
      </w:r>
      <w:r w:rsidR="00F657CD">
        <w:t xml:space="preserve">eferem que o desempenho </w:t>
      </w:r>
      <w:r w:rsidR="001212CE">
        <w:t>é normalmente</w:t>
      </w:r>
      <w:r w:rsidR="00F657CD">
        <w:t xml:space="preserve"> associado</w:t>
      </w:r>
      <w:r>
        <w:t xml:space="preserve"> </w:t>
      </w:r>
      <w:r w:rsidR="00F657CD">
        <w:t>à eficiência operacional, quantidades físicas</w:t>
      </w:r>
      <w:r>
        <w:t xml:space="preserve"> </w:t>
      </w:r>
      <w:r w:rsidR="00F657CD">
        <w:t>e</w:t>
      </w:r>
      <w:r>
        <w:t xml:space="preserve"> eficiência </w:t>
      </w:r>
      <w:r w:rsidR="00F657CD">
        <w:t>no uso</w:t>
      </w:r>
      <w:r>
        <w:t xml:space="preserve"> de recursos </w:t>
      </w:r>
      <w:r w:rsidR="00F657CD">
        <w:t>(</w:t>
      </w:r>
      <w:r>
        <w:t xml:space="preserve">ocupação </w:t>
      </w:r>
      <w:r w:rsidR="00F657CD">
        <w:t>de cais, receita por tonelada, investimento por tonelada,</w:t>
      </w:r>
      <w:r>
        <w:t xml:space="preserve"> tempo de </w:t>
      </w:r>
      <w:r w:rsidR="001212CE">
        <w:t xml:space="preserve">espera </w:t>
      </w:r>
      <w:r w:rsidR="00F657CD">
        <w:t xml:space="preserve">do navio). </w:t>
      </w:r>
      <w:r>
        <w:t xml:space="preserve">No entanto, a eficiência não conduz necessariamente a </w:t>
      </w:r>
      <w:r w:rsidR="00F657CD">
        <w:t>maior competitividade</w:t>
      </w:r>
      <w:r>
        <w:t xml:space="preserve">, </w:t>
      </w:r>
      <w:r w:rsidR="00F657CD">
        <w:t>que</w:t>
      </w:r>
      <w:r>
        <w:t xml:space="preserve"> também é </w:t>
      </w:r>
      <w:r w:rsidR="001212CE">
        <w:t>resultado</w:t>
      </w:r>
      <w:r>
        <w:t xml:space="preserve"> de eficácia na prestação de serviços desejados p</w:t>
      </w:r>
      <w:r w:rsidR="001212CE">
        <w:t>elos</w:t>
      </w:r>
      <w:r>
        <w:t xml:space="preserve"> clientes</w:t>
      </w:r>
      <w:r w:rsidR="00F657CD">
        <w:t xml:space="preserve"> (Brooks &amp; Pallis, 2013)</w:t>
      </w:r>
      <w:r>
        <w:t xml:space="preserve">. </w:t>
      </w:r>
      <w:r w:rsidR="00F657CD">
        <w:t xml:space="preserve">Por vezes a eficiência do terminal pode </w:t>
      </w:r>
      <w:r w:rsidR="001212CE">
        <w:t xml:space="preserve">mesmo </w:t>
      </w:r>
      <w:r w:rsidR="00F657CD">
        <w:t>ser contraditória com a eficácia do serviço, sendo necess</w:t>
      </w:r>
      <w:r w:rsidR="001212CE">
        <w:t>ário</w:t>
      </w:r>
      <w:r w:rsidR="00F657CD">
        <w:t xml:space="preserve"> equilíbrio.</w:t>
      </w:r>
    </w:p>
    <w:p w:rsidR="00104A12" w:rsidRPr="004D55DA" w:rsidRDefault="00104A12" w:rsidP="007F7964">
      <w:pPr>
        <w:spacing w:line="360" w:lineRule="auto"/>
        <w:jc w:val="both"/>
        <w:rPr>
          <w:b/>
        </w:rPr>
      </w:pPr>
    </w:p>
    <w:p w:rsidR="00104A12" w:rsidRPr="004D55DA" w:rsidRDefault="00104A12" w:rsidP="007F7964">
      <w:pPr>
        <w:spacing w:line="360" w:lineRule="auto"/>
        <w:jc w:val="both"/>
      </w:pPr>
      <w:r w:rsidRPr="004D55DA">
        <w:t xml:space="preserve">Em conclusão, o desempenho do terminal de contentores é uma realidade multivariável, pelo que devem ser utilizados vários indicadores de desempenho que passam pelo impacto económico, desempenho operacional na movimentação de navios e cargas, pela eficiência na sua relação entre </w:t>
      </w:r>
      <w:r w:rsidR="00B16785">
        <w:t>“</w:t>
      </w:r>
      <w:r w:rsidRPr="004D55DA">
        <w:t>outputs</w:t>
      </w:r>
      <w:r w:rsidR="00B16785">
        <w:t>”</w:t>
      </w:r>
      <w:r w:rsidRPr="004D55DA">
        <w:t xml:space="preserve"> e </w:t>
      </w:r>
      <w:r w:rsidR="00B16785">
        <w:t>“</w:t>
      </w:r>
      <w:r w:rsidRPr="004D55DA">
        <w:t>inputs</w:t>
      </w:r>
      <w:r w:rsidR="00B16785">
        <w:t>”</w:t>
      </w:r>
      <w:r w:rsidRPr="004D55DA">
        <w:t>, pela produtividade do cais e pela satisfação dos cliente</w:t>
      </w:r>
      <w:r w:rsidR="001212CE">
        <w:t>s</w:t>
      </w:r>
      <w:r w:rsidR="001212CE" w:rsidRPr="004D55DA">
        <w:t xml:space="preserve">, </w:t>
      </w:r>
      <w:r w:rsidR="001212CE">
        <w:t>sejam carregadores ou armadore</w:t>
      </w:r>
      <w:r w:rsidRPr="004D55DA">
        <w:t>s</w:t>
      </w:r>
      <w:r w:rsidR="00FE1EED">
        <w:t>, que mede a eficácia do serviço</w:t>
      </w:r>
      <w:r w:rsidR="001212CE">
        <w:t>.</w:t>
      </w:r>
    </w:p>
    <w:p w:rsidR="00104A12" w:rsidRPr="004D55DA" w:rsidRDefault="00104A12" w:rsidP="00D216EA">
      <w:pPr>
        <w:pStyle w:val="Cabealho1"/>
        <w:numPr>
          <w:ilvl w:val="0"/>
          <w:numId w:val="1"/>
        </w:numPr>
        <w:ind w:left="0" w:firstLine="0"/>
        <w:rPr>
          <w:rFonts w:ascii="Times New Roman" w:hAnsi="Times New Roman"/>
          <w:sz w:val="24"/>
          <w:szCs w:val="24"/>
        </w:rPr>
      </w:pPr>
      <w:r w:rsidRPr="004D55DA">
        <w:br w:type="page"/>
      </w:r>
      <w:bookmarkStart w:id="56" w:name="_Toc395730137"/>
      <w:r w:rsidRPr="004D55DA">
        <w:rPr>
          <w:rFonts w:ascii="Times New Roman" w:hAnsi="Times New Roman"/>
          <w:sz w:val="24"/>
        </w:rPr>
        <w:lastRenderedPageBreak/>
        <w:t>Modelo de investigação</w:t>
      </w:r>
      <w:r w:rsidR="00E40CEF">
        <w:rPr>
          <w:rFonts w:ascii="Times New Roman" w:hAnsi="Times New Roman"/>
          <w:sz w:val="24"/>
        </w:rPr>
        <w:fldChar w:fldCharType="begin"/>
      </w:r>
      <w:r w:rsidR="00E40CEF">
        <w:instrText xml:space="preserve"> XE "</w:instrText>
      </w:r>
      <w:r w:rsidR="00E40CEF" w:rsidRPr="00680A94">
        <w:rPr>
          <w:rFonts w:ascii="Times New Roman" w:hAnsi="Times New Roman"/>
          <w:sz w:val="24"/>
        </w:rPr>
        <w:instrText>Modelo de investigação</w:instrText>
      </w:r>
      <w:r w:rsidR="00E40CEF">
        <w:instrText xml:space="preserve">" </w:instrText>
      </w:r>
      <w:r w:rsidR="00E40CEF">
        <w:rPr>
          <w:rFonts w:ascii="Times New Roman" w:hAnsi="Times New Roman"/>
          <w:sz w:val="24"/>
        </w:rPr>
        <w:fldChar w:fldCharType="end"/>
      </w:r>
      <w:r w:rsidRPr="004D55DA">
        <w:rPr>
          <w:rFonts w:ascii="Times New Roman" w:hAnsi="Times New Roman"/>
          <w:sz w:val="24"/>
        </w:rPr>
        <w:t xml:space="preserve"> e hipóteses</w:t>
      </w:r>
      <w:r w:rsidR="00E40CEF">
        <w:rPr>
          <w:rFonts w:ascii="Times New Roman" w:hAnsi="Times New Roman"/>
          <w:sz w:val="24"/>
        </w:rPr>
        <w:fldChar w:fldCharType="begin"/>
      </w:r>
      <w:r w:rsidR="00E40CEF">
        <w:instrText xml:space="preserve"> XE "</w:instrText>
      </w:r>
      <w:r w:rsidR="00E40CEF" w:rsidRPr="00DF6DBB">
        <w:rPr>
          <w:rFonts w:ascii="Times New Roman" w:hAnsi="Times New Roman"/>
          <w:sz w:val="24"/>
        </w:rPr>
        <w:instrText>hipóteses</w:instrText>
      </w:r>
      <w:r w:rsidR="00E40CEF">
        <w:instrText xml:space="preserve">" </w:instrText>
      </w:r>
      <w:r w:rsidR="00E40CEF">
        <w:rPr>
          <w:rFonts w:ascii="Times New Roman" w:hAnsi="Times New Roman"/>
          <w:sz w:val="24"/>
        </w:rPr>
        <w:fldChar w:fldCharType="end"/>
      </w:r>
      <w:r w:rsidRPr="004D55DA">
        <w:rPr>
          <w:rFonts w:ascii="Times New Roman" w:hAnsi="Times New Roman"/>
          <w:sz w:val="24"/>
        </w:rPr>
        <w:t xml:space="preserve"> de trabalho</w:t>
      </w:r>
      <w:bookmarkEnd w:id="56"/>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Neste capítulo são apresentados o modelo teórico de investigação </w:t>
      </w:r>
      <w:r w:rsidR="005628E1" w:rsidRPr="004D55DA">
        <w:t>e</w:t>
      </w:r>
      <w:r w:rsidRPr="004D55DA">
        <w:t xml:space="preserve"> as hipóteses de trabalho e descritos os constructos e variáveis que constituem o modelo, </w:t>
      </w:r>
      <w:r w:rsidR="005628E1" w:rsidRPr="004D55DA">
        <w:t>com base na</w:t>
      </w:r>
      <w:r w:rsidRPr="004D55DA">
        <w:t xml:space="preserve"> revisão </w:t>
      </w:r>
      <w:r w:rsidR="00655F98" w:rsidRPr="004D55DA">
        <w:t xml:space="preserve">da </w:t>
      </w:r>
      <w:r w:rsidRPr="004D55DA">
        <w:t>literatura.</w:t>
      </w:r>
    </w:p>
    <w:p w:rsidR="00104A12" w:rsidRPr="004D55DA" w:rsidRDefault="00104A12" w:rsidP="007F7964">
      <w:pPr>
        <w:spacing w:line="360" w:lineRule="auto"/>
        <w:jc w:val="both"/>
      </w:pPr>
    </w:p>
    <w:p w:rsidR="00104A12" w:rsidRPr="00F72F59" w:rsidRDefault="00104A12" w:rsidP="00D216EA">
      <w:pPr>
        <w:pStyle w:val="Cabealho2"/>
        <w:ind w:left="0" w:firstLine="0"/>
        <w:rPr>
          <w:sz w:val="24"/>
          <w:szCs w:val="24"/>
          <w:lang w:val="pt-PT"/>
        </w:rPr>
      </w:pPr>
      <w:bookmarkStart w:id="57" w:name="_Toc395730138"/>
      <w:r w:rsidRPr="00F72F59">
        <w:rPr>
          <w:sz w:val="24"/>
          <w:szCs w:val="24"/>
          <w:lang w:val="pt-PT"/>
        </w:rPr>
        <w:t>Modelo de investigação e hipóteses de trabalho</w:t>
      </w:r>
      <w:bookmarkEnd w:id="57"/>
    </w:p>
    <w:p w:rsidR="00104A12" w:rsidRPr="004D55DA" w:rsidRDefault="00104A12" w:rsidP="007F7964">
      <w:pPr>
        <w:spacing w:line="360" w:lineRule="auto"/>
        <w:jc w:val="both"/>
      </w:pPr>
    </w:p>
    <w:p w:rsidR="00104A12" w:rsidRPr="004D55DA" w:rsidRDefault="00655F98" w:rsidP="007F7964">
      <w:pPr>
        <w:spacing w:line="360" w:lineRule="auto"/>
        <w:jc w:val="both"/>
      </w:pPr>
      <w:r w:rsidRPr="004D55DA">
        <w:t>O</w:t>
      </w:r>
      <w:r w:rsidR="00104A12" w:rsidRPr="004D55DA">
        <w:t xml:space="preserve"> modelo </w:t>
      </w:r>
      <w:r w:rsidRPr="004D55DA">
        <w:t xml:space="preserve">de investigação relaciona as características do porto e </w:t>
      </w:r>
      <w:r w:rsidR="00104A12" w:rsidRPr="004D55DA">
        <w:t>as características do terminal com o desempenho do terminal de contentores (</w:t>
      </w:r>
      <w:r w:rsidR="00B16785">
        <w:t>F</w:t>
      </w:r>
      <w:r w:rsidR="00B16785" w:rsidRPr="004D55DA">
        <w:t xml:space="preserve">igura </w:t>
      </w:r>
      <w:r w:rsidR="00104A12" w:rsidRPr="004D55DA">
        <w:t>11).</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características do porto integram os constructos “position-port” ou localização do terminal, “hard-port” ou infraestrutura do porto e “soft-port” ou serviços do porto. As características do terminal de contentores integram os constructos “hard-terminal” ou infraestrutura do terminal e “soft-terminal” ou serviços do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constructo “position-port” subdivide-se em dois constructos “local position-port” ou posição local do porto, e “continental position-port” ou posição continental do porto.</w:t>
      </w:r>
    </w:p>
    <w:p w:rsidR="00104A12" w:rsidRPr="004D55DA" w:rsidRDefault="00104A12" w:rsidP="007F7964">
      <w:pPr>
        <w:spacing w:line="360" w:lineRule="auto"/>
        <w:jc w:val="both"/>
      </w:pPr>
    </w:p>
    <w:p w:rsidR="00104A12" w:rsidRPr="004D55DA" w:rsidRDefault="00655F98" w:rsidP="007F7964">
      <w:pPr>
        <w:spacing w:line="360" w:lineRule="auto"/>
        <w:jc w:val="both"/>
      </w:pPr>
      <w:r w:rsidRPr="004D55DA">
        <w:t>Os</w:t>
      </w:r>
      <w:r w:rsidR="00104A12" w:rsidRPr="004D55DA">
        <w:t xml:space="preserve"> </w:t>
      </w:r>
      <w:r w:rsidR="00136906" w:rsidRPr="004D55DA">
        <w:t>fatores</w:t>
      </w:r>
      <w:r w:rsidR="00104A12" w:rsidRPr="004D55DA">
        <w:t xml:space="preserve"> “soft-terminal” são subdivididos em fatores: (a) “softlogis-terminal” ligados aos serviços oferecidos no terminal e à integração logística com a componente terrestre do terminal; (b) “softorg-terminal” ligados à organização e gestão do terminal em si; (c) “softsea-terminal” ligados ao serviço marítimo dos navios oferecido pelo terminal.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desempenho do terminal é determinado neste estudo por: (a) desempenho operacional, inclui </w:t>
      </w:r>
      <w:r w:rsidR="00655F98" w:rsidRPr="004D55DA">
        <w:t>o</w:t>
      </w:r>
      <w:r w:rsidRPr="004D55DA">
        <w:t xml:space="preserve"> movimento de contentores </w:t>
      </w:r>
      <w:r w:rsidR="00655F98" w:rsidRPr="004D55DA">
        <w:t xml:space="preserve">no “hinterland” e </w:t>
      </w:r>
      <w:r w:rsidRPr="004D55DA">
        <w:t>o movimento de co</w:t>
      </w:r>
      <w:r w:rsidR="00655F98" w:rsidRPr="004D55DA">
        <w:t xml:space="preserve">ntentores de </w:t>
      </w:r>
      <w:r w:rsidR="00B16785">
        <w:t>“</w:t>
      </w:r>
      <w:r w:rsidR="00655F98" w:rsidRPr="004D55DA">
        <w:t>transhipment</w:t>
      </w:r>
      <w:r w:rsidR="00B16785">
        <w:t>”</w:t>
      </w:r>
      <w:r w:rsidRPr="004D55DA">
        <w:t xml:space="preserve"> entre navios; (b) eficiência do terminal e produtividade do terminal; (c) </w:t>
      </w:r>
      <w:r w:rsidR="00655F98" w:rsidRPr="004D55DA">
        <w:t>impacto económico</w:t>
      </w:r>
      <w:r w:rsidRPr="004D55DA">
        <w:t xml:space="preserve"> ou contributo do terminal para a economia; e (d) satisfação dos clientes, incluindo a satisfação do dono da carga, do armador e dos agentes e transitários.</w:t>
      </w:r>
    </w:p>
    <w:p w:rsidR="00104A12" w:rsidRPr="004D55DA" w:rsidRDefault="00104A12" w:rsidP="007F7964">
      <w:pPr>
        <w:spacing w:line="360" w:lineRule="auto"/>
        <w:jc w:val="both"/>
      </w:pPr>
    </w:p>
    <w:p w:rsidR="00655F98" w:rsidRPr="004D55DA" w:rsidRDefault="00655F98" w:rsidP="007F7964">
      <w:pPr>
        <w:spacing w:line="360" w:lineRule="auto"/>
        <w:jc w:val="both"/>
      </w:pPr>
    </w:p>
    <w:p w:rsidR="00655F98" w:rsidRPr="004D55DA" w:rsidRDefault="00655F98" w:rsidP="007F7964">
      <w:pPr>
        <w:spacing w:line="360" w:lineRule="auto"/>
        <w:jc w:val="both"/>
      </w:pPr>
    </w:p>
    <w:p w:rsidR="00655F98" w:rsidRPr="004D55DA" w:rsidRDefault="00655F98" w:rsidP="007F7964">
      <w:pPr>
        <w:spacing w:line="360" w:lineRule="auto"/>
        <w:jc w:val="both"/>
      </w:pPr>
    </w:p>
    <w:p w:rsidR="00104A12" w:rsidRPr="003E367B" w:rsidRDefault="00104A12" w:rsidP="007F7964">
      <w:pPr>
        <w:spacing w:line="360" w:lineRule="auto"/>
        <w:jc w:val="both"/>
      </w:pPr>
      <w:bookmarkStart w:id="58" w:name="_Toc396134175"/>
      <w:r w:rsidRPr="003E367B">
        <w:lastRenderedPageBreak/>
        <w:t xml:space="preserve">Figura </w:t>
      </w:r>
      <w:fldSimple w:instr=" SEQ Figura \* ARABIC ">
        <w:r w:rsidR="008D1B65">
          <w:rPr>
            <w:noProof/>
          </w:rPr>
          <w:t>11</w:t>
        </w:r>
      </w:fldSimple>
      <w:r w:rsidRPr="003E367B">
        <w:t xml:space="preserve"> - Modelo de investigação</w:t>
      </w:r>
      <w:bookmarkEnd w:id="58"/>
    </w:p>
    <w:p w:rsidR="00104A12" w:rsidRPr="004D55DA" w:rsidRDefault="004A0BD0" w:rsidP="007F7964">
      <w:pPr>
        <w:spacing w:line="360" w:lineRule="auto"/>
        <w:rPr>
          <w:b/>
        </w:rPr>
      </w:pPr>
      <w:r w:rsidRPr="004A0BD0">
        <w:rPr>
          <w:noProof/>
        </w:rPr>
        <w:drawing>
          <wp:inline distT="0" distB="0" distL="0" distR="0" wp14:anchorId="7B5EEE9C" wp14:editId="03F4D4A1">
            <wp:extent cx="5658928" cy="2966298"/>
            <wp:effectExtent l="0" t="0" r="0" b="5715"/>
            <wp:docPr id="451" name="Image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1797"/>
                    <a:stretch/>
                  </pic:blipFill>
                  <pic:spPr bwMode="auto">
                    <a:xfrm>
                      <a:off x="0" y="0"/>
                      <a:ext cx="5657234" cy="2965410"/>
                    </a:xfrm>
                    <a:prstGeom prst="rect">
                      <a:avLst/>
                    </a:prstGeom>
                    <a:noFill/>
                    <a:ln>
                      <a:noFill/>
                    </a:ln>
                    <a:extLst>
                      <a:ext uri="{53640926-AAD7-44D8-BBD7-CCE9431645EC}">
                        <a14:shadowObscured xmlns:a14="http://schemas.microsoft.com/office/drawing/2010/main"/>
                      </a:ext>
                    </a:extLst>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Para avaliar a influência das características do porto e do terminal no desempenho do terminal de contentores, </w:t>
      </w:r>
      <w:r w:rsidRPr="001606DE">
        <w:rPr>
          <w:u w:val="single"/>
        </w:rPr>
        <w:t>definiram-se as hipóteses</w:t>
      </w:r>
      <w:r w:rsidRPr="004D55DA">
        <w:t xml:space="preserve"> de trabalho recorrendo à literatura.</w:t>
      </w:r>
    </w:p>
    <w:p w:rsidR="00104A12" w:rsidRDefault="00104A12" w:rsidP="007F7964">
      <w:pPr>
        <w:spacing w:line="360" w:lineRule="auto"/>
        <w:jc w:val="both"/>
      </w:pPr>
    </w:p>
    <w:p w:rsidR="003E367B" w:rsidRPr="003E367B" w:rsidRDefault="003E367B" w:rsidP="007F7964">
      <w:pPr>
        <w:spacing w:line="360" w:lineRule="auto"/>
        <w:jc w:val="both"/>
        <w:rPr>
          <w:b/>
        </w:rPr>
      </w:pPr>
      <w:r w:rsidRPr="003E367B">
        <w:rPr>
          <w:b/>
        </w:rPr>
        <w:t>Hipótese 1</w:t>
      </w:r>
    </w:p>
    <w:p w:rsidR="00104A12" w:rsidRPr="004D55DA" w:rsidRDefault="00655F98" w:rsidP="007F7964">
      <w:pPr>
        <w:spacing w:line="360" w:lineRule="auto"/>
        <w:jc w:val="both"/>
      </w:pPr>
      <w:r w:rsidRPr="004D55DA">
        <w:t>O</w:t>
      </w:r>
      <w:r w:rsidR="00104A12" w:rsidRPr="004D55DA">
        <w:t xml:space="preserve">s portos localizados mais próximo do centro económico da Europa tendem a ter um maior movimento de contentores, com exceção dos terminais “hub” intermédios de </w:t>
      </w:r>
      <w:r w:rsidR="00B16785">
        <w:t>“</w:t>
      </w:r>
      <w:r w:rsidR="00104A12" w:rsidRPr="004D55DA">
        <w:t>transhipment</w:t>
      </w:r>
      <w:r w:rsidR="00B16785">
        <w:t>”</w:t>
      </w:r>
      <w:r w:rsidR="00104A12" w:rsidRPr="004D55DA">
        <w:t xml:space="preserve">, pelo que se pretende demonstrar que a localização próxima do centro económico e logístico da Europa influencia positivamente o desempenho do terminal de contentores (Song &amp; Yeo, 2004; Liu, 1995; Estache </w:t>
      </w:r>
      <w:r w:rsidR="00104A12" w:rsidRPr="00D713C2">
        <w:rPr>
          <w:i/>
        </w:rPr>
        <w:t>et al.,</w:t>
      </w:r>
      <w:r w:rsidR="00104A12" w:rsidRPr="004D55DA">
        <w:t xml:space="preserve"> 2001).</w:t>
      </w:r>
    </w:p>
    <w:p w:rsidR="00104A12" w:rsidRPr="004D55DA" w:rsidRDefault="00532861" w:rsidP="007F7964">
      <w:pPr>
        <w:spacing w:line="360" w:lineRule="auto"/>
        <w:jc w:val="both"/>
      </w:pPr>
      <w:r w:rsidRPr="004D55DA">
        <w:t>Por outro lado,</w:t>
      </w:r>
      <w:r w:rsidR="00104A12" w:rsidRPr="004D55DA">
        <w:t xml:space="preserve"> os portos sujeitos a um maior nível de concorrência no seu “hinterland”, a partir de portos próximos à sua localização, tendem a ser mais competitivos e logo a ter um maior desempenho (Slack, 2007; Goss, 1990).</w:t>
      </w:r>
    </w:p>
    <w:p w:rsidR="00104A12" w:rsidRPr="004D55DA" w:rsidRDefault="00104A12" w:rsidP="007F7964">
      <w:pPr>
        <w:spacing w:line="360" w:lineRule="auto"/>
        <w:jc w:val="both"/>
      </w:pPr>
      <w:r w:rsidRPr="004D55DA">
        <w:t xml:space="preserve">A localização dos portos e dos terminais de contentores, na proximidade dos grandes eixos globais de transporte marítimo, tende a resultar na escolha desses portos para o movimento de “transhipment” e abastecimento do “hinterland” interior, com influência positiva no desempenho (Onut </w:t>
      </w:r>
      <w:r w:rsidRPr="00D713C2">
        <w:rPr>
          <w:i/>
        </w:rPr>
        <w:t>et al.,</w:t>
      </w:r>
      <w:r w:rsidRPr="004D55DA">
        <w:t xml:space="preserve"> 2011; Notteboom, 2011).</w:t>
      </w:r>
    </w:p>
    <w:p w:rsidR="001606DE" w:rsidRDefault="00104A12" w:rsidP="007F7964">
      <w:pPr>
        <w:spacing w:line="360" w:lineRule="auto"/>
        <w:jc w:val="both"/>
      </w:pPr>
      <w:r w:rsidRPr="004D55DA">
        <w:t xml:space="preserve">Os portos são muitas vezes escolhidos pela sua localização junto a grandes centros de consumo ou aos centros de produção, </w:t>
      </w:r>
      <w:r w:rsidR="00532861" w:rsidRPr="004D55DA">
        <w:t>verificando-se</w:t>
      </w:r>
      <w:r w:rsidRPr="004D55DA">
        <w:t xml:space="preserve"> a sua relação positiva com o desempenho dos terminais de contentores (Onut </w:t>
      </w:r>
      <w:r w:rsidRPr="00D713C2">
        <w:rPr>
          <w:i/>
        </w:rPr>
        <w:t>et al.,</w:t>
      </w:r>
      <w:r w:rsidRPr="004D55DA">
        <w:t xml:space="preserve"> 2011; Chou, 2010).</w:t>
      </w:r>
    </w:p>
    <w:p w:rsidR="00104A12" w:rsidRPr="004D55DA" w:rsidRDefault="00104A12" w:rsidP="007F7964">
      <w:pPr>
        <w:spacing w:line="360" w:lineRule="auto"/>
        <w:jc w:val="both"/>
      </w:pPr>
      <w:r w:rsidRPr="004D55DA">
        <w:lastRenderedPageBreak/>
        <w:t>A importância económica da região onde o porto se localiza determina posit</w:t>
      </w:r>
      <w:r w:rsidR="00532861" w:rsidRPr="004D55DA">
        <w:t xml:space="preserve">ivamente o desempenho do porto </w:t>
      </w:r>
      <w:r w:rsidRPr="004D55DA">
        <w:t xml:space="preserve">(Chou, 2010; Onut </w:t>
      </w:r>
      <w:r w:rsidRPr="00D713C2">
        <w:rPr>
          <w:i/>
        </w:rPr>
        <w:t>et al.,</w:t>
      </w:r>
      <w:r w:rsidRPr="004D55DA">
        <w:t xml:space="preserve"> 2011; Zohil </w:t>
      </w:r>
      <w:r w:rsidR="00532861" w:rsidRPr="004D55DA">
        <w:t>&amp;</w:t>
      </w:r>
      <w:r w:rsidRPr="004D55DA">
        <w:t xml:space="preserve"> Prijon, 1999, Cheo, 2007; Hung </w:t>
      </w:r>
      <w:r w:rsidRPr="00D713C2">
        <w:rPr>
          <w:i/>
        </w:rPr>
        <w:t>et al.,</w:t>
      </w:r>
      <w:r w:rsidRPr="004D55DA">
        <w:t xml:space="preserve"> 2010).</w:t>
      </w:r>
    </w:p>
    <w:p w:rsidR="00104A12" w:rsidRPr="004D55DA" w:rsidRDefault="001606DE" w:rsidP="007F7964">
      <w:pPr>
        <w:spacing w:line="360" w:lineRule="auto"/>
        <w:jc w:val="both"/>
      </w:pPr>
      <w:r>
        <w:t xml:space="preserve">Assim, coloca-se a </w:t>
      </w:r>
      <w:r w:rsidRPr="001606DE">
        <w:rPr>
          <w:u w:val="single"/>
        </w:rPr>
        <w:t>h</w:t>
      </w:r>
      <w:r w:rsidR="00104A12" w:rsidRPr="001606DE">
        <w:rPr>
          <w:u w:val="single"/>
        </w:rPr>
        <w:t>ipótese 1</w:t>
      </w:r>
      <w:r w:rsidR="00104A12" w:rsidRPr="004D55DA">
        <w:t xml:space="preserve">: Os </w:t>
      </w:r>
      <w:r w:rsidR="00136906" w:rsidRPr="004D55DA">
        <w:t>fatores</w:t>
      </w:r>
      <w:r w:rsidR="00104A12" w:rsidRPr="004D55DA">
        <w:t xml:space="preserve"> “position-port” </w:t>
      </w:r>
      <w:r w:rsidR="00532861" w:rsidRPr="004D55DA">
        <w:t>relacionados com a</w:t>
      </w:r>
      <w:r w:rsidR="00104A12" w:rsidRPr="004D55DA">
        <w:t xml:space="preserve"> localização geográfica do porto influenciam o desempenho do terminal de contentores.</w:t>
      </w:r>
    </w:p>
    <w:p w:rsidR="00104A12" w:rsidRDefault="00104A12" w:rsidP="007F7964">
      <w:pPr>
        <w:spacing w:line="360" w:lineRule="auto"/>
        <w:jc w:val="both"/>
      </w:pPr>
    </w:p>
    <w:p w:rsidR="003E367B" w:rsidRPr="003E367B" w:rsidRDefault="003E367B" w:rsidP="007F7964">
      <w:pPr>
        <w:spacing w:line="360" w:lineRule="auto"/>
        <w:jc w:val="both"/>
        <w:rPr>
          <w:b/>
        </w:rPr>
      </w:pPr>
      <w:r w:rsidRPr="003E367B">
        <w:rPr>
          <w:b/>
        </w:rPr>
        <w:t>Hip</w:t>
      </w:r>
      <w:r>
        <w:rPr>
          <w:b/>
        </w:rPr>
        <w:t>ótese 2</w:t>
      </w:r>
    </w:p>
    <w:p w:rsidR="00104A12" w:rsidRPr="004D55DA" w:rsidRDefault="00104A12" w:rsidP="007F7964">
      <w:pPr>
        <w:spacing w:line="360" w:lineRule="auto"/>
        <w:jc w:val="both"/>
      </w:pPr>
      <w:r w:rsidRPr="004D55DA">
        <w:t xml:space="preserve">A maior dimensão dos fundos de acesso marítimo do porto permite a entrada de navios maiores, atraindo mais navios e cargas contentorizadas ao porto, o que importa comprovar (Wang &amp; Cullinane, 2006, Gaur, 2005; Turner </w:t>
      </w:r>
      <w:r w:rsidRPr="00D713C2">
        <w:rPr>
          <w:i/>
        </w:rPr>
        <w:t>et al.,</w:t>
      </w:r>
      <w:r w:rsidRPr="004D55DA">
        <w:t xml:space="preserve"> 2004).</w:t>
      </w:r>
    </w:p>
    <w:p w:rsidR="00104A12" w:rsidRPr="004D55DA" w:rsidRDefault="00104A12" w:rsidP="007F7964">
      <w:pPr>
        <w:spacing w:line="360" w:lineRule="auto"/>
        <w:jc w:val="both"/>
      </w:pPr>
      <w:r w:rsidRPr="004D55DA">
        <w:t>Adequadas acessibilidades rodoviárias e ferroviárias</w:t>
      </w:r>
      <w:r w:rsidR="00532861" w:rsidRPr="004D55DA">
        <w:t xml:space="preserve"> ao porto</w:t>
      </w:r>
      <w:r w:rsidRPr="004D55DA">
        <w:t xml:space="preserve"> são fundamentais para o escoamento dos contentores na ligação ao seu “hinterland”, sendo factor importante para os clientes do porto na sua escolha (</w:t>
      </w:r>
      <w:r w:rsidR="00532861" w:rsidRPr="004D55DA">
        <w:t>Wang &amp; Cullinane, 2006;</w:t>
      </w:r>
      <w:r w:rsidRPr="004D55DA">
        <w:t xml:space="preserve"> Gaur, 2005; Turner </w:t>
      </w:r>
      <w:r w:rsidRPr="00D713C2">
        <w:rPr>
          <w:i/>
        </w:rPr>
        <w:t>et al.,</w:t>
      </w:r>
      <w:r w:rsidRPr="004D55DA">
        <w:t xml:space="preserve"> 2004; Tongzon, 2002</w:t>
      </w:r>
      <w:r w:rsidR="00532861" w:rsidRPr="004D55DA">
        <w:t>;</w:t>
      </w:r>
      <w:r w:rsidRPr="004D55DA">
        <w:t xml:space="preserve"> Wiegmans, 2003).</w:t>
      </w:r>
    </w:p>
    <w:p w:rsidR="00104A12" w:rsidRPr="004D55DA" w:rsidRDefault="00104A12" w:rsidP="007F7964">
      <w:pPr>
        <w:spacing w:line="360" w:lineRule="auto"/>
        <w:jc w:val="both"/>
      </w:pPr>
      <w:r w:rsidRPr="004D55DA">
        <w:t>A dimensão do porto provoca efeito de escala e economias de escala que influenciam positivamente o desempenho do porto e dos seus terminais (</w:t>
      </w:r>
      <w:r w:rsidR="00532861" w:rsidRPr="004D55DA">
        <w:t xml:space="preserve">Coto-Millan </w:t>
      </w:r>
      <w:r w:rsidR="00532861" w:rsidRPr="00D713C2">
        <w:rPr>
          <w:i/>
        </w:rPr>
        <w:t>et al.,</w:t>
      </w:r>
      <w:r w:rsidR="00532861" w:rsidRPr="004D55DA">
        <w:t xml:space="preserve"> 2000; Liu, 1995;</w:t>
      </w:r>
      <w:r w:rsidRPr="004D55DA">
        <w:t xml:space="preserve"> Serrano &amp; Trujillo, 2005).</w:t>
      </w:r>
    </w:p>
    <w:p w:rsidR="00104A12" w:rsidRPr="004D55DA" w:rsidRDefault="00104A12" w:rsidP="007F7964">
      <w:pPr>
        <w:spacing w:line="360" w:lineRule="auto"/>
        <w:jc w:val="both"/>
      </w:pPr>
      <w:r w:rsidRPr="004D55DA">
        <w:t>A existência de áreas logísticas junto ao porto é considerada uma das características importantes na escolha do porto pelas redes logísticas internacionais.</w:t>
      </w:r>
    </w:p>
    <w:p w:rsidR="00104A12" w:rsidRPr="004D55DA" w:rsidRDefault="00104A12" w:rsidP="007F7964">
      <w:pPr>
        <w:spacing w:line="360" w:lineRule="auto"/>
        <w:jc w:val="both"/>
      </w:pPr>
      <w:r w:rsidRPr="004D55DA">
        <w:t>A existência de terminais de contentores concorrentes no porto aumenta a competição pelas cargas e a competitividade desses terminais, através duma maior oferta alternativa para os clientes, sendo factor positivo no desempenho dos terminais de contentores (Goss, 1990).</w:t>
      </w:r>
    </w:p>
    <w:p w:rsidR="00104A12" w:rsidRPr="004D55DA" w:rsidRDefault="00104A12" w:rsidP="007F7964">
      <w:pPr>
        <w:spacing w:line="360" w:lineRule="auto"/>
        <w:jc w:val="both"/>
      </w:pPr>
      <w:r w:rsidRPr="004D55DA">
        <w:t>O tempo de navegação no acesso ao porto traduz a distância deste ao mar aberto e às rotas de passagem dos navios, podendo uma menor distância influenciar positivamente o desempenho do terminal de contentores (Zohil &amp; Prijon, 1999; Nottebomm, 2011; Gaur, 2005).</w:t>
      </w:r>
    </w:p>
    <w:p w:rsidR="00104A12" w:rsidRPr="004D55DA" w:rsidRDefault="001606DE" w:rsidP="007F7964">
      <w:pPr>
        <w:spacing w:line="360" w:lineRule="auto"/>
        <w:jc w:val="both"/>
      </w:pPr>
      <w:r>
        <w:t xml:space="preserve">Assim, coloca-se a </w:t>
      </w:r>
      <w:r w:rsidRPr="001606DE">
        <w:rPr>
          <w:u w:val="single"/>
        </w:rPr>
        <w:t>h</w:t>
      </w:r>
      <w:r w:rsidR="00104A12" w:rsidRPr="001606DE">
        <w:rPr>
          <w:u w:val="single"/>
        </w:rPr>
        <w:t>ipótese 2</w:t>
      </w:r>
      <w:r w:rsidR="00104A12" w:rsidRPr="004D55DA">
        <w:t xml:space="preserve">: Os </w:t>
      </w:r>
      <w:r w:rsidR="00136906" w:rsidRPr="004D55DA">
        <w:t>fatores</w:t>
      </w:r>
      <w:r w:rsidR="00104A12" w:rsidRPr="004D55DA">
        <w:t xml:space="preserve"> “hard-port” relacionados com a infraestrutura do porto influenciam o desempenho do terminal de contentores.</w:t>
      </w:r>
    </w:p>
    <w:p w:rsidR="00104A12" w:rsidRDefault="00104A12" w:rsidP="007F7964">
      <w:pPr>
        <w:spacing w:line="360" w:lineRule="auto"/>
        <w:jc w:val="both"/>
      </w:pPr>
    </w:p>
    <w:p w:rsidR="003E367B" w:rsidRPr="003E367B" w:rsidRDefault="003E367B" w:rsidP="007F7964">
      <w:pPr>
        <w:spacing w:line="360" w:lineRule="auto"/>
        <w:jc w:val="both"/>
        <w:rPr>
          <w:b/>
        </w:rPr>
      </w:pPr>
      <w:r w:rsidRPr="003E367B">
        <w:rPr>
          <w:b/>
        </w:rPr>
        <w:t>Hip</w:t>
      </w:r>
      <w:r>
        <w:rPr>
          <w:b/>
        </w:rPr>
        <w:t>ótese 3</w:t>
      </w:r>
    </w:p>
    <w:p w:rsidR="00104A12" w:rsidRPr="004D55DA" w:rsidRDefault="00104A12" w:rsidP="007F7964">
      <w:pPr>
        <w:spacing w:line="360" w:lineRule="auto"/>
        <w:jc w:val="both"/>
      </w:pPr>
      <w:r w:rsidRPr="004D55DA">
        <w:t>A especialização do porto em contentores contribui positivamente para o desempenho do terminal de contentores ao criar uma marca ligada ao mercado dos contentores ou a outro tipo de carga, funcionando como atractor e pólo deste tipo de tráfego marítimo (Trujillo &amp; Tovar, 2008).</w:t>
      </w:r>
    </w:p>
    <w:p w:rsidR="00104A12" w:rsidRPr="004D55DA" w:rsidRDefault="00104A12" w:rsidP="007F7964">
      <w:pPr>
        <w:spacing w:line="360" w:lineRule="auto"/>
        <w:jc w:val="both"/>
      </w:pPr>
      <w:r w:rsidRPr="004D55DA">
        <w:lastRenderedPageBreak/>
        <w:t>A especialização do porto em graneis contribui negativamente para a imagem do porto como porto de contentores, influenciando negativamente o seu desempenho neste segmento de mercado.</w:t>
      </w:r>
    </w:p>
    <w:p w:rsidR="00104A12" w:rsidRPr="004D55DA" w:rsidRDefault="00104A12" w:rsidP="007F7964">
      <w:pPr>
        <w:spacing w:line="360" w:lineRule="auto"/>
        <w:jc w:val="both"/>
      </w:pPr>
      <w:r w:rsidRPr="004D55DA">
        <w:t xml:space="preserve">A qualidade dos serviços de reboque e pilotagem do porto contribuem para a qualidade geral do porto e do terminal, influenciando positivamente o desempenho do terminal de contentores (Juang &amp; Roe, 2010; Hung </w:t>
      </w:r>
      <w:r w:rsidRPr="00D713C2">
        <w:rPr>
          <w:i/>
        </w:rPr>
        <w:t>et al.,</w:t>
      </w:r>
      <w:r w:rsidRPr="004D55DA">
        <w:t xml:space="preserve"> 2010).</w:t>
      </w:r>
    </w:p>
    <w:p w:rsidR="00104A12" w:rsidRPr="004D55DA" w:rsidRDefault="00104A12" w:rsidP="007F7964">
      <w:pPr>
        <w:spacing w:line="360" w:lineRule="auto"/>
        <w:jc w:val="both"/>
      </w:pPr>
      <w:r w:rsidRPr="004D55DA">
        <w:t xml:space="preserve">A imagem positiva do porto pode beneficiar a imagem dos terminais que nele se encontram, influenciando positivamente o seu desempenho (Juang &amp; Roe, 2010; Onut </w:t>
      </w:r>
      <w:r w:rsidRPr="00D713C2">
        <w:rPr>
          <w:i/>
        </w:rPr>
        <w:t>et al.,</w:t>
      </w:r>
      <w:r w:rsidRPr="004D55DA">
        <w:t xml:space="preserve"> 2011; Chang </w:t>
      </w:r>
      <w:r w:rsidRPr="00D713C2">
        <w:rPr>
          <w:i/>
        </w:rPr>
        <w:t>et al.,</w:t>
      </w:r>
      <w:r w:rsidRPr="004D55DA">
        <w:t xml:space="preserve"> 2008; Cheo, 2007).</w:t>
      </w:r>
    </w:p>
    <w:p w:rsidR="00104A12" w:rsidRPr="004D55DA" w:rsidRDefault="00104A12" w:rsidP="007F7964">
      <w:pPr>
        <w:spacing w:line="360" w:lineRule="auto"/>
        <w:jc w:val="both"/>
      </w:pPr>
      <w:r w:rsidRPr="004D55DA">
        <w:t xml:space="preserve">O </w:t>
      </w:r>
      <w:r w:rsidR="00532861" w:rsidRPr="004D55DA">
        <w:t>d</w:t>
      </w:r>
      <w:r w:rsidRPr="004D55DA">
        <w:t xml:space="preserve">inamismo da </w:t>
      </w:r>
      <w:r w:rsidR="00532861" w:rsidRPr="004D55DA">
        <w:t>a</w:t>
      </w:r>
      <w:r w:rsidRPr="004D55DA">
        <w:t xml:space="preserve">utoridade </w:t>
      </w:r>
      <w:r w:rsidR="00532861" w:rsidRPr="004D55DA">
        <w:t>p</w:t>
      </w:r>
      <w:r w:rsidRPr="004D55DA">
        <w:t xml:space="preserve">ortuária e da </w:t>
      </w:r>
      <w:r w:rsidR="00532861" w:rsidRPr="004D55DA">
        <w:t>c</w:t>
      </w:r>
      <w:r w:rsidRPr="004D55DA">
        <w:t xml:space="preserve">omunidade </w:t>
      </w:r>
      <w:r w:rsidR="00532861" w:rsidRPr="004D55DA">
        <w:t>p</w:t>
      </w:r>
      <w:r w:rsidRPr="004D55DA">
        <w:t>ortuária na procura de soluções adequadas para os clientes do porto e na divulgação da marca do porto, influenciam positivamente o desempenho dos terminais de contentores do porto (Van Der Horst &amp; De Langen, 2008).</w:t>
      </w:r>
    </w:p>
    <w:p w:rsidR="00104A12" w:rsidRPr="004D55DA" w:rsidRDefault="00104A12" w:rsidP="007F7964">
      <w:pPr>
        <w:spacing w:line="360" w:lineRule="auto"/>
        <w:jc w:val="both"/>
      </w:pPr>
      <w:r w:rsidRPr="004D55DA">
        <w:t xml:space="preserve">O nível baixo das taxas portuárias do porto e da autoridade portuária tem influência positiva sobre o desempenho do terminal de contentores (Chou, 2010; Onut </w:t>
      </w:r>
      <w:r w:rsidRPr="00D713C2">
        <w:rPr>
          <w:i/>
        </w:rPr>
        <w:t>et al.,</w:t>
      </w:r>
      <w:r w:rsidRPr="004D55DA">
        <w:t xml:space="preserve"> 2011; Chang </w:t>
      </w:r>
      <w:r w:rsidRPr="00D713C2">
        <w:rPr>
          <w:i/>
        </w:rPr>
        <w:t>et al.,</w:t>
      </w:r>
      <w:r w:rsidRPr="004D55DA">
        <w:t xml:space="preserve"> 208; Juang &amp; Roe, 2010).</w:t>
      </w:r>
    </w:p>
    <w:p w:rsidR="00104A12" w:rsidRPr="004D55DA" w:rsidRDefault="00104A12" w:rsidP="007F7964">
      <w:pPr>
        <w:spacing w:line="360" w:lineRule="auto"/>
        <w:jc w:val="both"/>
      </w:pPr>
      <w:r w:rsidRPr="004D55DA">
        <w:t xml:space="preserve">O facto de o porto ser gerido por entidade nomeada pelo Estado </w:t>
      </w:r>
      <w:r w:rsidR="00532861" w:rsidRPr="004D55DA">
        <w:t>c</w:t>
      </w:r>
      <w:r w:rsidRPr="004D55DA">
        <w:t xml:space="preserve">entral ou pela região ou município, pode influenciar a ligação entre o porto e a envolvente, facilitando o encontrar de soluções sobre a ligação do terminal ao “hinterland”, com o modelo municipal a influenciar positivamente o desempenho (Notteboom </w:t>
      </w:r>
      <w:r w:rsidRPr="00D713C2">
        <w:rPr>
          <w:i/>
        </w:rPr>
        <w:t>et al.</w:t>
      </w:r>
      <w:r w:rsidR="00B16785">
        <w:rPr>
          <w:i/>
        </w:rPr>
        <w:t>,</w:t>
      </w:r>
      <w:r w:rsidRPr="004D55DA">
        <w:t xml:space="preserve"> 2000; Notteboom, 2010; Tongzon e Heng, 2005; Tongzon, 2000).</w:t>
      </w:r>
    </w:p>
    <w:p w:rsidR="00104A12" w:rsidRPr="004D55DA" w:rsidRDefault="00104A12" w:rsidP="007F7964">
      <w:pPr>
        <w:spacing w:line="360" w:lineRule="auto"/>
        <w:jc w:val="both"/>
      </w:pPr>
      <w:r w:rsidRPr="004D55DA">
        <w:t xml:space="preserve">Os portos que possuem os terminais maioritariamente concessionados possuem vantagens em termos de serviço, atraindo mais carga e navios, com efeitos positivos no desempenho dos seus terminais (Notteboom </w:t>
      </w:r>
      <w:r w:rsidRPr="00D713C2">
        <w:rPr>
          <w:i/>
        </w:rPr>
        <w:t>et al.</w:t>
      </w:r>
      <w:r w:rsidR="00B16785" w:rsidRPr="00D713C2">
        <w:rPr>
          <w:i/>
        </w:rPr>
        <w:t>,</w:t>
      </w:r>
      <w:r w:rsidRPr="004D55DA">
        <w:t xml:space="preserve"> 2000; Notteboom, 2010; Tongzon &amp; Heng, 2005).</w:t>
      </w:r>
    </w:p>
    <w:p w:rsidR="00104A12" w:rsidRPr="004D55DA" w:rsidRDefault="00104A12" w:rsidP="007F7964">
      <w:pPr>
        <w:spacing w:line="360" w:lineRule="auto"/>
        <w:jc w:val="both"/>
      </w:pPr>
      <w:r w:rsidRPr="004D55DA">
        <w:t xml:space="preserve">O elevado nível de integração dos portos nas cadeias logísticas terrestres influencia positivamente o desempenho dos terminais de contentores (Juang &amp; Roe, 2010; Onut </w:t>
      </w:r>
      <w:r w:rsidRPr="00D713C2">
        <w:rPr>
          <w:i/>
        </w:rPr>
        <w:t>et al.,</w:t>
      </w:r>
      <w:r w:rsidRPr="004D55DA">
        <w:t xml:space="preserve"> 2011; Woo </w:t>
      </w:r>
      <w:r w:rsidRPr="00D713C2">
        <w:rPr>
          <w:i/>
        </w:rPr>
        <w:t>et al.,</w:t>
      </w:r>
      <w:r w:rsidRPr="004D55DA">
        <w:t xml:space="preserve"> 2011; Bichou e Gray, 2004).</w:t>
      </w:r>
    </w:p>
    <w:p w:rsidR="00104A12" w:rsidRPr="004D55DA" w:rsidRDefault="001606DE" w:rsidP="007F7964">
      <w:pPr>
        <w:spacing w:line="360" w:lineRule="auto"/>
        <w:jc w:val="both"/>
      </w:pPr>
      <w:r>
        <w:t xml:space="preserve">Assim, coloca-se a </w:t>
      </w:r>
      <w:r w:rsidRPr="001606DE">
        <w:rPr>
          <w:u w:val="single"/>
        </w:rPr>
        <w:t>h</w:t>
      </w:r>
      <w:r w:rsidR="00104A12" w:rsidRPr="001606DE">
        <w:rPr>
          <w:u w:val="single"/>
        </w:rPr>
        <w:t>ipótese 3</w:t>
      </w:r>
      <w:r w:rsidR="00104A12" w:rsidRPr="004D55DA">
        <w:t xml:space="preserve">: Os </w:t>
      </w:r>
      <w:r w:rsidR="00136906" w:rsidRPr="004D55DA">
        <w:t>fatores</w:t>
      </w:r>
      <w:r w:rsidR="00104A12" w:rsidRPr="004D55DA">
        <w:t xml:space="preserve"> “soft-port” relacionados com o serviço do porto influenciam o desempenho do terminal de contentores.</w:t>
      </w:r>
    </w:p>
    <w:p w:rsidR="00104A12" w:rsidRDefault="00104A12" w:rsidP="007F7964">
      <w:pPr>
        <w:spacing w:line="360" w:lineRule="auto"/>
        <w:jc w:val="both"/>
      </w:pPr>
    </w:p>
    <w:p w:rsidR="003E367B" w:rsidRPr="003E367B" w:rsidRDefault="003E367B" w:rsidP="007F7964">
      <w:pPr>
        <w:spacing w:line="360" w:lineRule="auto"/>
        <w:jc w:val="both"/>
        <w:rPr>
          <w:b/>
        </w:rPr>
      </w:pPr>
      <w:r w:rsidRPr="003E367B">
        <w:rPr>
          <w:b/>
        </w:rPr>
        <w:t>Hip</w:t>
      </w:r>
      <w:r>
        <w:rPr>
          <w:b/>
        </w:rPr>
        <w:t>ótese 4</w:t>
      </w:r>
    </w:p>
    <w:p w:rsidR="00104A12" w:rsidRPr="004D55DA" w:rsidRDefault="00104A12" w:rsidP="007F7964">
      <w:pPr>
        <w:spacing w:line="360" w:lineRule="auto"/>
        <w:jc w:val="both"/>
      </w:pPr>
      <w:r w:rsidRPr="004D55DA">
        <w:t>A maior dimensão dos fundos marítimos junto ao cais do terminal de contentores permite o serviço de navios maiores, atraindo mais navios e cargas (Wang &amp; Cullinane, 2006).</w:t>
      </w:r>
    </w:p>
    <w:p w:rsidR="00104A12" w:rsidRPr="004D55DA" w:rsidRDefault="00104A12" w:rsidP="007F7964">
      <w:pPr>
        <w:spacing w:line="360" w:lineRule="auto"/>
        <w:jc w:val="both"/>
      </w:pPr>
      <w:r w:rsidRPr="004D55DA">
        <w:lastRenderedPageBreak/>
        <w:t xml:space="preserve">O tipo e número elevado de equipamentos de cais e de parque influenciam positivamente o desempenho do terminal de contentores (Sharma &amp; Yu, 2009; Cullinane &amp; Wang, 2010; Onut </w:t>
      </w:r>
      <w:r w:rsidRPr="00D713C2">
        <w:rPr>
          <w:i/>
        </w:rPr>
        <w:t>et al.,</w:t>
      </w:r>
      <w:r w:rsidRPr="004D55DA">
        <w:t xml:space="preserve"> 2011; Hung </w:t>
      </w:r>
      <w:r w:rsidRPr="00D713C2">
        <w:rPr>
          <w:i/>
        </w:rPr>
        <w:t>et al.,</w:t>
      </w:r>
      <w:r w:rsidRPr="004D55DA">
        <w:t xml:space="preserve"> 2010; Wu </w:t>
      </w:r>
      <w:r w:rsidRPr="00D713C2">
        <w:rPr>
          <w:i/>
        </w:rPr>
        <w:t xml:space="preserve">et al., </w:t>
      </w:r>
      <w:r w:rsidRPr="004D55DA">
        <w:t xml:space="preserve">2010; Turnar </w:t>
      </w:r>
      <w:r w:rsidRPr="00D713C2">
        <w:rPr>
          <w:i/>
        </w:rPr>
        <w:t>et al.,</w:t>
      </w:r>
      <w:r w:rsidRPr="004D55DA">
        <w:t xml:space="preserve"> 2004).</w:t>
      </w:r>
    </w:p>
    <w:p w:rsidR="00104A12" w:rsidRPr="004D55DA" w:rsidRDefault="00104A12" w:rsidP="007F7964">
      <w:pPr>
        <w:spacing w:line="360" w:lineRule="auto"/>
        <w:jc w:val="both"/>
      </w:pPr>
      <w:r w:rsidRPr="004D55DA">
        <w:t>A dimensão do cais do terminal de contentores permite a receção de maior ou menor número de navios e facilita a existência de economias de escala, bem como</w:t>
      </w:r>
      <w:r w:rsidR="00532861" w:rsidRPr="004D55DA">
        <w:t>,</w:t>
      </w:r>
      <w:r w:rsidRPr="004D55DA">
        <w:t xml:space="preserve"> a segmentação do mercado, com atribuição de áreas para tráfegos específicos, com requisitos espe</w:t>
      </w:r>
      <w:r w:rsidR="00532861" w:rsidRPr="004D55DA">
        <w:t>cíficos, pelo que um cais maior</w:t>
      </w:r>
      <w:r w:rsidRPr="004D55DA">
        <w:t xml:space="preserve"> influencia positivamente o desempenho do terminal de contentores (Sharma &amp; Yu, 2009; Cullinane &amp; Wang, 2010; Hung </w:t>
      </w:r>
      <w:r w:rsidRPr="00D713C2">
        <w:rPr>
          <w:i/>
        </w:rPr>
        <w:t>et al.,</w:t>
      </w:r>
      <w:r w:rsidRPr="004D55DA">
        <w:t xml:space="preserve"> 2010; Wu </w:t>
      </w:r>
      <w:r w:rsidRPr="00D713C2">
        <w:rPr>
          <w:i/>
        </w:rPr>
        <w:t>et al.,</w:t>
      </w:r>
      <w:r w:rsidRPr="004D55DA">
        <w:t xml:space="preserve"> 2010).</w:t>
      </w:r>
    </w:p>
    <w:p w:rsidR="00104A12" w:rsidRPr="004D55DA" w:rsidRDefault="00104A12" w:rsidP="007F7964">
      <w:pPr>
        <w:spacing w:line="360" w:lineRule="auto"/>
        <w:jc w:val="both"/>
      </w:pPr>
      <w:r w:rsidRPr="004D55DA">
        <w:t xml:space="preserve">A dimensão do terrapleno do terminal, na sua relação com o cais, permite uma melhor ou pior organização do parqueamento dos contentores e velocidades na arrumação ou saída dos contentores, com efeitos positivos dos grandes terraplenos sobre o desempenho (Sharma &amp; Yu, 2009; Cullinane &amp; Wang, 2010; Hung </w:t>
      </w:r>
      <w:r w:rsidRPr="00D713C2">
        <w:rPr>
          <w:i/>
        </w:rPr>
        <w:t>et al.,</w:t>
      </w:r>
      <w:r w:rsidRPr="004D55DA">
        <w:t xml:space="preserve"> 2010; Wu </w:t>
      </w:r>
      <w:r w:rsidRPr="00D713C2">
        <w:rPr>
          <w:i/>
        </w:rPr>
        <w:t>et al.,</w:t>
      </w:r>
      <w:r w:rsidRPr="004D55DA">
        <w:t xml:space="preserve"> 2010).</w:t>
      </w:r>
    </w:p>
    <w:p w:rsidR="00104A12" w:rsidRPr="004D55DA" w:rsidRDefault="00104A12" w:rsidP="007F7964">
      <w:pPr>
        <w:spacing w:line="360" w:lineRule="auto"/>
        <w:jc w:val="both"/>
      </w:pPr>
      <w:r w:rsidRPr="004D55DA">
        <w:t xml:space="preserve">A grande dimensão dos navios das linhas marítimas que escalam o terminal de contentores, permitida pelas infraestruturas, tem efeitos sobre o frete, o tipo de destinos e o segmento mercado de serviço marítimo oferecido pelo terminal, sendo importante um maior desempenho do terminal de contentores (Acochrane, 2008; Veldman </w:t>
      </w:r>
      <w:r w:rsidRPr="00D713C2">
        <w:rPr>
          <w:i/>
        </w:rPr>
        <w:t>et al.,</w:t>
      </w:r>
      <w:r w:rsidRPr="004D55DA">
        <w:t xml:space="preserve"> 2011; Turner </w:t>
      </w:r>
      <w:r w:rsidRPr="00D713C2">
        <w:rPr>
          <w:i/>
        </w:rPr>
        <w:t>et al.,</w:t>
      </w:r>
      <w:r w:rsidRPr="004D55DA">
        <w:t xml:space="preserve"> 2004; Hung </w:t>
      </w:r>
      <w:r w:rsidRPr="00D713C2">
        <w:rPr>
          <w:i/>
        </w:rPr>
        <w:t>et al.,</w:t>
      </w:r>
      <w:r w:rsidRPr="004D55DA">
        <w:t xml:space="preserve"> 2010).</w:t>
      </w:r>
    </w:p>
    <w:p w:rsidR="00104A12" w:rsidRPr="004D55DA" w:rsidRDefault="00104A12" w:rsidP="007F7964">
      <w:pPr>
        <w:spacing w:line="360" w:lineRule="auto"/>
        <w:jc w:val="both"/>
      </w:pPr>
      <w:r w:rsidRPr="004D55DA">
        <w:t xml:space="preserve">As ligações ferroviárias a terminais de segunda linha no “hinterland” permitem alargar o mercado do terminal, servindo de portarias distantes do terminal, pelo que melhores ligações possuem efeitos positivos no desempenho do terminal de contentores (Juang &amp; Roe, 2010; Chang </w:t>
      </w:r>
      <w:r w:rsidRPr="00D713C2">
        <w:rPr>
          <w:i/>
        </w:rPr>
        <w:t>et al.,</w:t>
      </w:r>
      <w:r w:rsidRPr="004D55DA">
        <w:t xml:space="preserve"> 2008; Bruce </w:t>
      </w:r>
      <w:r w:rsidRPr="00D713C2">
        <w:rPr>
          <w:i/>
        </w:rPr>
        <w:t>et al.,</w:t>
      </w:r>
      <w:r w:rsidRPr="004D55DA">
        <w:t xml:space="preserve"> 2008; Tongzon </w:t>
      </w:r>
      <w:r w:rsidRPr="00D713C2">
        <w:rPr>
          <w:i/>
        </w:rPr>
        <w:t>et al.,</w:t>
      </w:r>
      <w:r w:rsidRPr="004D55DA">
        <w:t xml:space="preserve"> 2009; Panayedes &amp; Song, 2011; Panayedes &amp; Song, 2009).</w:t>
      </w:r>
    </w:p>
    <w:p w:rsidR="00104A12" w:rsidRPr="004D55DA" w:rsidRDefault="001606DE" w:rsidP="007F7964">
      <w:pPr>
        <w:spacing w:line="360" w:lineRule="auto"/>
        <w:jc w:val="both"/>
      </w:pPr>
      <w:r>
        <w:t xml:space="preserve">Assim, coloca-se a </w:t>
      </w:r>
      <w:r w:rsidRPr="001606DE">
        <w:rPr>
          <w:u w:val="single"/>
        </w:rPr>
        <w:t>h</w:t>
      </w:r>
      <w:r w:rsidR="00104A12" w:rsidRPr="001606DE">
        <w:rPr>
          <w:u w:val="single"/>
        </w:rPr>
        <w:t>ipótese 4</w:t>
      </w:r>
      <w:r w:rsidR="00104A12" w:rsidRPr="004D55DA">
        <w:t xml:space="preserve">: Os </w:t>
      </w:r>
      <w:r w:rsidR="00136906" w:rsidRPr="004D55DA">
        <w:t>fatores</w:t>
      </w:r>
      <w:r w:rsidR="00104A12" w:rsidRPr="004D55DA">
        <w:t xml:space="preserve"> “hard-terminal” relacionados com a infraestrutura do terminal de contentores influenciam o desempenho do terminal de contentores.</w:t>
      </w:r>
    </w:p>
    <w:p w:rsidR="00104A12" w:rsidRDefault="00104A12" w:rsidP="007F7964">
      <w:pPr>
        <w:spacing w:line="360" w:lineRule="auto"/>
        <w:jc w:val="both"/>
      </w:pPr>
    </w:p>
    <w:p w:rsidR="003E367B" w:rsidRPr="003E367B" w:rsidRDefault="003E367B" w:rsidP="007F7964">
      <w:pPr>
        <w:spacing w:line="360" w:lineRule="auto"/>
        <w:jc w:val="both"/>
        <w:rPr>
          <w:b/>
        </w:rPr>
      </w:pPr>
      <w:r w:rsidRPr="003E367B">
        <w:rPr>
          <w:b/>
        </w:rPr>
        <w:t>Hip</w:t>
      </w:r>
      <w:r>
        <w:rPr>
          <w:b/>
        </w:rPr>
        <w:t>ótese 5</w:t>
      </w:r>
    </w:p>
    <w:p w:rsidR="001606DE" w:rsidRDefault="00104A12" w:rsidP="007F7964">
      <w:pPr>
        <w:spacing w:line="360" w:lineRule="auto"/>
        <w:jc w:val="both"/>
      </w:pPr>
      <w:r w:rsidRPr="004D55DA">
        <w:t>A agilidade face a alterações de última hora, a fiabilidade do serviço, a qualidade do serviço do terminal, bem como</w:t>
      </w:r>
      <w:r w:rsidR="00532861" w:rsidRPr="004D55DA">
        <w:t>,</w:t>
      </w:r>
      <w:r w:rsidRPr="004D55DA">
        <w:t xml:space="preserve"> a flexibilidade e a orientação do terminal para os requisitos do cliente são características importantes para um melhor desempenho do terminal de contentores (Juang &amp; Roe, 2010; Chang </w:t>
      </w:r>
      <w:r w:rsidRPr="00D713C2">
        <w:rPr>
          <w:i/>
        </w:rPr>
        <w:t>et al.,</w:t>
      </w:r>
      <w:r w:rsidRPr="004D55DA">
        <w:t xml:space="preserve"> 2008; Bruce </w:t>
      </w:r>
      <w:r w:rsidRPr="00D713C2">
        <w:rPr>
          <w:i/>
        </w:rPr>
        <w:t>et al.,</w:t>
      </w:r>
      <w:r w:rsidRPr="004D55DA">
        <w:t xml:space="preserve"> 2008; Tongzon </w:t>
      </w:r>
      <w:r w:rsidRPr="00D713C2">
        <w:rPr>
          <w:i/>
        </w:rPr>
        <w:t>et al.,</w:t>
      </w:r>
      <w:r w:rsidRPr="004D55DA">
        <w:t xml:space="preserve"> 2009; Panayedes &amp; Song, 2011; Panayedes &amp; Song, 2009; Chang </w:t>
      </w:r>
      <w:r w:rsidRPr="00D713C2">
        <w:rPr>
          <w:i/>
        </w:rPr>
        <w:t>et al.,</w:t>
      </w:r>
      <w:r w:rsidRPr="004D55DA">
        <w:t xml:space="preserve"> 2008; Tongzon </w:t>
      </w:r>
      <w:r w:rsidRPr="00D713C2">
        <w:rPr>
          <w:i/>
        </w:rPr>
        <w:t>et al.,</w:t>
      </w:r>
      <w:r w:rsidRPr="004D55DA">
        <w:t xml:space="preserve"> 2009; Veldman </w:t>
      </w:r>
      <w:r w:rsidRPr="00D713C2">
        <w:rPr>
          <w:i/>
        </w:rPr>
        <w:t>et al.,</w:t>
      </w:r>
      <w:r w:rsidRPr="004D55DA">
        <w:t xml:space="preserve"> 2011; Woo </w:t>
      </w:r>
      <w:r w:rsidRPr="00D713C2">
        <w:rPr>
          <w:i/>
        </w:rPr>
        <w:t>et al.,</w:t>
      </w:r>
      <w:r w:rsidRPr="004D55DA">
        <w:t xml:space="preserve"> 2011; Hung </w:t>
      </w:r>
      <w:r w:rsidRPr="00D713C2">
        <w:rPr>
          <w:i/>
        </w:rPr>
        <w:t>et al.,</w:t>
      </w:r>
      <w:r w:rsidRPr="004D55DA">
        <w:t xml:space="preserve"> 2010;Liu </w:t>
      </w:r>
      <w:r w:rsidRPr="00D713C2">
        <w:rPr>
          <w:i/>
        </w:rPr>
        <w:t>et al.,</w:t>
      </w:r>
      <w:r w:rsidRPr="004D55DA">
        <w:t xml:space="preserve"> 2009; Onut </w:t>
      </w:r>
      <w:r w:rsidRPr="00D713C2">
        <w:rPr>
          <w:i/>
        </w:rPr>
        <w:t>et al.,</w:t>
      </w:r>
      <w:r w:rsidRPr="004D55DA">
        <w:t xml:space="preserve"> 2011; Carbone &amp; De Martino, 2003).</w:t>
      </w:r>
    </w:p>
    <w:p w:rsidR="00104A12" w:rsidRPr="004D55DA" w:rsidRDefault="00104A12" w:rsidP="007F7964">
      <w:pPr>
        <w:spacing w:line="360" w:lineRule="auto"/>
        <w:jc w:val="both"/>
      </w:pPr>
      <w:r w:rsidRPr="004D55DA">
        <w:lastRenderedPageBreak/>
        <w:t xml:space="preserve">A imagem positiva do terminal tem forte influência positiva na escolha pelos clientes e no seu desempenho (Juang &amp; Roe, 2010; Onut </w:t>
      </w:r>
      <w:r w:rsidRPr="00D713C2">
        <w:rPr>
          <w:i/>
        </w:rPr>
        <w:t>et al.,</w:t>
      </w:r>
      <w:r w:rsidRPr="004D55DA">
        <w:t xml:space="preserve"> 2011; Chang </w:t>
      </w:r>
      <w:r w:rsidRPr="00D713C2">
        <w:rPr>
          <w:i/>
        </w:rPr>
        <w:t>et al.,</w:t>
      </w:r>
      <w:r w:rsidRPr="004D55DA">
        <w:t xml:space="preserve"> 2008; Cheo, 2007; Pando </w:t>
      </w:r>
      <w:r w:rsidRPr="00D713C2">
        <w:rPr>
          <w:i/>
        </w:rPr>
        <w:t xml:space="preserve">et al., </w:t>
      </w:r>
      <w:r w:rsidRPr="004D55DA">
        <w:t>2005; Pardali e Kounoupas, 2007; Cahoon &amp; Hecker, 2007).</w:t>
      </w:r>
    </w:p>
    <w:p w:rsidR="00104A12" w:rsidRPr="004D55DA" w:rsidRDefault="00104A12" w:rsidP="007F7964">
      <w:pPr>
        <w:spacing w:line="360" w:lineRule="auto"/>
        <w:jc w:val="both"/>
      </w:pPr>
      <w:r w:rsidRPr="004D55DA">
        <w:t xml:space="preserve">O elevado nível de integração do terminal nas cadeias logísticas terrestres influencia positivamente o desempenho dos terminais de contentores (Juang &amp; Roe, 2010; Tongzon &amp; Heng, 2005; Hung </w:t>
      </w:r>
      <w:r w:rsidRPr="00D713C2">
        <w:rPr>
          <w:i/>
        </w:rPr>
        <w:t>et al.,</w:t>
      </w:r>
      <w:r w:rsidRPr="004D55DA">
        <w:t xml:space="preserve"> 2010; Panayedes &amp; Song, 2009; Paixão &amp; Marlow, 2003; Liu </w:t>
      </w:r>
      <w:r w:rsidRPr="00D713C2">
        <w:rPr>
          <w:i/>
        </w:rPr>
        <w:t>et al.,</w:t>
      </w:r>
      <w:r w:rsidRPr="004D55DA">
        <w:t xml:space="preserve"> 2009).</w:t>
      </w:r>
    </w:p>
    <w:p w:rsidR="00104A12" w:rsidRPr="004D55DA" w:rsidRDefault="00104A12" w:rsidP="007F7964">
      <w:pPr>
        <w:spacing w:line="360" w:lineRule="auto"/>
        <w:jc w:val="both"/>
      </w:pPr>
      <w:r w:rsidRPr="004D55DA">
        <w:t>O tipo de "</w:t>
      </w:r>
      <w:r w:rsidR="00136906">
        <w:t>layout</w:t>
      </w:r>
      <w:r w:rsidRPr="004D55DA">
        <w:t>" do terminal de contentores e a sua organização física têm influência sobre o seu rendimento e sobre o seu desempenho.</w:t>
      </w:r>
    </w:p>
    <w:p w:rsidR="00104A12" w:rsidRPr="004D55DA" w:rsidRDefault="00104A12" w:rsidP="007F7964">
      <w:pPr>
        <w:spacing w:line="360" w:lineRule="auto"/>
        <w:jc w:val="both"/>
      </w:pPr>
      <w:r w:rsidRPr="004D55DA">
        <w:t>O elevado número e tipo de linhas de navios porta-contentores que escalam o terminal de contentores, bem como</w:t>
      </w:r>
      <w:r w:rsidR="00532861" w:rsidRPr="004D55DA">
        <w:t>,</w:t>
      </w:r>
      <w:r w:rsidRPr="004D55DA">
        <w:t xml:space="preserve"> a sua segmentação em termos de linhas “feeder”, de shortsea, intercontinentais e de armadores do top10 mundial são características que influenciam positivamente a oferta do terminal e logo a sua atratibilidade e desempenho (Song &amp; Yeo, 2004; Chou, 2010; Veldman </w:t>
      </w:r>
      <w:r w:rsidRPr="00D713C2">
        <w:rPr>
          <w:i/>
        </w:rPr>
        <w:t>et al.,</w:t>
      </w:r>
      <w:r w:rsidRPr="004D55DA">
        <w:t xml:space="preserve"> 2011; Onut </w:t>
      </w:r>
      <w:r w:rsidRPr="00D713C2">
        <w:rPr>
          <w:i/>
        </w:rPr>
        <w:t>et al.,</w:t>
      </w:r>
      <w:r w:rsidRPr="004D55DA">
        <w:t xml:space="preserve"> 2011; Tongzon, 2002; Veldman &amp; Buckmann, 2003; Hung </w:t>
      </w:r>
      <w:r w:rsidRPr="00D713C2">
        <w:rPr>
          <w:i/>
        </w:rPr>
        <w:t>et al.,</w:t>
      </w:r>
      <w:r w:rsidRPr="004D55DA">
        <w:t xml:space="preserve"> 2010).</w:t>
      </w:r>
    </w:p>
    <w:p w:rsidR="00104A12" w:rsidRPr="004D55DA" w:rsidRDefault="00104A12" w:rsidP="007F7964">
      <w:pPr>
        <w:spacing w:line="360" w:lineRule="auto"/>
        <w:jc w:val="both"/>
      </w:pPr>
      <w:r w:rsidRPr="004D55DA">
        <w:t xml:space="preserve">O reduzido tempo de espera do navio para acostar ao terminal, devido ao congestionamento do cais do terminal tem influência sobre os custos do navio em porto e logo efeitos positivos sobre o desempenho do terminal (Onut </w:t>
      </w:r>
      <w:r w:rsidRPr="00D713C2">
        <w:rPr>
          <w:i/>
        </w:rPr>
        <w:t>et al.,</w:t>
      </w:r>
      <w:r w:rsidRPr="004D55DA">
        <w:t xml:space="preserve"> 2011).</w:t>
      </w:r>
    </w:p>
    <w:p w:rsidR="00104A12" w:rsidRPr="004D55DA" w:rsidRDefault="00104A12" w:rsidP="007F7964">
      <w:pPr>
        <w:spacing w:line="360" w:lineRule="auto"/>
        <w:jc w:val="both"/>
      </w:pPr>
      <w:r w:rsidRPr="004D55DA">
        <w:t xml:space="preserve">Os terminais modernos que oferecem mais serviços de valor acrescentado à carga no interior, como âncoras para a captura das cadeias logísticas, realizando operações enquanto a carga está no terrapleno em espera, influenciam positivamente o desempenho do terminal (Veldman </w:t>
      </w:r>
      <w:r w:rsidRPr="00D713C2">
        <w:rPr>
          <w:i/>
        </w:rPr>
        <w:t>et al.,</w:t>
      </w:r>
      <w:r w:rsidRPr="004D55DA">
        <w:t xml:space="preserve"> 2011; Woo </w:t>
      </w:r>
      <w:r w:rsidRPr="00D713C2">
        <w:rPr>
          <w:i/>
        </w:rPr>
        <w:t>et al.,</w:t>
      </w:r>
      <w:r w:rsidRPr="004D55DA">
        <w:t xml:space="preserve"> 2011; Juang &amp; Roe, 2010; Hesse &amp; Rodrigue, 2004; Harding </w:t>
      </w:r>
      <w:r w:rsidR="00532861" w:rsidRPr="004D55DA">
        <w:t>&amp;</w:t>
      </w:r>
      <w:r w:rsidRPr="004D55DA">
        <w:t xml:space="preserve"> Juhel, 1997; Carbone &amp; De Martino, 2003; Bichou &amp; Gray, 2004; Panayedes &amp; Song, 2011; Panayedes &amp; Song, 2009).</w:t>
      </w:r>
    </w:p>
    <w:p w:rsidR="00104A12" w:rsidRPr="004D55DA" w:rsidRDefault="00104A12" w:rsidP="007F7964">
      <w:pPr>
        <w:spacing w:line="360" w:lineRule="auto"/>
        <w:jc w:val="both"/>
      </w:pPr>
      <w:r w:rsidRPr="004D55DA">
        <w:t xml:space="preserve">O sistema de informações do terminal moderno, adequado e integrado com as cadeias logísticas dos clientes do lado marítimo e terrestre são pontos fortes determinantes da escolha pelos clientes, influenciando positivamente o desempenho (Carbone &amp; De Martino, 2003; Panayedes &amp; Song, 2009; Cachon &amp; Fisher, 2000; Zhao </w:t>
      </w:r>
      <w:r w:rsidRPr="00D713C2">
        <w:rPr>
          <w:i/>
        </w:rPr>
        <w:t>et al.,</w:t>
      </w:r>
      <w:r w:rsidRPr="004D55DA">
        <w:t xml:space="preserve"> 2002; Liu </w:t>
      </w:r>
      <w:r w:rsidRPr="00D713C2">
        <w:rPr>
          <w:i/>
        </w:rPr>
        <w:t>et al.,</w:t>
      </w:r>
      <w:r w:rsidRPr="004D55DA">
        <w:t xml:space="preserve"> 2009).</w:t>
      </w:r>
    </w:p>
    <w:p w:rsidR="00104A12" w:rsidRPr="004D55DA" w:rsidRDefault="00136906" w:rsidP="007F7964">
      <w:pPr>
        <w:spacing w:line="360" w:lineRule="auto"/>
        <w:jc w:val="both"/>
      </w:pPr>
      <w:r w:rsidRPr="004D55DA">
        <w:t>O tipo de gestor do terminal e o mo</w:t>
      </w:r>
      <w:r>
        <w:t>delo de organização do terminal</w:t>
      </w:r>
      <w:r w:rsidRPr="004D55DA">
        <w:t xml:space="preserve"> têm influência na qualidade dos serviços e agilidade e flexibilidade, bem como, na orientação do terminal para o cliente e para as suas necessidades, com efeitos no desempenho (Bicou &amp; Gray, 2004; Robinson, 2002; Liu </w:t>
      </w:r>
      <w:r w:rsidRPr="00D713C2">
        <w:rPr>
          <w:i/>
        </w:rPr>
        <w:t>et al.,</w:t>
      </w:r>
      <w:r w:rsidRPr="004D55DA">
        <w:t xml:space="preserve"> 2009).</w:t>
      </w:r>
    </w:p>
    <w:p w:rsidR="00104A12" w:rsidRPr="004D55DA" w:rsidRDefault="00104A12" w:rsidP="007F7964">
      <w:pPr>
        <w:spacing w:line="360" w:lineRule="auto"/>
        <w:jc w:val="both"/>
      </w:pPr>
      <w:r w:rsidRPr="004D55DA">
        <w:t xml:space="preserve">A elevada formação do pessoal, experiência e produtividade de cais do terminal de contentores possui efeito </w:t>
      </w:r>
      <w:r w:rsidR="00532861" w:rsidRPr="004D55DA">
        <w:t>no</w:t>
      </w:r>
      <w:r w:rsidRPr="004D55DA">
        <w:t xml:space="preserve"> tempo de estadia e atendimento dos navios, com reflexos nos </w:t>
      </w:r>
      <w:r w:rsidRPr="004D55DA">
        <w:lastRenderedPageBreak/>
        <w:t xml:space="preserve">custos de estadia no porto, influenciando positivamente a escolha do porto pelos armadores e o desempenho do terminal (Onut </w:t>
      </w:r>
      <w:r w:rsidRPr="00D713C2">
        <w:rPr>
          <w:i/>
        </w:rPr>
        <w:t>et al.,</w:t>
      </w:r>
      <w:r w:rsidRPr="004D55DA">
        <w:t xml:space="preserve"> 2011; Tongzon </w:t>
      </w:r>
      <w:r w:rsidRPr="00D713C2">
        <w:rPr>
          <w:i/>
        </w:rPr>
        <w:t>et al.,</w:t>
      </w:r>
      <w:r w:rsidRPr="004D55DA">
        <w:t xml:space="preserve"> 2009; Juang </w:t>
      </w:r>
      <w:r w:rsidR="00532861" w:rsidRPr="004D55DA">
        <w:t>&amp;</w:t>
      </w:r>
      <w:r w:rsidRPr="004D55DA">
        <w:t xml:space="preserve"> Roe, 2010; Liu </w:t>
      </w:r>
      <w:r w:rsidRPr="00D713C2">
        <w:rPr>
          <w:i/>
        </w:rPr>
        <w:t>et al.,</w:t>
      </w:r>
      <w:r w:rsidRPr="004D55DA">
        <w:t xml:space="preserve"> 2009).</w:t>
      </w:r>
    </w:p>
    <w:p w:rsidR="00104A12" w:rsidRPr="004D55DA" w:rsidRDefault="00104A12" w:rsidP="007F7964">
      <w:pPr>
        <w:spacing w:line="360" w:lineRule="auto"/>
        <w:jc w:val="both"/>
      </w:pPr>
      <w:r w:rsidRPr="004D55DA">
        <w:t xml:space="preserve">O tarifário de “handling” do terminal mais baixo tem influência positiva </w:t>
      </w:r>
      <w:r w:rsidR="00532861" w:rsidRPr="004D55DA">
        <w:t>no</w:t>
      </w:r>
      <w:r w:rsidRPr="004D55DA">
        <w:t xml:space="preserve"> desempenho do terminal (Onut </w:t>
      </w:r>
      <w:r w:rsidRPr="00D713C2">
        <w:rPr>
          <w:i/>
        </w:rPr>
        <w:t>et al.,</w:t>
      </w:r>
      <w:r w:rsidRPr="004D55DA">
        <w:t xml:space="preserve"> 2011; Carbone &amp; De Martino, 2003; Liu </w:t>
      </w:r>
      <w:r w:rsidRPr="00D713C2">
        <w:rPr>
          <w:i/>
        </w:rPr>
        <w:t>et al.,</w:t>
      </w:r>
      <w:r w:rsidRPr="004D55DA">
        <w:t xml:space="preserve"> 2009).</w:t>
      </w:r>
    </w:p>
    <w:p w:rsidR="00104A12" w:rsidRPr="004D55DA" w:rsidRDefault="00104A12" w:rsidP="007F7964">
      <w:pPr>
        <w:spacing w:line="360" w:lineRule="auto"/>
        <w:jc w:val="both"/>
      </w:pPr>
      <w:r w:rsidRPr="004D55DA">
        <w:t xml:space="preserve">A </w:t>
      </w:r>
      <w:r w:rsidR="00532861" w:rsidRPr="004D55DA">
        <w:t>g</w:t>
      </w:r>
      <w:r w:rsidRPr="004D55DA">
        <w:t xml:space="preserve">estão privada do terminal permite uma gestão mais eficiente, com influência positiva sobre o desempenho do terminal (Notteboom </w:t>
      </w:r>
      <w:r w:rsidRPr="00D713C2">
        <w:rPr>
          <w:i/>
        </w:rPr>
        <w:t>et al.</w:t>
      </w:r>
      <w:r w:rsidR="00CD1555" w:rsidRPr="00D713C2">
        <w:rPr>
          <w:i/>
        </w:rPr>
        <w:t>,</w:t>
      </w:r>
      <w:r w:rsidRPr="004D55DA">
        <w:t xml:space="preserve"> 2000; Notteboom, 2010; Tongzon &amp; Heng,</w:t>
      </w:r>
      <w:r w:rsidR="00532861" w:rsidRPr="004D55DA">
        <w:t xml:space="preserve"> 2005</w:t>
      </w:r>
      <w:r w:rsidR="00CD1555">
        <w:t>;</w:t>
      </w:r>
      <w:r w:rsidR="00532861" w:rsidRPr="004D55DA">
        <w:t xml:space="preserve"> Liu, 1995; Tongzon, 2000,</w:t>
      </w:r>
      <w:r w:rsidRPr="004D55DA">
        <w:t>200</w:t>
      </w:r>
      <w:r w:rsidR="00532861" w:rsidRPr="004D55DA">
        <w:t>1,</w:t>
      </w:r>
      <w:r w:rsidRPr="004D55DA">
        <w:t xml:space="preserve">2002; Cheon </w:t>
      </w:r>
      <w:r w:rsidRPr="00D713C2">
        <w:rPr>
          <w:i/>
        </w:rPr>
        <w:t>et al.,</w:t>
      </w:r>
      <w:r w:rsidRPr="004D55DA">
        <w:t xml:space="preserve"> 2010; Barros, 2003).</w:t>
      </w:r>
    </w:p>
    <w:p w:rsidR="00104A12" w:rsidRPr="004D55DA" w:rsidRDefault="001606DE" w:rsidP="007F7964">
      <w:pPr>
        <w:spacing w:line="360" w:lineRule="auto"/>
        <w:jc w:val="both"/>
      </w:pPr>
      <w:r>
        <w:t xml:space="preserve">Assim, coloca-se a </w:t>
      </w:r>
      <w:r w:rsidRPr="001606DE">
        <w:rPr>
          <w:u w:val="single"/>
        </w:rPr>
        <w:t>h</w:t>
      </w:r>
      <w:r w:rsidR="00104A12" w:rsidRPr="001606DE">
        <w:rPr>
          <w:u w:val="single"/>
        </w:rPr>
        <w:t>ipótese 5</w:t>
      </w:r>
      <w:r w:rsidR="00104A12" w:rsidRPr="004D55DA">
        <w:t xml:space="preserve">: Os </w:t>
      </w:r>
      <w:r w:rsidR="00136906" w:rsidRPr="004D55DA">
        <w:t>fatores</w:t>
      </w:r>
      <w:r w:rsidR="00104A12" w:rsidRPr="004D55DA">
        <w:t xml:space="preserve"> “soft-terminal” relacionados com o serviço do terminal de contentores influenciam o desempenho do terminal de contentores. </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rPr>
          <w:b/>
          <w:i/>
        </w:rPr>
      </w:pPr>
      <w:r w:rsidRPr="004D55DA">
        <w:rPr>
          <w:b/>
          <w:i/>
        </w:rPr>
        <w:br w:type="page"/>
      </w:r>
    </w:p>
    <w:p w:rsidR="00104A12" w:rsidRPr="004D55DA" w:rsidRDefault="00104A12" w:rsidP="007F7964">
      <w:pPr>
        <w:spacing w:line="360" w:lineRule="auto"/>
        <w:jc w:val="both"/>
        <w:rPr>
          <w:b/>
          <w:i/>
        </w:rPr>
      </w:pPr>
    </w:p>
    <w:p w:rsidR="00104A12" w:rsidRPr="00F72F59" w:rsidRDefault="00C35CE5" w:rsidP="00D216EA">
      <w:pPr>
        <w:pStyle w:val="Cabealho2"/>
        <w:ind w:left="0" w:firstLine="0"/>
        <w:rPr>
          <w:sz w:val="24"/>
          <w:szCs w:val="24"/>
          <w:lang w:val="pt-PT"/>
        </w:rPr>
      </w:pPr>
      <w:bookmarkStart w:id="59" w:name="_Toc395730139"/>
      <w:r w:rsidRPr="00F72F59">
        <w:rPr>
          <w:sz w:val="24"/>
          <w:szCs w:val="24"/>
          <w:lang w:val="pt-PT"/>
        </w:rPr>
        <w:t>Constructos e v</w:t>
      </w:r>
      <w:r w:rsidR="00104A12" w:rsidRPr="00F72F59">
        <w:rPr>
          <w:sz w:val="24"/>
          <w:szCs w:val="24"/>
          <w:lang w:val="pt-PT"/>
        </w:rPr>
        <w:t>ariáveis</w:t>
      </w:r>
      <w:r w:rsidRPr="00F72F59">
        <w:rPr>
          <w:sz w:val="24"/>
          <w:szCs w:val="24"/>
          <w:lang w:val="pt-PT"/>
        </w:rPr>
        <w:t xml:space="preserve"> observada</w:t>
      </w:r>
      <w:r w:rsidR="00FC05CE" w:rsidRPr="00F72F59">
        <w:rPr>
          <w:sz w:val="24"/>
          <w:szCs w:val="24"/>
          <w:lang w:val="pt-PT"/>
        </w:rPr>
        <w:fldChar w:fldCharType="begin"/>
      </w:r>
      <w:r w:rsidR="00FC05CE" w:rsidRPr="00F72F59">
        <w:rPr>
          <w:sz w:val="24"/>
          <w:szCs w:val="24"/>
          <w:lang w:val="pt-PT"/>
        </w:rPr>
        <w:instrText xml:space="preserve"> XE "Variáveis" </w:instrText>
      </w:r>
      <w:r w:rsidR="00FC05CE" w:rsidRPr="00F72F59">
        <w:rPr>
          <w:sz w:val="24"/>
          <w:szCs w:val="24"/>
          <w:lang w:val="pt-PT"/>
        </w:rPr>
        <w:fldChar w:fldCharType="end"/>
      </w:r>
      <w:r w:rsidRPr="00F72F59">
        <w:rPr>
          <w:sz w:val="24"/>
          <w:szCs w:val="24"/>
          <w:lang w:val="pt-PT"/>
        </w:rPr>
        <w:t>s</w:t>
      </w:r>
      <w:bookmarkEnd w:id="59"/>
    </w:p>
    <w:p w:rsidR="00104A12" w:rsidRPr="004D55DA" w:rsidRDefault="00104A12" w:rsidP="007F7964">
      <w:pPr>
        <w:spacing w:line="360" w:lineRule="auto"/>
        <w:jc w:val="both"/>
      </w:pPr>
    </w:p>
    <w:p w:rsidR="00104A12" w:rsidRPr="004D55DA" w:rsidRDefault="00C35CE5" w:rsidP="007F7964">
      <w:pPr>
        <w:spacing w:line="360" w:lineRule="auto"/>
        <w:jc w:val="both"/>
      </w:pPr>
      <w:r>
        <w:t xml:space="preserve">Apresentam-se </w:t>
      </w:r>
      <w:r w:rsidR="00532861" w:rsidRPr="004D55DA">
        <w:t>a</w:t>
      </w:r>
      <w:r w:rsidR="00104A12" w:rsidRPr="004D55DA">
        <w:t xml:space="preserve">s variáveis </w:t>
      </w:r>
      <w:r>
        <w:t xml:space="preserve">observadas </w:t>
      </w:r>
      <w:r w:rsidR="00104A12" w:rsidRPr="004D55DA">
        <w:t xml:space="preserve">utilizadas no modelo </w:t>
      </w:r>
      <w:r w:rsidR="00532861" w:rsidRPr="004D55DA">
        <w:t>de investigação</w:t>
      </w:r>
      <w:r>
        <w:t xml:space="preserve"> a partir de cada uma das questões do questionário efetuado, organizadas por constructo ou variável latente,</w:t>
      </w:r>
      <w:r w:rsidR="00104A12" w:rsidRPr="004D55DA">
        <w:t xml:space="preserve"> </w:t>
      </w:r>
      <w:r>
        <w:t xml:space="preserve">e selecionadas </w:t>
      </w:r>
      <w:r w:rsidR="00104A12" w:rsidRPr="004D55DA">
        <w:t>recorrendo às fontes analisadas na revisão da literatura (Tabela 1).</w:t>
      </w:r>
    </w:p>
    <w:p w:rsidR="00104A12" w:rsidRPr="004D55DA" w:rsidRDefault="00104A12" w:rsidP="007F7964">
      <w:pPr>
        <w:spacing w:line="360" w:lineRule="auto"/>
        <w:jc w:val="both"/>
      </w:pPr>
    </w:p>
    <w:p w:rsidR="00104A12" w:rsidRPr="004D55DA" w:rsidRDefault="00104A12" w:rsidP="007F7964">
      <w:pPr>
        <w:pStyle w:val="Legenda"/>
        <w:keepNext/>
      </w:pPr>
      <w:bookmarkStart w:id="60" w:name="_Toc396134124"/>
      <w:r w:rsidRPr="004D55DA">
        <w:t xml:space="preserve">Tabela </w:t>
      </w:r>
      <w:fldSimple w:instr=" SEQ Tabela \* ARABIC ">
        <w:r w:rsidR="008D1B65">
          <w:rPr>
            <w:noProof/>
          </w:rPr>
          <w:t>1</w:t>
        </w:r>
      </w:fldSimple>
      <w:r w:rsidR="00532861" w:rsidRPr="004D55DA">
        <w:rPr>
          <w:noProof/>
        </w:rPr>
        <w:t xml:space="preserve"> – Constructos, v</w:t>
      </w:r>
      <w:r w:rsidRPr="004D55DA">
        <w:rPr>
          <w:noProof/>
        </w:rPr>
        <w:t>ariáveis</w:t>
      </w:r>
      <w:r w:rsidR="00C35CE5">
        <w:rPr>
          <w:noProof/>
        </w:rPr>
        <w:t xml:space="preserve"> observadas</w:t>
      </w:r>
      <w:r w:rsidRPr="004D55DA">
        <w:rPr>
          <w:noProof/>
        </w:rPr>
        <w:t xml:space="preserve"> e autores</w:t>
      </w:r>
      <w:bookmarkEnd w:id="60"/>
    </w:p>
    <w:tbl>
      <w:tblPr>
        <w:tblW w:w="5000" w:type="pct"/>
        <w:tblCellMar>
          <w:left w:w="0" w:type="dxa"/>
          <w:right w:w="0" w:type="dxa"/>
        </w:tblCellMar>
        <w:tblLook w:val="00A0" w:firstRow="1" w:lastRow="0" w:firstColumn="1" w:lastColumn="0" w:noHBand="0" w:noVBand="0"/>
      </w:tblPr>
      <w:tblGrid>
        <w:gridCol w:w="1192"/>
        <w:gridCol w:w="4556"/>
        <w:gridCol w:w="3324"/>
      </w:tblGrid>
      <w:tr w:rsidR="00104A12" w:rsidRPr="004D55DA" w:rsidTr="00A24472">
        <w:trPr>
          <w:trHeight w:val="255"/>
        </w:trPr>
        <w:tc>
          <w:tcPr>
            <w:tcW w:w="657"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sz w:val="20"/>
                <w:szCs w:val="20"/>
              </w:rPr>
            </w:pPr>
            <w:r w:rsidRPr="004D55DA">
              <w:rPr>
                <w:rFonts w:ascii="Cambria" w:hAnsi="Cambria" w:cs="Arial"/>
                <w:sz w:val="20"/>
                <w:szCs w:val="20"/>
              </w:rPr>
              <w:t>Constructo</w:t>
            </w:r>
            <w:r w:rsidR="00532861" w:rsidRPr="004D55DA">
              <w:rPr>
                <w:rFonts w:ascii="Cambria" w:hAnsi="Cambria" w:cs="Arial"/>
                <w:sz w:val="20"/>
                <w:szCs w:val="20"/>
              </w:rPr>
              <w:t>s</w:t>
            </w:r>
          </w:p>
        </w:tc>
        <w:tc>
          <w:tcPr>
            <w:tcW w:w="2511" w:type="pct"/>
            <w:tcBorders>
              <w:top w:val="single" w:sz="4" w:space="0" w:color="auto"/>
              <w:left w:val="nil"/>
              <w:bottom w:val="single" w:sz="4" w:space="0" w:color="auto"/>
              <w:right w:val="nil"/>
            </w:tcBorders>
            <w:shd w:val="clear" w:color="000000" w:fill="FFFFFF"/>
            <w:tcMar>
              <w:top w:w="15" w:type="dxa"/>
              <w:left w:w="15" w:type="dxa"/>
              <w:bottom w:w="0" w:type="dxa"/>
              <w:right w:w="15" w:type="dxa"/>
            </w:tcMar>
            <w:vAlign w:val="bottom"/>
          </w:tcPr>
          <w:p w:rsidR="00104A12" w:rsidRPr="004D55DA" w:rsidRDefault="00532861" w:rsidP="007F7964">
            <w:pPr>
              <w:jc w:val="center"/>
              <w:rPr>
                <w:rFonts w:ascii="Cambria" w:hAnsi="Cambria" w:cs="Arial"/>
                <w:sz w:val="20"/>
                <w:szCs w:val="20"/>
              </w:rPr>
            </w:pPr>
            <w:r w:rsidRPr="004D55DA">
              <w:rPr>
                <w:rFonts w:ascii="Cambria" w:hAnsi="Cambria" w:cs="Arial"/>
                <w:sz w:val="20"/>
                <w:szCs w:val="20"/>
              </w:rPr>
              <w:t>Variáveis</w:t>
            </w:r>
          </w:p>
        </w:tc>
        <w:tc>
          <w:tcPr>
            <w:tcW w:w="1832" w:type="pct"/>
            <w:tcBorders>
              <w:top w:val="single" w:sz="4" w:space="0" w:color="auto"/>
              <w:left w:val="nil"/>
              <w:bottom w:val="single" w:sz="4" w:space="0" w:color="auto"/>
              <w:right w:val="nil"/>
            </w:tcBorders>
            <w:shd w:val="clear" w:color="000000" w:fill="FFFFFF"/>
          </w:tcPr>
          <w:p w:rsidR="00104A12" w:rsidRPr="004D55DA" w:rsidRDefault="00104A12" w:rsidP="007F7964">
            <w:pPr>
              <w:jc w:val="center"/>
              <w:rPr>
                <w:rFonts w:ascii="Cambria" w:hAnsi="Cambria" w:cs="Arial"/>
                <w:sz w:val="20"/>
                <w:szCs w:val="20"/>
              </w:rPr>
            </w:pPr>
            <w:r w:rsidRPr="004D55DA">
              <w:rPr>
                <w:rFonts w:ascii="Cambria" w:hAnsi="Cambria" w:cs="Arial"/>
                <w:sz w:val="20"/>
                <w:szCs w:val="20"/>
              </w:rPr>
              <w:t>Autores</w:t>
            </w:r>
          </w:p>
        </w:tc>
      </w:tr>
      <w:tr w:rsidR="00104A12" w:rsidRPr="004D55DA"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Desempenho</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Movimento de contentores com o “hinterland”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Sharma &amp; Yu, 2009; Acochrane, 2008</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Movimento de contentores de “transhipment”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Acochrane, 2008; Onut et al., 2011</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Produtividade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Onut et al., 2011; Talley, 2006</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Eficiência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Chou, 2010; Acochrane, 2008; Onut et al., 2011; Turner et al., 2004; Tongzon et al., 2009; Onut et al., 2011; Notteboom et al., 2000</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Satisfação do dono da carga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Robinson, 2002; 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Satisfação do armador</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 xml:space="preserve">Liu et al., </w:t>
            </w:r>
            <w:r w:rsidRPr="004D55DA">
              <w:rPr>
                <w:rFonts w:ascii="Cambria" w:hAnsi="Cambria" w:cs="Arial"/>
                <w:sz w:val="16"/>
                <w:szCs w:val="22"/>
                <w:lang w:val="en-US"/>
              </w:rPr>
              <w:t>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Satisfação dos agentes e transitários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Liu et al., 2009; Magala &amp; Sammons, 2008</w:t>
            </w:r>
          </w:p>
        </w:tc>
      </w:tr>
      <w:tr w:rsidR="00104A12" w:rsidRPr="004D55DA" w:rsidTr="00A24472">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Contributo para a economia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Veldman et al., 2011</w:t>
            </w:r>
          </w:p>
        </w:tc>
      </w:tr>
      <w:tr w:rsidR="00104A12" w:rsidRPr="004D55DA"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Position-port</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Distância ao centro da Europa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Song &amp; Yeo, 2004; Liu, 1995; Estache et al., 2001</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Distância a portos concorrentes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Slack, 2007; Goss, 1990</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Distância ao Eixos de transporte marítimo Este-Oeste do Mediterrâneo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Onut et al., 2011; Notteboom, 2011</w:t>
            </w:r>
          </w:p>
        </w:tc>
      </w:tr>
      <w:tr w:rsidR="00104A12" w:rsidRPr="004D55DA" w:rsidTr="00563977">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Distância aos centros de produção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Onut et al., 2011</w:t>
            </w:r>
          </w:p>
        </w:tc>
      </w:tr>
      <w:tr w:rsidR="00104A12" w:rsidRPr="004D55DA" w:rsidTr="00563977">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Distância aos mercados/cidades no “hinterland”</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Chou, 2010</w:t>
            </w:r>
          </w:p>
        </w:tc>
      </w:tr>
      <w:tr w:rsidR="00104A12" w:rsidRPr="00537B64" w:rsidTr="00563977">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rPr>
            </w:pP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Riqueza económica da região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Chou, 2010; Onut et al., 2011; Zohil e Prijon, 1999, Cheo, 2007; Hung et al., 2010</w:t>
            </w:r>
          </w:p>
        </w:tc>
      </w:tr>
      <w:tr w:rsidR="00104A12" w:rsidRPr="00537B64"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Hard-port</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Fundos de acesso do porto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Wang &amp; Cullinane, 2006, Gaur, 2005; Turner et al., 2004</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Acessibilidades ferroviárias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Juang e Roe, 2010; Onut et al., 2011; De Langen, 2004</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Acessibilidades rodoviárias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lang w:val="en-US"/>
              </w:rPr>
              <w:t>Juang &amp; Roe, 2010; Tongzon, 2002, Wiegmans, 2003</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Dimensão do porto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Coto-Millan et al., 2000, Liu, 1995, Serrano &amp; Trujillo, 2005</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Existência de áreas logísticas no porto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autor</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Existência de terminais concorrentes no porto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Goss, 1990</w:t>
            </w:r>
          </w:p>
        </w:tc>
      </w:tr>
      <w:tr w:rsidR="00104A12" w:rsidRPr="004D55DA" w:rsidTr="00A24472">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Tempo de navegação de acesso no porto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Zohil &amp; Prijon, 1999; Nottebomm, 2011; Gaur, 2005</w:t>
            </w:r>
          </w:p>
        </w:tc>
      </w:tr>
      <w:tr w:rsidR="00104A12" w:rsidRPr="004D55DA"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Soft-port</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Especialização do porto em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Trujillo &amp;Tovar, 2008</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Especialização do porto em granéis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Autor</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Qualidade dos serviços de reboque e pilotagem</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Juang &amp; Roe, 2010; Hung et al., 2010</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Imagem do porto onde está 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Juang &amp; Roe, 2010; Onut et al., 2011; Chang et al., 2008; Cheo, 2007</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Dinamismo da Autoridade Portuária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Van Der Horst &amp; De Langen, 2008</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Dinamismo da Comunidade Portuária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Van Der Horst &amp; De Langen, 2008</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Nível das taxas portuárias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Chou, 2010; Onut et al., 2011; Chang et al., 208; Juang &amp; Roe, 2010</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Governo do porto </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Notteboom et al. 2000; Notteboom, 2010; Tongzon e Heng, 2005; Tongzon, 2000</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O porto ser maioritariamente concessionado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Notteboom et al. 2000; Notteboom, 2010; Tongzon &amp; Heng, 2005</w:t>
            </w:r>
          </w:p>
        </w:tc>
      </w:tr>
      <w:tr w:rsidR="00104A12" w:rsidRPr="00537B64" w:rsidTr="00A24472">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lastRenderedPageBreak/>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Integração do porto na logística terrestre</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Juang &amp; Roe, 2010; Onut et al., 2011; Woo et al., 2011; Bichou e Gray, 2004</w:t>
            </w:r>
          </w:p>
        </w:tc>
      </w:tr>
      <w:tr w:rsidR="00104A12" w:rsidRPr="004D55DA"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Hard-terminal</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Fundos do cais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Wang &amp; Cullinane, 2006</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Equipamento do cais e do parque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Sharma &amp; Yu, 2009; Cullinane &amp; Wang, 2010; Onut et al., 2011; Hung et al., 2010; Wu et al., 2010; Turnar et al., 2004</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Dimensão do cais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Sharma &amp; Yu, 2009; Cullinane &amp; Wang, 2010; Hung et al., 2010; Wu et al., 2010</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Dimensão do terrapleno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Sharma &amp; Yu, 2009; Cullinane &amp; Wang, 2010; Hung et al., 2010; Wu et al., 2010</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Dimensão dos navios das linhas marítimas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Acochrane, 2008; Veldman et al., 2011; Turner et al., 2004; Hung et al., 2010</w:t>
            </w:r>
          </w:p>
        </w:tc>
      </w:tr>
      <w:tr w:rsidR="00104A12" w:rsidRPr="00537B64" w:rsidTr="00A24472">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Ligações ferroviárias a terminais de 2ª linha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Juang &amp; Roe, 2010; Chang et al., 2008; Bruce et al., 2008; Tongzon et al., 2009; Panayedes &amp; Song, 2011; Panayedes &amp; Song, 2009</w:t>
            </w:r>
          </w:p>
        </w:tc>
      </w:tr>
      <w:tr w:rsidR="00104A12" w:rsidRPr="00537B64" w:rsidTr="00A24472">
        <w:trPr>
          <w:trHeight w:val="255"/>
        </w:trPr>
        <w:tc>
          <w:tcPr>
            <w:tcW w:w="657" w:type="pct"/>
            <w:tcBorders>
              <w:top w:val="single" w:sz="4" w:space="0" w:color="auto"/>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Soft-terminal</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Agilidade face a alterações de última hora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Woo et al., 2011; Onut et al., 2011; Liu et al., 2009</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Fiabilidade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Chang et al., 2008; Tongzon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Flexibilidade operacional e comercial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lang w:val="en-US"/>
              </w:rPr>
              <w:t>Liu et al., 2009</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Imagem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Juang &amp; Roe, 2010; Onut et al., 2011; Chang et al., 2008; Cheo, 2007; Pando et al., 2005; Pardali e Kounoupas, 2007; Cahoon &amp; Hecker, 2007</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Integração do terminal nas cadeias logísticas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Juang &amp; Roe, 2010; Tongzon &amp; Heng, 2005; Hung et al., 2010; Panayedes &amp; Song, 2009; Paixão &amp; Marlow, 2003; 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36906" w:rsidP="007F7964">
            <w:pPr>
              <w:rPr>
                <w:rFonts w:ascii="Cambria" w:hAnsi="Cambria" w:cs="Arial"/>
                <w:sz w:val="20"/>
                <w:szCs w:val="20"/>
              </w:rPr>
            </w:pPr>
            <w:r>
              <w:rPr>
                <w:rFonts w:ascii="Cambria" w:hAnsi="Cambria" w:cs="Arial"/>
                <w:sz w:val="20"/>
                <w:szCs w:val="20"/>
              </w:rPr>
              <w:t>“Layout”</w:t>
            </w:r>
            <w:r w:rsidR="00104A12" w:rsidRPr="004D55DA">
              <w:rPr>
                <w:rFonts w:ascii="Cambria" w:hAnsi="Cambria" w:cs="Arial"/>
                <w:sz w:val="20"/>
                <w:szCs w:val="20"/>
              </w:rPr>
              <w:t xml:space="preserve"> adequado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autor</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Modelo de organização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
              </w:rPr>
            </w:pPr>
            <w:r w:rsidRPr="004D55DA">
              <w:rPr>
                <w:rFonts w:ascii="Cambria" w:hAnsi="Cambria" w:cs="Arial"/>
                <w:sz w:val="16"/>
                <w:szCs w:val="22"/>
                <w:lang w:val="es-ES"/>
              </w:rPr>
              <w:t>Bic</w:t>
            </w:r>
            <w:r w:rsidR="00136906">
              <w:rPr>
                <w:rFonts w:ascii="Cambria" w:hAnsi="Cambria" w:cs="Arial"/>
                <w:sz w:val="16"/>
                <w:szCs w:val="22"/>
                <w:lang w:val="es-ES"/>
              </w:rPr>
              <w:t>h</w:t>
            </w:r>
            <w:r w:rsidRPr="004D55DA">
              <w:rPr>
                <w:rFonts w:ascii="Cambria" w:hAnsi="Cambria" w:cs="Arial"/>
                <w:sz w:val="16"/>
                <w:szCs w:val="22"/>
                <w:lang w:val="es-ES"/>
              </w:rPr>
              <w:t>ou &amp; Gray, 2004; Robinson, 2002; 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
              </w:rPr>
            </w:pPr>
            <w:r w:rsidRPr="004D55DA">
              <w:rPr>
                <w:rFonts w:ascii="Cambria" w:hAnsi="Cambria" w:cs="Arial"/>
                <w:sz w:val="20"/>
                <w:szCs w:val="20"/>
                <w:lang w:val="es-E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Nº de linhas do TOP10 dos armadores mundiais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Song &amp; Yeo, 2004</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Nº de linhas “feeder” e Short-Sea oferecidas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Chou, 2010; Veldman et al., 2011; Onut et al., 2011; Tongzon, 2002; Veldman &amp; Buckmann, 2003; Hung et al., 2010</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Nº de linhas intercontinentais oferecidas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Song e Yeo, 2004</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Qualidade geral dos serviços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Veldman et al., 2011; Woo et al., 2011; Juang &amp; Roe, 2010; Hung et al., 2010;Liu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n-US"/>
              </w:rPr>
            </w:pPr>
            <w:r w:rsidRPr="004D55DA">
              <w:rPr>
                <w:rFonts w:ascii="Cambria" w:hAnsi="Cambria" w:cs="Arial"/>
                <w:sz w:val="20"/>
                <w:szCs w:val="20"/>
                <w:lang w:val="en-U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Tempo de espera do navio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rPr>
              <w:t>Onut et al., 2011</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Serviços logísticos de valor acrescentados oferecidos à carga</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
              </w:rPr>
            </w:pPr>
            <w:r w:rsidRPr="004D55DA">
              <w:rPr>
                <w:rFonts w:ascii="Cambria" w:hAnsi="Cambria" w:cs="Arial"/>
                <w:sz w:val="16"/>
                <w:szCs w:val="22"/>
                <w:lang w:val="es-ES"/>
              </w:rPr>
              <w:t>Veldman et al., 2011; Woo et al., 2011; Juang &amp; Roe, 2010; Hesse &amp; Rodrigue, 2004; Harding e Juhel, 1997; Carbone &amp; De Martino, 2003; Bichou &amp; Gray, 2004; Panayedes &amp; Song, 2011; Panayedes &amp; Song,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
              </w:rPr>
            </w:pPr>
            <w:r w:rsidRPr="004D55DA">
              <w:rPr>
                <w:rFonts w:ascii="Cambria" w:hAnsi="Cambria" w:cs="Arial"/>
                <w:sz w:val="20"/>
                <w:szCs w:val="20"/>
                <w:lang w:val="es-E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Sistema de informações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
              </w:rPr>
            </w:pPr>
            <w:r w:rsidRPr="004D55DA">
              <w:rPr>
                <w:rFonts w:ascii="Cambria" w:hAnsi="Cambria" w:cs="Arial"/>
                <w:sz w:val="16"/>
                <w:szCs w:val="22"/>
                <w:lang w:val="es-ES"/>
              </w:rPr>
              <w:t>Carbone &amp; De Martino, 2003; Panayedes &amp; Song, 2009; Cachon &amp; Fisher, 2000; Zhao et al., 2002; 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
              </w:rPr>
            </w:pPr>
            <w:r w:rsidRPr="004D55DA">
              <w:rPr>
                <w:rFonts w:ascii="Cambria" w:hAnsi="Cambria" w:cs="Arial"/>
                <w:sz w:val="20"/>
                <w:szCs w:val="20"/>
                <w:lang w:val="es-ES"/>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Tipo de gestor do terminal de contentores</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rPr>
            </w:pPr>
            <w:r w:rsidRPr="004D55DA">
              <w:rPr>
                <w:rFonts w:ascii="Cambria" w:hAnsi="Cambria" w:cs="Arial"/>
                <w:sz w:val="16"/>
                <w:szCs w:val="22"/>
                <w:lang w:val="en-US"/>
              </w:rPr>
              <w:t>Liu et al., 2009</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Produtividade do cais do terminal</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_tradnl"/>
              </w:rPr>
            </w:pPr>
            <w:r w:rsidRPr="004D55DA">
              <w:rPr>
                <w:rFonts w:ascii="Cambria" w:hAnsi="Cambria" w:cs="Arial"/>
                <w:sz w:val="16"/>
                <w:szCs w:val="22"/>
                <w:lang w:val="es-ES_tradnl"/>
              </w:rPr>
              <w:t>Onut et al., 2011; Tongzon et al., 2009; Juang e Roe, 2010; Liu et al., 2009</w:t>
            </w:r>
          </w:p>
        </w:tc>
      </w:tr>
      <w:tr w:rsidR="00104A12" w:rsidRPr="004D55DA"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_tradnl"/>
              </w:rPr>
            </w:pPr>
            <w:r w:rsidRPr="004D55DA">
              <w:rPr>
                <w:rFonts w:ascii="Cambria" w:hAnsi="Cambria" w:cs="Arial"/>
                <w:sz w:val="20"/>
                <w:szCs w:val="20"/>
                <w:lang w:val="es-ES_tradnl"/>
              </w:rPr>
              <w:t> </w:t>
            </w: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Orientação do terminal para o cliente</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s-ES"/>
              </w:rPr>
            </w:pPr>
            <w:r w:rsidRPr="004D55DA">
              <w:rPr>
                <w:rFonts w:ascii="Cambria" w:hAnsi="Cambria" w:cs="Arial"/>
                <w:sz w:val="16"/>
                <w:szCs w:val="22"/>
                <w:lang w:val="es-ES"/>
              </w:rPr>
              <w:t>Juang &amp; Roe, 2010; Onut et al., 2011; Carbone &amp; De Martino, 2003; Liu et al., 2009</w:t>
            </w:r>
          </w:p>
        </w:tc>
      </w:tr>
      <w:tr w:rsidR="00104A12" w:rsidRPr="00537B64" w:rsidTr="00A24472">
        <w:trPr>
          <w:trHeight w:val="255"/>
        </w:trPr>
        <w:tc>
          <w:tcPr>
            <w:tcW w:w="657" w:type="pct"/>
            <w:tcBorders>
              <w:left w:val="nil"/>
            </w:tcBorders>
            <w:shd w:val="clear" w:color="000000" w:fill="FFFFFF"/>
            <w:vAlign w:val="bottom"/>
          </w:tcPr>
          <w:p w:rsidR="00104A12" w:rsidRPr="004D55DA" w:rsidRDefault="00104A12" w:rsidP="007F7964">
            <w:pPr>
              <w:rPr>
                <w:rFonts w:ascii="Cambria" w:hAnsi="Cambria" w:cs="Arial"/>
                <w:sz w:val="20"/>
                <w:szCs w:val="20"/>
                <w:lang w:val="es-ES"/>
              </w:rPr>
            </w:pP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Tarifário de handling do terminal ou THC </w:t>
            </w:r>
            <w:r w:rsidRPr="004D55DA">
              <w:rPr>
                <w:rFonts w:ascii="Cambria" w:hAnsi="Cambria" w:cs="Arial"/>
                <w:b/>
                <w:i/>
                <w:sz w:val="16"/>
                <w:szCs w:val="20"/>
              </w:rPr>
              <w:t>(adicionada apenas no 2º inquérito)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Onut et al., 2011; Song &amp; Yeo, 2006; Veldman &amp; Buckmann, 2003; Tongzon et al., 2009; Juang &amp; Roe, 2010</w:t>
            </w:r>
          </w:p>
        </w:tc>
      </w:tr>
      <w:tr w:rsidR="00104A12" w:rsidRPr="00537B64" w:rsidTr="00A24472">
        <w:trPr>
          <w:trHeight w:val="255"/>
        </w:trPr>
        <w:tc>
          <w:tcPr>
            <w:tcW w:w="657" w:type="pct"/>
            <w:tcBorders>
              <w:left w:val="nil"/>
              <w:bottom w:val="single" w:sz="4" w:space="0" w:color="auto"/>
            </w:tcBorders>
            <w:shd w:val="clear" w:color="000000" w:fill="FFFFFF"/>
            <w:vAlign w:val="bottom"/>
          </w:tcPr>
          <w:p w:rsidR="00104A12" w:rsidRPr="004D55DA" w:rsidRDefault="00104A12" w:rsidP="007F7964">
            <w:pPr>
              <w:rPr>
                <w:rFonts w:ascii="Cambria" w:hAnsi="Cambria" w:cs="Arial"/>
                <w:sz w:val="20"/>
                <w:szCs w:val="20"/>
                <w:lang w:val="en-US"/>
              </w:rPr>
            </w:pPr>
          </w:p>
        </w:tc>
        <w:tc>
          <w:tcPr>
            <w:tcW w:w="2511"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bottom"/>
          </w:tcPr>
          <w:p w:rsidR="00104A12" w:rsidRPr="004D55DA" w:rsidRDefault="00104A12" w:rsidP="007F7964">
            <w:pPr>
              <w:rPr>
                <w:rFonts w:ascii="Cambria" w:hAnsi="Cambria" w:cs="Arial"/>
                <w:sz w:val="20"/>
                <w:szCs w:val="20"/>
              </w:rPr>
            </w:pPr>
            <w:r w:rsidRPr="004D55DA">
              <w:rPr>
                <w:rFonts w:ascii="Cambria" w:hAnsi="Cambria" w:cs="Arial"/>
                <w:sz w:val="20"/>
                <w:szCs w:val="20"/>
              </w:rPr>
              <w:t xml:space="preserve">Gestão privada do terminal </w:t>
            </w:r>
          </w:p>
          <w:p w:rsidR="00104A12" w:rsidRPr="004D55DA" w:rsidRDefault="00104A12" w:rsidP="007F7964">
            <w:pPr>
              <w:rPr>
                <w:rFonts w:ascii="Cambria" w:hAnsi="Cambria" w:cs="Arial"/>
                <w:sz w:val="20"/>
                <w:szCs w:val="20"/>
              </w:rPr>
            </w:pPr>
            <w:r w:rsidRPr="004D55DA">
              <w:rPr>
                <w:rFonts w:ascii="Cambria" w:hAnsi="Cambria" w:cs="Arial"/>
                <w:b/>
                <w:i/>
                <w:sz w:val="16"/>
                <w:szCs w:val="20"/>
              </w:rPr>
              <w:t>(adicionada apenas no 2º inquérito)</w:t>
            </w:r>
          </w:p>
        </w:tc>
        <w:tc>
          <w:tcPr>
            <w:tcW w:w="1832" w:type="pct"/>
            <w:tcBorders>
              <w:top w:val="single" w:sz="4" w:space="0" w:color="auto"/>
              <w:left w:val="single" w:sz="4" w:space="0" w:color="auto"/>
              <w:bottom w:val="single" w:sz="4" w:space="0" w:color="auto"/>
              <w:right w:val="nil"/>
            </w:tcBorders>
            <w:shd w:val="clear" w:color="000000" w:fill="FFFFFF"/>
          </w:tcPr>
          <w:p w:rsidR="00104A12" w:rsidRPr="004D55DA" w:rsidRDefault="00104A12" w:rsidP="007F7964">
            <w:pPr>
              <w:rPr>
                <w:rFonts w:ascii="Cambria" w:hAnsi="Cambria" w:cs="Arial"/>
                <w:sz w:val="16"/>
                <w:lang w:val="en-US"/>
              </w:rPr>
            </w:pPr>
            <w:r w:rsidRPr="004D55DA">
              <w:rPr>
                <w:rFonts w:ascii="Cambria" w:hAnsi="Cambria" w:cs="Arial"/>
                <w:sz w:val="16"/>
                <w:szCs w:val="22"/>
                <w:lang w:val="en-US"/>
              </w:rPr>
              <w:t>Notteboom et al. 2000; Notteboom, 2010; Tongzon &amp; Heng, 2005, Liu, 1995; Tongzon, 2000;2001;2002; Cheon et al., 2010; Barros, 2003</w:t>
            </w:r>
          </w:p>
        </w:tc>
      </w:tr>
    </w:tbl>
    <w:p w:rsidR="00104A12" w:rsidRPr="004D55DA" w:rsidRDefault="00104A12" w:rsidP="007F7964">
      <w:pPr>
        <w:spacing w:line="360" w:lineRule="auto"/>
        <w:jc w:val="both"/>
        <w:rPr>
          <w:lang w:val="en-US"/>
        </w:rPr>
      </w:pPr>
    </w:p>
    <w:p w:rsidR="00104A12" w:rsidRPr="004D55DA" w:rsidRDefault="00104A12" w:rsidP="007F7964">
      <w:pPr>
        <w:spacing w:line="360" w:lineRule="auto"/>
        <w:jc w:val="both"/>
        <w:rPr>
          <w:lang w:val="en-US"/>
        </w:rPr>
      </w:pPr>
      <w:r w:rsidRPr="004D55DA">
        <w:rPr>
          <w:lang w:val="en-US"/>
        </w:rPr>
        <w:br w:type="page"/>
      </w:r>
    </w:p>
    <w:p w:rsidR="00104A12" w:rsidRPr="00840612" w:rsidRDefault="007E6316" w:rsidP="00840612">
      <w:pPr>
        <w:pStyle w:val="Cabealho1"/>
        <w:numPr>
          <w:ilvl w:val="0"/>
          <w:numId w:val="1"/>
        </w:numPr>
        <w:rPr>
          <w:rFonts w:ascii="Times New Roman" w:hAnsi="Times New Roman"/>
          <w:vanish/>
          <w:sz w:val="24"/>
          <w:szCs w:val="24"/>
          <w:lang w:eastAsia="en-US"/>
        </w:rPr>
      </w:pPr>
      <w:bookmarkStart w:id="61" w:name="_Toc326569849"/>
      <w:bookmarkStart w:id="62" w:name="_Toc326569882"/>
      <w:bookmarkStart w:id="63" w:name="_Toc326569934"/>
      <w:bookmarkStart w:id="64" w:name="_Toc326569964"/>
      <w:bookmarkStart w:id="65" w:name="_Toc326600588"/>
      <w:bookmarkStart w:id="66" w:name="_Toc326687048"/>
      <w:bookmarkStart w:id="67" w:name="_Toc332359598"/>
      <w:bookmarkStart w:id="68" w:name="_Toc332359661"/>
      <w:bookmarkStart w:id="69" w:name="_Toc332710655"/>
      <w:bookmarkStart w:id="70" w:name="_Toc333589343"/>
      <w:bookmarkStart w:id="71" w:name="_Toc333594897"/>
      <w:bookmarkStart w:id="72" w:name="_Toc333594957"/>
      <w:bookmarkStart w:id="73" w:name="_Toc333595016"/>
      <w:bookmarkStart w:id="74" w:name="_Toc337927943"/>
      <w:bookmarkStart w:id="75" w:name="_Toc348607068"/>
      <w:bookmarkStart w:id="76" w:name="_Toc364934202"/>
      <w:bookmarkStart w:id="77" w:name="_Toc364959838"/>
      <w:bookmarkStart w:id="78" w:name="_Toc364959893"/>
      <w:bookmarkStart w:id="79" w:name="_Toc364959946"/>
      <w:bookmarkStart w:id="80" w:name="_Toc364959998"/>
      <w:bookmarkStart w:id="81" w:name="_Toc39573014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840612">
        <w:rPr>
          <w:rFonts w:ascii="Times New Roman" w:hAnsi="Times New Roman"/>
          <w:sz w:val="24"/>
          <w:szCs w:val="24"/>
        </w:rPr>
        <w:lastRenderedPageBreak/>
        <w:t>Metodologias</w:t>
      </w:r>
      <w:r w:rsidR="00104A12" w:rsidRPr="00840612">
        <w:rPr>
          <w:rFonts w:ascii="Times New Roman" w:hAnsi="Times New Roman"/>
          <w:sz w:val="24"/>
          <w:szCs w:val="24"/>
        </w:rPr>
        <w:t xml:space="preserve"> estatísticas</w:t>
      </w:r>
      <w:bookmarkEnd w:id="81"/>
    </w:p>
    <w:p w:rsidR="00104A12" w:rsidRPr="004D55DA" w:rsidRDefault="00104A12" w:rsidP="007F7964">
      <w:pPr>
        <w:spacing w:line="360" w:lineRule="auto"/>
        <w:jc w:val="both"/>
      </w:pPr>
    </w:p>
    <w:p w:rsidR="007E6316" w:rsidRDefault="007E6316" w:rsidP="007F7964">
      <w:pPr>
        <w:spacing w:line="360" w:lineRule="auto"/>
        <w:jc w:val="both"/>
      </w:pPr>
    </w:p>
    <w:p w:rsidR="00104A12" w:rsidRPr="004D55DA" w:rsidRDefault="007E6316" w:rsidP="007F7964">
      <w:pPr>
        <w:spacing w:line="360" w:lineRule="auto"/>
        <w:jc w:val="both"/>
      </w:pPr>
      <w:r>
        <w:t xml:space="preserve">Neste capítulo são analisadas </w:t>
      </w:r>
      <w:r w:rsidR="00104A12" w:rsidRPr="004D55DA">
        <w:t>as escalas</w:t>
      </w:r>
      <w:r>
        <w:t xml:space="preserve"> </w:t>
      </w:r>
      <w:r w:rsidR="00A43624">
        <w:t>d</w:t>
      </w:r>
      <w:r>
        <w:t xml:space="preserve">as variáveis observadas </w:t>
      </w:r>
      <w:r w:rsidR="00A43624">
        <w:t>através d</w:t>
      </w:r>
      <w:r>
        <w:t>os inquéritos efetuados</w:t>
      </w:r>
      <w:r w:rsidR="00F01235">
        <w:t xml:space="preserve"> e recolha</w:t>
      </w:r>
      <w:r w:rsidR="00A43624">
        <w:t xml:space="preserve"> de dados</w:t>
      </w:r>
      <w:r w:rsidR="00F01235">
        <w:t>, a amostra</w:t>
      </w:r>
      <w:r w:rsidR="00104A12" w:rsidRPr="004D55DA">
        <w:t xml:space="preserve"> e as </w:t>
      </w:r>
      <w:r>
        <w:t>técnicas</w:t>
      </w:r>
      <w:r w:rsidR="00104A12" w:rsidRPr="004D55DA">
        <w:t xml:space="preserve"> estatísticas utilizadas.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universo selecionado consiste nos terminais de contentores da Península Ibérica e da Europa</w:t>
      </w:r>
      <w:r w:rsidR="00A43624">
        <w:t>,</w:t>
      </w:r>
      <w:r w:rsidR="007E6316">
        <w:t xml:space="preserve"> que são o objeto deste estudo</w:t>
      </w:r>
      <w:r w:rsidR="00A43624">
        <w:t xml:space="preserve"> limitado pela maior facilidade de obtenção de dados</w:t>
      </w:r>
      <w:r w:rsidRPr="004D55DA">
        <w:t>. O processo de recolha de dados tem por base a realização de dois inquéritos, um apenas na Península Ibérica e outro a nível europeu</w:t>
      </w:r>
      <w:r w:rsidR="00711949" w:rsidRPr="004D55DA">
        <w:t>, incluindo a Península Ibérica</w:t>
      </w:r>
      <w:r w:rsidRPr="004D55DA">
        <w:t>.</w:t>
      </w:r>
      <w:r w:rsidR="007E6316">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primeiro inquérito </w:t>
      </w:r>
      <w:r w:rsidR="00711949" w:rsidRPr="004D55DA">
        <w:t xml:space="preserve">realizado </w:t>
      </w:r>
      <w:r w:rsidRPr="004D55DA">
        <w:t xml:space="preserve">na Península Ibérica </w:t>
      </w:r>
      <w:r w:rsidR="00711949" w:rsidRPr="004D55DA">
        <w:t>visou</w:t>
      </w:r>
      <w:r w:rsidRPr="004D55DA">
        <w:t xml:space="preserve"> aferir, em termos gerais, a importância dos </w:t>
      </w:r>
      <w:r w:rsidR="00136906" w:rsidRPr="004D55DA">
        <w:t>fatores</w:t>
      </w:r>
      <w:r w:rsidRPr="004D55DA">
        <w:t xml:space="preserve"> de caracterização do porto para o desempenho e a importância relativa das medidas de desempe</w:t>
      </w:r>
      <w:r w:rsidR="00A43624">
        <w:t>nho, tendo por base a opinião de gestores de empresas da</w:t>
      </w:r>
      <w:r w:rsidRPr="004D55DA">
        <w:t xml:space="preserve"> comunidade especialista</w:t>
      </w:r>
      <w:r w:rsidR="00711949" w:rsidRPr="004D55DA">
        <w:t xml:space="preserve"> quer</w:t>
      </w:r>
      <w:r w:rsidRPr="004D55DA">
        <w:t xml:space="preserve"> utiliza</w:t>
      </w:r>
      <w:r w:rsidR="00711949" w:rsidRPr="004D55DA">
        <w:t xml:space="preserve"> e opera </w:t>
      </w:r>
      <w:r w:rsidRPr="004D55DA">
        <w:t>esses terminais.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segundo inquérito </w:t>
      </w:r>
      <w:r w:rsidR="00711949" w:rsidRPr="004D55DA">
        <w:t>visou</w:t>
      </w:r>
      <w:r w:rsidRPr="004D55DA">
        <w:t xml:space="preserve"> testar</w:t>
      </w:r>
      <w:r w:rsidR="00711949" w:rsidRPr="004D55DA">
        <w:t xml:space="preserve"> </w:t>
      </w:r>
      <w:r w:rsidRPr="004D55DA">
        <w:t xml:space="preserve">o modelo que relaciona os </w:t>
      </w:r>
      <w:r w:rsidR="00136906" w:rsidRPr="004D55DA">
        <w:t>fatores</w:t>
      </w:r>
      <w:r w:rsidRPr="004D55DA">
        <w:t xml:space="preserve"> que caracterizam o porto e </w:t>
      </w:r>
      <w:r w:rsidR="00711949" w:rsidRPr="004D55DA">
        <w:t xml:space="preserve">caracterizam </w:t>
      </w:r>
      <w:r w:rsidRPr="004D55DA">
        <w:t xml:space="preserve">o terminal com </w:t>
      </w:r>
      <w:r w:rsidR="00711949" w:rsidRPr="004D55DA">
        <w:t xml:space="preserve">o </w:t>
      </w:r>
      <w:r w:rsidRPr="004D55DA">
        <w:t>desempenho. Teve como base</w:t>
      </w:r>
      <w:r w:rsidR="00507BCD" w:rsidRPr="004D55DA">
        <w:t xml:space="preserve"> a</w:t>
      </w:r>
      <w:r w:rsidRPr="004D55DA">
        <w:t xml:space="preserve"> opinião </w:t>
      </w:r>
      <w:r w:rsidR="00A43624">
        <w:t xml:space="preserve">de gestores de empresas </w:t>
      </w:r>
      <w:r w:rsidRPr="004D55DA">
        <w:t xml:space="preserve">da comunidade especialista </w:t>
      </w:r>
      <w:r w:rsidR="00507BCD" w:rsidRPr="004D55DA">
        <w:t xml:space="preserve">que utiliza e opera </w:t>
      </w:r>
      <w:r w:rsidRPr="004D55DA">
        <w:t xml:space="preserve">os terminais. </w:t>
      </w:r>
      <w:r w:rsidR="00507BCD" w:rsidRPr="004D55DA">
        <w:t>Este</w:t>
      </w:r>
      <w:r w:rsidRPr="004D55DA">
        <w:t xml:space="preserve"> segundo inquérito foi lançado em duas fases, uma primeira a nível ibérico e, uma segunda, a nível europeu,</w:t>
      </w:r>
      <w:r w:rsidR="00507BCD" w:rsidRPr="004D55DA">
        <w:t xml:space="preserve"> visando comparar os </w:t>
      </w:r>
      <w:r w:rsidRPr="004D55DA">
        <w:t>resultados.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dados qualitativos recolhidos no segundo inquérito </w:t>
      </w:r>
      <w:r w:rsidR="00507BCD" w:rsidRPr="004D55DA">
        <w:t>foram</w:t>
      </w:r>
      <w:r w:rsidRPr="004D55DA">
        <w:t xml:space="preserve"> complementados por dados quantitativos, relativos às características e níveis de desempenho dos terminais específicos da amostra, observados nos </w:t>
      </w:r>
      <w:r w:rsidR="00136906">
        <w:t>“</w:t>
      </w:r>
      <w:r w:rsidRPr="004D55DA">
        <w:t>sites</w:t>
      </w:r>
      <w:r w:rsidR="00136906">
        <w:t>”</w:t>
      </w:r>
      <w:r w:rsidRPr="004D55DA">
        <w:t xml:space="preserve"> ou agregados de informação oficial </w:t>
      </w:r>
      <w:r w:rsidR="00507BCD" w:rsidRPr="004D55DA">
        <w:t xml:space="preserve">das </w:t>
      </w:r>
      <w:r w:rsidRPr="004D55DA">
        <w:t>autoridades portuárias e outras.</w:t>
      </w:r>
    </w:p>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pPr>
    </w:p>
    <w:p w:rsidR="00104A12" w:rsidRPr="00BE6593" w:rsidRDefault="00A43624" w:rsidP="00D216EA">
      <w:pPr>
        <w:pStyle w:val="Cabealho2"/>
        <w:ind w:left="0" w:firstLine="0"/>
        <w:rPr>
          <w:sz w:val="24"/>
          <w:szCs w:val="24"/>
        </w:rPr>
      </w:pPr>
      <w:bookmarkStart w:id="82" w:name="_Toc395730141"/>
      <w:r w:rsidRPr="00BE6593">
        <w:rPr>
          <w:sz w:val="24"/>
          <w:szCs w:val="24"/>
        </w:rPr>
        <w:t>Escalas</w:t>
      </w:r>
      <w:bookmarkEnd w:id="82"/>
      <w:r w:rsidR="00D713C2">
        <w:rPr>
          <w:sz w:val="24"/>
          <w:szCs w:val="24"/>
        </w:rPr>
        <w:t xml:space="preserve"> e </w:t>
      </w:r>
      <w:r w:rsidR="00576187">
        <w:rPr>
          <w:sz w:val="24"/>
          <w:szCs w:val="24"/>
        </w:rPr>
        <w:t>a</w:t>
      </w:r>
      <w:r w:rsidR="00D713C2">
        <w:rPr>
          <w:sz w:val="24"/>
          <w:szCs w:val="24"/>
        </w:rPr>
        <w:t>mostra</w:t>
      </w:r>
    </w:p>
    <w:p w:rsidR="00F01235" w:rsidRDefault="00F01235" w:rsidP="007F7964">
      <w:pPr>
        <w:spacing w:line="360" w:lineRule="auto"/>
        <w:jc w:val="both"/>
      </w:pPr>
    </w:p>
    <w:p w:rsidR="00104A12" w:rsidRPr="00F01235" w:rsidRDefault="00F01235" w:rsidP="00F01235">
      <w:pPr>
        <w:pStyle w:val="Cabealho3"/>
        <w:rPr>
          <w:sz w:val="24"/>
          <w:u w:val="none"/>
        </w:rPr>
      </w:pPr>
      <w:r w:rsidRPr="00F01235">
        <w:rPr>
          <w:sz w:val="24"/>
          <w:u w:val="none"/>
        </w:rPr>
        <w:t>Escalas</w:t>
      </w:r>
    </w:p>
    <w:p w:rsidR="00F01235" w:rsidRPr="004D55DA" w:rsidRDefault="00F01235" w:rsidP="007F7964">
      <w:pPr>
        <w:spacing w:line="360" w:lineRule="auto"/>
        <w:jc w:val="both"/>
      </w:pPr>
    </w:p>
    <w:p w:rsidR="00104A12" w:rsidRPr="004D55DA" w:rsidRDefault="00104A12" w:rsidP="007F7964">
      <w:pPr>
        <w:spacing w:line="360" w:lineRule="auto"/>
        <w:jc w:val="both"/>
        <w:rPr>
          <w:b/>
        </w:rPr>
      </w:pPr>
      <w:r w:rsidRPr="004D55DA">
        <w:rPr>
          <w:b/>
        </w:rPr>
        <w:t xml:space="preserve">Primeiro inquérito </w:t>
      </w:r>
      <w:r w:rsidR="00BC3DD5">
        <w:rPr>
          <w:b/>
        </w:rPr>
        <w:t>(pré-teste)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primeiro inquérito refere-se à avaliação da </w:t>
      </w:r>
      <w:r w:rsidR="00136906" w:rsidRPr="004D55DA">
        <w:t>perceção</w:t>
      </w:r>
      <w:r w:rsidRPr="004D55DA">
        <w:t xml:space="preserve"> geral dos utilizadores do terminal de contentores relativamente à importância das características do porto e do terminal no desempenho do terminal de contentores e sobre a importância dos indicadores de medida desse desempenho, tendo-se restringido aos portos portugueses e espanhóis, uma vez que se tratava de um inquérito preparatório</w:t>
      </w:r>
      <w:r w:rsidR="00A43624">
        <w:t xml:space="preserve"> ou pré-teste</w:t>
      </w:r>
      <w:r w:rsidRPr="004D55DA">
        <w:t xml:space="preserve"> do estudo principal.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Assim, numa primeira fase de investigação, recorreu-se a um primeiro inquérito relativo à </w:t>
      </w:r>
      <w:r w:rsidR="00136906" w:rsidRPr="004D55DA">
        <w:t>perceção</w:t>
      </w:r>
      <w:r w:rsidRPr="004D55DA">
        <w:t xml:space="preserve"> dos utilizadores relativamente às características do porto e do terminal e os indicadores de desempenho, tendo sido utilizadas as variáveis descritas na Tabela 2, divididas em constructos de acordo com o modelo em estudo. A informação relativa à amostra é apresentada no ponto seguinte.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que se refere ao desempenho, as variáveis foram classificadas de 1 a 5 </w:t>
      </w:r>
      <w:r w:rsidRPr="004D55DA">
        <w:rPr>
          <w:i/>
          <w:sz w:val="20"/>
        </w:rPr>
        <w:t>(1 - nada importante, 2 - pouco importante, 3 - importante, 4 - muito importante, 5 - bastante importante)</w:t>
      </w:r>
      <w:r w:rsidRPr="004D55DA">
        <w:t xml:space="preserve">, de acordo com a importância atribuída pelo utilizador do terminal a cada uma das variáveis do desempenho do terminal.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variáveis caracterizadoras dos portos e dos terminais, incluídas nos constructos “position-port”, “hard-port”, “soft-port”, “hard-terminal” e “soft-terminal”, foram também avaliadas de 1 a 5 </w:t>
      </w:r>
      <w:r w:rsidRPr="004D55DA">
        <w:rPr>
          <w:i/>
          <w:sz w:val="20"/>
        </w:rPr>
        <w:t>(1 - nada importante, 2 - pouco importante, 3 - importante, 4 - muito importante, 5 - bastante importante)</w:t>
      </w:r>
      <w:r w:rsidRPr="004D55DA">
        <w:t>, de acordo com a importância atribuída pelo utilizador do terminal com vista a explicar o desempenho do terminal de contentores (</w:t>
      </w:r>
      <w:r w:rsidR="00BC3DD5">
        <w:t>ver questionário em</w:t>
      </w:r>
      <w:r w:rsidRPr="004D55DA">
        <w:t xml:space="preserve"> A</w:t>
      </w:r>
      <w:r w:rsidR="00BC3DD5">
        <w:t>pêndice</w:t>
      </w:r>
      <w:r w:rsidRPr="004D55DA">
        <w:t xml:space="preserve"> 1).</w:t>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7F7964">
      <w:pPr>
        <w:pStyle w:val="Legenda"/>
        <w:keepNext/>
      </w:pPr>
      <w:bookmarkStart w:id="83" w:name="_Toc396134125"/>
      <w:r w:rsidRPr="004D55DA">
        <w:t xml:space="preserve">Tabela </w:t>
      </w:r>
      <w:fldSimple w:instr=" SEQ Tabela \* ARABIC ">
        <w:r w:rsidR="008D1B65">
          <w:rPr>
            <w:noProof/>
          </w:rPr>
          <w:t>2</w:t>
        </w:r>
      </w:fldSimple>
      <w:r w:rsidRPr="004D55DA">
        <w:rPr>
          <w:noProof/>
        </w:rPr>
        <w:t xml:space="preserve"> – </w:t>
      </w:r>
      <w:r w:rsidR="00FF0D22">
        <w:rPr>
          <w:noProof/>
        </w:rPr>
        <w:t>Escalas do 1º inquérito</w:t>
      </w:r>
      <w:bookmarkEnd w:id="83"/>
    </w:p>
    <w:tbl>
      <w:tblPr>
        <w:tblW w:w="0" w:type="auto"/>
        <w:tblLayout w:type="fixed"/>
        <w:tblCellMar>
          <w:left w:w="0" w:type="dxa"/>
          <w:right w:w="0" w:type="dxa"/>
        </w:tblCellMar>
        <w:tblLook w:val="00A0" w:firstRow="1" w:lastRow="0" w:firstColumn="1" w:lastColumn="0" w:noHBand="0" w:noVBand="0"/>
      </w:tblPr>
      <w:tblGrid>
        <w:gridCol w:w="1136"/>
        <w:gridCol w:w="3903"/>
        <w:gridCol w:w="20"/>
        <w:gridCol w:w="20"/>
        <w:gridCol w:w="20"/>
        <w:gridCol w:w="20"/>
        <w:gridCol w:w="20"/>
        <w:gridCol w:w="20"/>
        <w:gridCol w:w="810"/>
      </w:tblGrid>
      <w:tr w:rsidR="00A43624" w:rsidRPr="004D55DA" w:rsidTr="00A43624">
        <w:trPr>
          <w:trHeight w:val="170"/>
        </w:trPr>
        <w:tc>
          <w:tcPr>
            <w:tcW w:w="1136"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bottom"/>
          </w:tcPr>
          <w:p w:rsidR="00A43624" w:rsidRPr="004D55DA" w:rsidRDefault="00A43624" w:rsidP="007F7964">
            <w:pPr>
              <w:jc w:val="center"/>
              <w:rPr>
                <w:rFonts w:ascii="Cambria" w:hAnsi="Cambria" w:cs="Arial"/>
                <w:sz w:val="18"/>
                <w:szCs w:val="20"/>
              </w:rPr>
            </w:pPr>
            <w:r w:rsidRPr="004D55DA">
              <w:rPr>
                <w:rFonts w:ascii="Cambria" w:hAnsi="Cambria" w:cs="Arial"/>
                <w:sz w:val="18"/>
                <w:szCs w:val="20"/>
              </w:rPr>
              <w:t>Constructo</w:t>
            </w:r>
          </w:p>
        </w:tc>
        <w:tc>
          <w:tcPr>
            <w:tcW w:w="3903" w:type="dxa"/>
            <w:tcBorders>
              <w:top w:val="single" w:sz="4" w:space="0" w:color="auto"/>
              <w:left w:val="nil"/>
              <w:bottom w:val="single" w:sz="4" w:space="0" w:color="auto"/>
              <w:right w:val="nil"/>
            </w:tcBorders>
            <w:shd w:val="clear" w:color="000000" w:fill="FFFFFF"/>
            <w:tcMar>
              <w:top w:w="15" w:type="dxa"/>
              <w:left w:w="15" w:type="dxa"/>
              <w:bottom w:w="0" w:type="dxa"/>
              <w:right w:w="15" w:type="dxa"/>
            </w:tcMar>
            <w:vAlign w:val="bottom"/>
          </w:tcPr>
          <w:p w:rsidR="00A43624" w:rsidRPr="004D55DA" w:rsidRDefault="00A43624" w:rsidP="007F7964">
            <w:pPr>
              <w:jc w:val="center"/>
              <w:rPr>
                <w:rFonts w:ascii="Cambria" w:hAnsi="Cambria" w:cs="Arial"/>
                <w:sz w:val="18"/>
                <w:szCs w:val="20"/>
              </w:rPr>
            </w:pPr>
            <w:r w:rsidRPr="004D55DA">
              <w:rPr>
                <w:rFonts w:ascii="Cambria" w:hAnsi="Cambria" w:cs="Arial"/>
                <w:sz w:val="18"/>
                <w:szCs w:val="20"/>
              </w:rPr>
              <w:t>Descrição/questão</w:t>
            </w: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20" w:type="dxa"/>
            <w:tcBorders>
              <w:top w:val="single" w:sz="4" w:space="0" w:color="auto"/>
              <w:left w:val="nil"/>
              <w:bottom w:val="single" w:sz="4" w:space="0" w:color="auto"/>
              <w:right w:val="nil"/>
            </w:tcBorders>
            <w:shd w:val="clear" w:color="000000" w:fill="FFFFFF"/>
          </w:tcPr>
          <w:p w:rsidR="00A43624" w:rsidRPr="004D55DA" w:rsidRDefault="00A43624" w:rsidP="007F7964">
            <w:pPr>
              <w:jc w:val="center"/>
              <w:rPr>
                <w:rFonts w:ascii="Cambria" w:hAnsi="Cambria" w:cs="Arial"/>
                <w:sz w:val="18"/>
                <w:szCs w:val="20"/>
              </w:rPr>
            </w:pPr>
          </w:p>
        </w:tc>
        <w:tc>
          <w:tcPr>
            <w:tcW w:w="810" w:type="dxa"/>
            <w:tcBorders>
              <w:top w:val="single" w:sz="4" w:space="0" w:color="auto"/>
              <w:left w:val="nil"/>
              <w:bottom w:val="single" w:sz="4" w:space="0" w:color="auto"/>
              <w:right w:val="nil"/>
            </w:tcBorders>
            <w:shd w:val="clear" w:color="000000" w:fill="FFFFFF"/>
          </w:tcPr>
          <w:p w:rsidR="00A43624" w:rsidRPr="004D55DA" w:rsidRDefault="00A43624" w:rsidP="00BC3DD5">
            <w:pPr>
              <w:jc w:val="center"/>
              <w:rPr>
                <w:rFonts w:ascii="Cambria" w:hAnsi="Cambria" w:cs="Arial"/>
                <w:sz w:val="18"/>
                <w:szCs w:val="20"/>
              </w:rPr>
            </w:pPr>
            <w:r>
              <w:rPr>
                <w:rFonts w:ascii="Cambria" w:hAnsi="Cambria" w:cs="Arial"/>
                <w:sz w:val="18"/>
                <w:szCs w:val="20"/>
              </w:rPr>
              <w:t>Escala</w:t>
            </w:r>
          </w:p>
        </w:tc>
      </w:tr>
      <w:tr w:rsidR="00A43624"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A43624" w:rsidRPr="004D55DA" w:rsidRDefault="00A43624" w:rsidP="007F7964">
            <w:pPr>
              <w:rPr>
                <w:rFonts w:ascii="Cambria" w:hAnsi="Cambria" w:cs="Arial"/>
                <w:sz w:val="18"/>
                <w:szCs w:val="20"/>
              </w:rPr>
            </w:pPr>
            <w:r w:rsidRPr="004D55DA">
              <w:rPr>
                <w:rFonts w:ascii="Cambria" w:hAnsi="Cambria" w:cs="Arial"/>
                <w:sz w:val="18"/>
                <w:szCs w:val="20"/>
              </w:rPr>
              <w:t>Desempenho</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A43624" w:rsidRPr="004D55DA" w:rsidRDefault="00A43624" w:rsidP="007F7964">
            <w:pPr>
              <w:rPr>
                <w:rFonts w:ascii="Cambria" w:hAnsi="Cambria" w:cs="Arial"/>
                <w:sz w:val="18"/>
                <w:szCs w:val="20"/>
              </w:rPr>
            </w:pPr>
            <w:r w:rsidRPr="004D55DA">
              <w:rPr>
                <w:rFonts w:ascii="Cambria" w:hAnsi="Cambria" w:cs="Arial"/>
                <w:sz w:val="18"/>
                <w:szCs w:val="20"/>
              </w:rPr>
              <w:t>Movimento de contentores com o “hinterland”</w:t>
            </w: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nil"/>
              <w:right w:val="nil"/>
            </w:tcBorders>
            <w:shd w:val="clear" w:color="000000" w:fill="FFFFFF"/>
          </w:tcPr>
          <w:p w:rsidR="00A43624" w:rsidRPr="004D55DA" w:rsidRDefault="00A43624" w:rsidP="007F7964">
            <w:pPr>
              <w:rPr>
                <w:rFonts w:ascii="Cambria" w:hAnsi="Cambria" w:cs="Arial"/>
                <w:sz w:val="18"/>
                <w:szCs w:val="20"/>
              </w:rPr>
            </w:pPr>
          </w:p>
        </w:tc>
        <w:tc>
          <w:tcPr>
            <w:tcW w:w="810" w:type="dxa"/>
            <w:tcBorders>
              <w:top w:val="nil"/>
              <w:left w:val="nil"/>
              <w:bottom w:val="nil"/>
              <w:right w:val="nil"/>
            </w:tcBorders>
            <w:shd w:val="clear" w:color="000000" w:fill="FFFFFF"/>
          </w:tcPr>
          <w:p w:rsidR="00A43624" w:rsidRPr="004D55DA" w:rsidRDefault="00A43624" w:rsidP="00BC3DD5">
            <w:pPr>
              <w:jc w:val="center"/>
              <w:rPr>
                <w:rFonts w:ascii="Cambria" w:hAnsi="Cambria" w:cs="Arial"/>
                <w:sz w:val="18"/>
                <w:szCs w:val="20"/>
              </w:rPr>
            </w:pPr>
            <w:r>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Movimento de contentores de transhipment</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Produtividade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Eficiência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Satisfação do dono da carga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Satisfação do cliente armador</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Satisfação dos agentes e transitários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BE6A86">
              <w:rPr>
                <w:rFonts w:ascii="Cambria" w:hAnsi="Cambria" w:cs="Arial"/>
                <w:sz w:val="18"/>
                <w:szCs w:val="20"/>
              </w:rPr>
              <w:t>Likert 5</w:t>
            </w:r>
          </w:p>
        </w:tc>
      </w:tr>
      <w:tr w:rsidR="00A43624"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A43624" w:rsidRPr="004D55DA" w:rsidRDefault="00A43624"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A43624" w:rsidRPr="004D55DA" w:rsidRDefault="00A43624" w:rsidP="007F7964">
            <w:pPr>
              <w:rPr>
                <w:rFonts w:ascii="Cambria" w:hAnsi="Cambria" w:cs="Arial"/>
                <w:sz w:val="18"/>
                <w:szCs w:val="20"/>
              </w:rPr>
            </w:pPr>
            <w:r w:rsidRPr="004D55DA">
              <w:rPr>
                <w:rFonts w:ascii="Cambria" w:hAnsi="Cambria" w:cs="Arial"/>
                <w:sz w:val="18"/>
                <w:szCs w:val="20"/>
              </w:rPr>
              <w:t xml:space="preserve">Contributo para a economia </w:t>
            </w: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A43624" w:rsidRPr="004D55DA" w:rsidRDefault="00A43624"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A43624" w:rsidRPr="004D55DA" w:rsidRDefault="00BC3DD5" w:rsidP="00BC3DD5">
            <w:pPr>
              <w:jc w:val="center"/>
              <w:rPr>
                <w:rFonts w:ascii="Cambria" w:hAnsi="Cambria" w:cs="Arial"/>
                <w:sz w:val="18"/>
                <w:szCs w:val="20"/>
              </w:rPr>
            </w:pPr>
            <w:r>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Position-port</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Distância ao centro da Europa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Distância a portos concorrentes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Distância ao Eixo Este-Oeste do Mediterrâneo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Distância aos centros de produção (fábricas)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Distância aos mercados/cidades no “hinterland”</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xml:space="preserve">Riqueza económica da região </w:t>
            </w: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BC3DD5" w:rsidRDefault="00BC3DD5" w:rsidP="00BC3DD5">
            <w:pPr>
              <w:jc w:val="center"/>
            </w:pPr>
            <w:r w:rsidRPr="003A63F2">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Hard-port</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Fundos de acesso do porto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Acessibilidades ferroviárias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Acessibilidades rodoviárias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Dimensão do porto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Existência de áreas logísticas no porto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Existência de terminais concorrentes no porto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Tempo de navegação de acesso no porto</w:t>
            </w: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Soft-port</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Especialização do porto em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Especialização do porto em granéis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Qualidade dos serviços de reboque e pilotagem</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Imagem do porto onde está 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Dinamismo da Autoridade Portuária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Dinamismo da Comunidade Portuária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Nível das taxas portuárias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xml:space="preserve">Governo do porto </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O porto ser maioritariamente concessionado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Integração do porto na logística terrestre</w:t>
            </w: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Hard-terminal</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Fundos do cais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Equipamento do cais e do parque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Dimensão do cais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Dimensão do terrapleno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Dimensão dos navios das linhas marítimas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Ligações ferroviárias a terminais de 2ª linha</w:t>
            </w: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Soft-terminal</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Agilidade face a alterações de última hora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Fiabilidade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Flexibilidade operacional e comercial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Imagem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Integração do terminal nas cadeias logísticas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136906" w:rsidP="007F7964">
            <w:pPr>
              <w:rPr>
                <w:rFonts w:ascii="Cambria" w:hAnsi="Cambria" w:cs="Arial"/>
                <w:sz w:val="18"/>
                <w:szCs w:val="20"/>
              </w:rPr>
            </w:pPr>
            <w:r>
              <w:rPr>
                <w:rFonts w:ascii="Cambria" w:hAnsi="Cambria" w:cs="Arial"/>
                <w:sz w:val="18"/>
                <w:szCs w:val="20"/>
              </w:rPr>
              <w:t>“Layout”</w:t>
            </w:r>
            <w:r w:rsidR="00BC3DD5" w:rsidRPr="004D55DA">
              <w:rPr>
                <w:rFonts w:ascii="Cambria" w:hAnsi="Cambria" w:cs="Arial"/>
                <w:sz w:val="18"/>
                <w:szCs w:val="20"/>
              </w:rPr>
              <w:t xml:space="preserve"> adequado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Modelo de organização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Nº de linhas do TOP10 dos armadores mundiais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Nº de linhas “feeder” e Short-Sea oferecidas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Nº de linhas intercontinentais oferecidas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Qualidade geral dos serviços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Tempo de espera do navio</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Serviços de valor acrescentados oferecidos à carga</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Sistema de informações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Tipo de gestor do terminal de contentores</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nil"/>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nil"/>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Produtividade do cais do terminal</w:t>
            </w: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nil"/>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nil"/>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r w:rsidR="00BC3DD5" w:rsidRPr="004D55DA" w:rsidTr="00A43624">
        <w:trPr>
          <w:trHeight w:val="170"/>
        </w:trPr>
        <w:tc>
          <w:tcPr>
            <w:tcW w:w="1136"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 </w:t>
            </w:r>
          </w:p>
        </w:tc>
        <w:tc>
          <w:tcPr>
            <w:tcW w:w="3903" w:type="dxa"/>
            <w:tcBorders>
              <w:top w:val="nil"/>
              <w:left w:val="nil"/>
              <w:bottom w:val="single" w:sz="4" w:space="0" w:color="auto"/>
              <w:right w:val="nil"/>
            </w:tcBorders>
            <w:shd w:val="clear" w:color="000000" w:fill="FFFFFF"/>
            <w:tcMar>
              <w:top w:w="15" w:type="dxa"/>
              <w:left w:w="15" w:type="dxa"/>
              <w:bottom w:w="0" w:type="dxa"/>
              <w:right w:w="15" w:type="dxa"/>
            </w:tcMar>
            <w:vAlign w:val="bottom"/>
          </w:tcPr>
          <w:p w:rsidR="00BC3DD5" w:rsidRPr="004D55DA" w:rsidRDefault="00BC3DD5" w:rsidP="007F7964">
            <w:pPr>
              <w:rPr>
                <w:rFonts w:ascii="Cambria" w:hAnsi="Cambria" w:cs="Arial"/>
                <w:sz w:val="18"/>
                <w:szCs w:val="20"/>
              </w:rPr>
            </w:pPr>
            <w:r w:rsidRPr="004D55DA">
              <w:rPr>
                <w:rFonts w:ascii="Cambria" w:hAnsi="Cambria" w:cs="Arial"/>
                <w:sz w:val="18"/>
                <w:szCs w:val="20"/>
              </w:rPr>
              <w:t>Orientação do terminal para o cliente</w:t>
            </w: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20" w:type="dxa"/>
            <w:tcBorders>
              <w:top w:val="nil"/>
              <w:left w:val="nil"/>
              <w:bottom w:val="single" w:sz="4" w:space="0" w:color="auto"/>
              <w:right w:val="nil"/>
            </w:tcBorders>
            <w:shd w:val="clear" w:color="000000" w:fill="FFFFFF"/>
          </w:tcPr>
          <w:p w:rsidR="00BC3DD5" w:rsidRPr="004D55DA" w:rsidRDefault="00BC3DD5" w:rsidP="007F7964">
            <w:pPr>
              <w:rPr>
                <w:rFonts w:ascii="Cambria" w:hAnsi="Cambria" w:cs="Arial"/>
                <w:sz w:val="18"/>
                <w:szCs w:val="20"/>
              </w:rPr>
            </w:pPr>
          </w:p>
        </w:tc>
        <w:tc>
          <w:tcPr>
            <w:tcW w:w="810" w:type="dxa"/>
            <w:tcBorders>
              <w:top w:val="nil"/>
              <w:left w:val="nil"/>
              <w:bottom w:val="single" w:sz="4" w:space="0" w:color="auto"/>
              <w:right w:val="nil"/>
            </w:tcBorders>
            <w:shd w:val="clear" w:color="000000" w:fill="FFFFFF"/>
          </w:tcPr>
          <w:p w:rsidR="00BC3DD5" w:rsidRDefault="00BC3DD5" w:rsidP="00BC3DD5">
            <w:pPr>
              <w:jc w:val="center"/>
            </w:pPr>
            <w:r w:rsidRPr="0014143F">
              <w:rPr>
                <w:rFonts w:ascii="Cambria" w:hAnsi="Cambria" w:cs="Arial"/>
                <w:sz w:val="18"/>
                <w:szCs w:val="20"/>
              </w:rPr>
              <w:t>Likert 5</w:t>
            </w:r>
          </w:p>
        </w:tc>
      </w:tr>
    </w:tbl>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rPr>
          <w:b/>
        </w:rPr>
      </w:pPr>
      <w:r w:rsidRPr="004D55DA">
        <w:rPr>
          <w:b/>
        </w:rPr>
        <w:lastRenderedPageBreak/>
        <w:t xml:space="preserve">Segundo inquérito </w:t>
      </w:r>
      <w:r w:rsidR="00BC3DD5">
        <w:rPr>
          <w:b/>
        </w:rPr>
        <w:t>(principal)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segundo inquérito, ou principal, procede-se à avaliação da </w:t>
      </w:r>
      <w:r w:rsidR="00136906" w:rsidRPr="004D55DA">
        <w:t>perceção</w:t>
      </w:r>
      <w:r w:rsidRPr="004D55DA">
        <w:t xml:space="preserve"> dos utilizadores relativamente ao caso concreto de um terminal de contentores que conhecem. As </w:t>
      </w:r>
      <w:r w:rsidR="00BC3DD5">
        <w:t xml:space="preserve">questões relativas às </w:t>
      </w:r>
      <w:r w:rsidRPr="004D55DA">
        <w:t xml:space="preserve">variáveis foram alvo de ajustamento a partir dos resultados do primeiro inquérito sobre a importância dos </w:t>
      </w:r>
      <w:r w:rsidR="00136906" w:rsidRPr="004D55DA">
        <w:t>fatores</w:t>
      </w:r>
      <w:r w:rsidRPr="004D55DA">
        <w:t xml:space="preserve"> (Figura 12). O segundo inquérito decorreu em duas fases, a primeira para os portos ibéricos e a segunda para os portos europeus.</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84" w:name="_Toc396134176"/>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12</w:t>
      </w:r>
      <w:r w:rsidR="00372F0E" w:rsidRPr="00D713C2">
        <w:rPr>
          <w:noProof/>
          <w:sz w:val="24"/>
          <w:szCs w:val="24"/>
        </w:rPr>
        <w:fldChar w:fldCharType="end"/>
      </w:r>
      <w:r w:rsidRPr="00D713C2">
        <w:rPr>
          <w:sz w:val="24"/>
          <w:szCs w:val="24"/>
        </w:rPr>
        <w:t xml:space="preserve"> – Sequência dos inquéritos</w:t>
      </w:r>
      <w:bookmarkEnd w:id="84"/>
    </w:p>
    <w:p w:rsidR="00104A12" w:rsidRPr="004D55DA" w:rsidRDefault="00BF31C8" w:rsidP="007F7964">
      <w:pPr>
        <w:spacing w:line="360" w:lineRule="auto"/>
        <w:jc w:val="both"/>
        <w:rPr>
          <w:noProof/>
        </w:rPr>
      </w:pPr>
      <w:r w:rsidRPr="004D55DA">
        <w:rPr>
          <w:noProof/>
        </w:rPr>
        <w:drawing>
          <wp:inline distT="0" distB="0" distL="0" distR="0" wp14:anchorId="628DE500" wp14:editId="789719E5">
            <wp:extent cx="4410710" cy="1104900"/>
            <wp:effectExtent l="19050" t="0" r="8890" b="0"/>
            <wp:docPr id="13" name="Diagrama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104A12" w:rsidRPr="004D55DA" w:rsidRDefault="00104A12" w:rsidP="007F7964">
      <w:pPr>
        <w:spacing w:line="360" w:lineRule="auto"/>
        <w:jc w:val="both"/>
        <w:rPr>
          <w:noProof/>
        </w:rPr>
      </w:pPr>
    </w:p>
    <w:p w:rsidR="00104A12" w:rsidRPr="004D55DA" w:rsidRDefault="00104A12" w:rsidP="007F7964">
      <w:pPr>
        <w:spacing w:line="360" w:lineRule="auto"/>
        <w:jc w:val="both"/>
      </w:pPr>
      <w:r w:rsidRPr="004D55DA">
        <w:t xml:space="preserve">Numa segunda fase da investigação, recorreu-se assim ao segundo inquérito relativo à </w:t>
      </w:r>
      <w:r w:rsidR="00136906" w:rsidRPr="004D55DA">
        <w:t>perceção</w:t>
      </w:r>
      <w:r w:rsidRPr="004D55DA">
        <w:t xml:space="preserve"> qualitativa dos utilizadores sobre </w:t>
      </w:r>
      <w:r w:rsidR="00BC3DD5">
        <w:t>as características e desempenho d</w:t>
      </w:r>
      <w:r w:rsidRPr="004D55DA">
        <w:t>um terminal de contentores concreto. Recorreu-se adicionalmente a variáveis quantitativas das características desses terminais, tendo sido utilizadas as variáveis descritas na</w:t>
      </w:r>
      <w:r w:rsidR="00507BCD" w:rsidRPr="004D55DA">
        <w:t xml:space="preserve"> Tabela 3, divididas em </w:t>
      </w:r>
      <w:r w:rsidRPr="004D55DA">
        <w:t>constructos de acordo com o modelo inicial, desempenho, “position-port”, “hard-port”, “soft-port”, “hard-terminal” e “soft-terminal”. As variáveis e o seu posicionamento nos constructos foram alvo de ajustamentos, fruto dos resultados do primeiro inquérito.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maioria das variáveis foi alvo de recolha em inquérito de opinião com resposta em escala de Likert ordinal de 1 a 7 </w:t>
      </w:r>
      <w:r w:rsidRPr="004D55DA">
        <w:rPr>
          <w:i/>
          <w:sz w:val="20"/>
        </w:rPr>
        <w:t>(1-Discordo totalmente, 2-Discordo, 3-Discordo pouco, 4-Indiferente, 5-Concordo pouco, 6-Concordo, 7-Concordo totalmente)</w:t>
      </w:r>
      <w:r w:rsidRPr="004D55DA">
        <w:t>. A escala de Likert foi alargada do primeiro para o segundo inquérito, de 5 para 7, tendo em vista permitir uma melhor difer</w:t>
      </w:r>
      <w:r w:rsidR="00507BCD" w:rsidRPr="004D55DA">
        <w:t>enciação dos terminais</w:t>
      </w:r>
      <w:r w:rsidRPr="004D55DA">
        <w:t xml:space="preserve"> tendo em consideração os resultados do primeiro inquérito. As restantes variáveis quantitativas foram objeto de recolha da medida ou de cálculo pelo autor a partir de dados empíricos.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Para quantificar a variável quantitativa do nível de eficiência dos terminais de contentores, foi calculado o indicador DEA, </w:t>
      </w:r>
      <w:r w:rsidR="00CD1555">
        <w:t>“</w:t>
      </w:r>
      <w:r w:rsidR="00507BCD" w:rsidRPr="004D55DA">
        <w:t>d</w:t>
      </w:r>
      <w:r w:rsidRPr="004D55DA">
        <w:t xml:space="preserve">ata </w:t>
      </w:r>
      <w:r w:rsidR="00507BCD" w:rsidRPr="004D55DA">
        <w:t>e</w:t>
      </w:r>
      <w:r w:rsidRPr="004D55DA">
        <w:t xml:space="preserve">nvelopment </w:t>
      </w:r>
      <w:r w:rsidR="00507BCD" w:rsidRPr="004D55DA">
        <w:t>a</w:t>
      </w:r>
      <w:r w:rsidRPr="004D55DA">
        <w:t>nalysis</w:t>
      </w:r>
      <w:r w:rsidR="00CD1555">
        <w:t>”</w:t>
      </w:r>
      <w:r w:rsidRPr="004D55DA">
        <w:t xml:space="preserve"> (ver </w:t>
      </w:r>
      <w:r w:rsidR="00CD1555">
        <w:t>C</w:t>
      </w:r>
      <w:r w:rsidR="00CD1555" w:rsidRPr="004D55DA">
        <w:t xml:space="preserve">apítulo </w:t>
      </w:r>
      <w:r w:rsidRPr="004D55DA">
        <w:t>4.3.1).</w:t>
      </w:r>
    </w:p>
    <w:p w:rsidR="00104A12" w:rsidRPr="004D55DA" w:rsidRDefault="00104A12" w:rsidP="007F7964">
      <w:pPr>
        <w:spacing w:line="360" w:lineRule="auto"/>
        <w:jc w:val="both"/>
      </w:pPr>
      <w:r w:rsidRPr="004D55DA">
        <w:lastRenderedPageBreak/>
        <w:t xml:space="preserve">Relativamente às variáveis do primeiro inquérito, foi realizado um conjunto de alterações e ajustamentos como já se referiu, resultantes da análise dos resultados do primeiro inquérito, o que permitiu melhorar muito a qualidade do segundo inquérito. </w:t>
      </w:r>
    </w:p>
    <w:p w:rsidR="00104A12" w:rsidRPr="004D55DA" w:rsidRDefault="00104A12" w:rsidP="007F7964">
      <w:pPr>
        <w:spacing w:line="360" w:lineRule="auto"/>
        <w:jc w:val="both"/>
      </w:pPr>
    </w:p>
    <w:p w:rsidR="00104A12" w:rsidRDefault="00104A12" w:rsidP="007F7964">
      <w:pPr>
        <w:spacing w:line="360" w:lineRule="auto"/>
        <w:jc w:val="both"/>
      </w:pPr>
      <w:r w:rsidRPr="004D55DA">
        <w:t xml:space="preserve">Os ajustamentos realizados às </w:t>
      </w:r>
      <w:r w:rsidR="00BC3DD5">
        <w:t xml:space="preserve">questões do inquérito correspondentes às </w:t>
      </w:r>
      <w:r w:rsidRPr="004D55DA">
        <w:t>variáveis</w:t>
      </w:r>
      <w:r w:rsidR="00BC3DD5">
        <w:t xml:space="preserve"> observadas</w:t>
      </w:r>
      <w:r w:rsidRPr="004D55DA">
        <w:t xml:space="preserve"> do modelo foram os seguintes:</w:t>
      </w:r>
    </w:p>
    <w:p w:rsidR="00FC05CE" w:rsidRPr="004D55DA" w:rsidRDefault="00FC05CE" w:rsidP="007F7964">
      <w:pPr>
        <w:spacing w:line="360" w:lineRule="auto"/>
        <w:jc w:val="both"/>
      </w:pPr>
    </w:p>
    <w:p w:rsidR="00104A12" w:rsidRPr="004D55DA" w:rsidRDefault="00104A12" w:rsidP="00D216EA">
      <w:pPr>
        <w:pStyle w:val="PargrafodaLista"/>
        <w:numPr>
          <w:ilvl w:val="0"/>
          <w:numId w:val="30"/>
        </w:numPr>
        <w:spacing w:line="360" w:lineRule="auto"/>
        <w:ind w:left="0" w:firstLine="0"/>
        <w:jc w:val="both"/>
      </w:pPr>
      <w:r w:rsidRPr="004D55DA">
        <w:t>Foram adicionadas variáveis quantificadas relativas às infraestruturas do terminal e do porto;</w:t>
      </w:r>
    </w:p>
    <w:p w:rsidR="00104A12" w:rsidRPr="004D55DA" w:rsidRDefault="00104A12" w:rsidP="00D216EA">
      <w:pPr>
        <w:pStyle w:val="PargrafodaLista"/>
        <w:numPr>
          <w:ilvl w:val="0"/>
          <w:numId w:val="30"/>
        </w:numPr>
        <w:spacing w:line="360" w:lineRule="auto"/>
        <w:ind w:left="0" w:firstLine="0"/>
        <w:jc w:val="both"/>
      </w:pPr>
      <w:r w:rsidRPr="004D55DA">
        <w:t>As variáveis qualitativas foram qualificadas no sentido esperado de influência positiva do desempenho do terminal para facilitar a compreensão e as respostas no caso concreto do terminal em análise. Por exemplo ‘distância a…’ passou a ‘proximidade a…’ e “nível de…’ passou a ‘elevado nível de…’;</w:t>
      </w:r>
    </w:p>
    <w:p w:rsidR="00104A12" w:rsidRPr="004D55DA" w:rsidRDefault="00104A12" w:rsidP="00D216EA">
      <w:pPr>
        <w:pStyle w:val="PargrafodaLista"/>
        <w:numPr>
          <w:ilvl w:val="0"/>
          <w:numId w:val="30"/>
        </w:numPr>
        <w:spacing w:line="360" w:lineRule="auto"/>
        <w:ind w:left="0" w:firstLine="0"/>
        <w:jc w:val="both"/>
      </w:pPr>
      <w:r w:rsidRPr="004D55DA">
        <w:t>Foram agregadas numa só variável ‘proximidade da origem das cargas no “hinterland”’, as variáveis ‘distância aos centros de produção’ e ‘distância aos mercados/cidades no “hinterland”’, uma vez que não se verifica existir distinção para os utilizadores do porto entre uma e outra variável;</w:t>
      </w:r>
    </w:p>
    <w:p w:rsidR="00104A12" w:rsidRPr="004D55DA" w:rsidRDefault="00104A12" w:rsidP="00D216EA">
      <w:pPr>
        <w:pStyle w:val="PargrafodaLista"/>
        <w:numPr>
          <w:ilvl w:val="0"/>
          <w:numId w:val="30"/>
        </w:numPr>
        <w:spacing w:line="360" w:lineRule="auto"/>
        <w:ind w:left="0" w:firstLine="0"/>
        <w:jc w:val="both"/>
      </w:pPr>
      <w:r w:rsidRPr="004D55DA">
        <w:t>Foram agregadas numa só variável ‘elevado dinamismo da autoridade e comunidade portuária’ as variáveis ‘dinamismo da autoridade portuária’ e ‘dinamismo da comunidade portuária’, uma vez que não se verifica existir distinção para os utilizadores do porto entre uma e outra variável;</w:t>
      </w:r>
    </w:p>
    <w:p w:rsidR="00104A12" w:rsidRPr="004D55DA" w:rsidRDefault="00104A12" w:rsidP="00D216EA">
      <w:pPr>
        <w:pStyle w:val="PargrafodaLista"/>
        <w:numPr>
          <w:ilvl w:val="0"/>
          <w:numId w:val="30"/>
        </w:numPr>
        <w:spacing w:line="360" w:lineRule="auto"/>
        <w:ind w:left="0" w:firstLine="0"/>
        <w:jc w:val="both"/>
      </w:pPr>
      <w:r w:rsidRPr="004D55DA">
        <w:t>A variável ‘imagem do porto’ foi agregada na variável ‘boa imagem do terminal’, uma vez que não se verifica existir distinção para os utilizadores do porto entre uma e outra variável;</w:t>
      </w:r>
    </w:p>
    <w:p w:rsidR="00104A12" w:rsidRPr="004D55DA" w:rsidRDefault="00104A12" w:rsidP="00D216EA">
      <w:pPr>
        <w:pStyle w:val="PargrafodaLista"/>
        <w:numPr>
          <w:ilvl w:val="0"/>
          <w:numId w:val="30"/>
        </w:numPr>
        <w:spacing w:line="360" w:lineRule="auto"/>
        <w:ind w:left="0" w:firstLine="0"/>
        <w:jc w:val="both"/>
      </w:pPr>
      <w:r w:rsidRPr="004D55DA">
        <w:t>A variável ‘integração do porto na logística terrestre’ foi agregada com a variável ‘integração nas cadeias logísticas’ na variável ‘elevada integração do terminal nas cadeias logísticas’, uma vez que não se verifica existir distinção para os utilizadores do porto entre uma e outra variável;</w:t>
      </w:r>
    </w:p>
    <w:p w:rsidR="00104A12" w:rsidRPr="004D55DA" w:rsidRDefault="00104A12" w:rsidP="00D216EA">
      <w:pPr>
        <w:pStyle w:val="PargrafodaLista"/>
        <w:numPr>
          <w:ilvl w:val="0"/>
          <w:numId w:val="30"/>
        </w:numPr>
        <w:spacing w:line="360" w:lineRule="auto"/>
        <w:ind w:left="0" w:firstLine="0"/>
        <w:jc w:val="both"/>
      </w:pPr>
      <w:r w:rsidRPr="004D55DA">
        <w:t xml:space="preserve">Foi adicionada a variável ‘reduzida tarifa de </w:t>
      </w:r>
      <w:r w:rsidR="00CD1555">
        <w:t>“</w:t>
      </w:r>
      <w:r w:rsidRPr="004D55DA">
        <w:t>handling</w:t>
      </w:r>
      <w:r w:rsidR="00CD1555">
        <w:t>”</w:t>
      </w:r>
      <w:r w:rsidRPr="004D55DA">
        <w:t xml:space="preserve"> do terminal’, por desagregação da variável ‘nível das taxas portuárias’, que passou a ‘reduzidas taxas portuárias’, uma vez que se verificou junto de utilizadores ser esta uma variável importante;</w:t>
      </w:r>
    </w:p>
    <w:p w:rsidR="00104A12" w:rsidRPr="004D55DA" w:rsidRDefault="00104A12" w:rsidP="00D216EA">
      <w:pPr>
        <w:pStyle w:val="PargrafodaLista"/>
        <w:numPr>
          <w:ilvl w:val="0"/>
          <w:numId w:val="30"/>
        </w:numPr>
        <w:spacing w:line="360" w:lineRule="auto"/>
        <w:ind w:left="0" w:firstLine="0"/>
        <w:jc w:val="both"/>
      </w:pPr>
      <w:r w:rsidRPr="004D55DA">
        <w:t>Foram eliminadas as variáveis ‘especialização do porto em graneis’ e ‘governo do porto pelo estado, município ou região’, por não terem sido consideradas relevantes para o desempenho dos terminais de contentores pelos utilizadores;</w:t>
      </w:r>
    </w:p>
    <w:p w:rsidR="00104A12" w:rsidRPr="004D55DA" w:rsidRDefault="00104A12" w:rsidP="00D216EA">
      <w:pPr>
        <w:pStyle w:val="PargrafodaLista"/>
        <w:numPr>
          <w:ilvl w:val="0"/>
          <w:numId w:val="30"/>
        </w:numPr>
        <w:spacing w:line="360" w:lineRule="auto"/>
        <w:ind w:left="0" w:firstLine="0"/>
        <w:jc w:val="both"/>
      </w:pPr>
      <w:r w:rsidRPr="004D55DA">
        <w:lastRenderedPageBreak/>
        <w:t>A variável ‘porto ser maioritariamente concessionado’ foi alterada para a variável ‘Terminal com gestão privada’, que espelha melhor a característica do tipo de gestão do terminal em análise no segundo inquérito, cujo desempenho se considera não ter relação com o tipo de gestão dos restantes terminais do porto.</w:t>
      </w:r>
    </w:p>
    <w:p w:rsidR="00104A12" w:rsidRPr="004D55DA" w:rsidRDefault="00104A12" w:rsidP="00D216EA">
      <w:pPr>
        <w:pStyle w:val="PargrafodaLista"/>
        <w:numPr>
          <w:ilvl w:val="0"/>
          <w:numId w:val="30"/>
        </w:numPr>
        <w:spacing w:line="360" w:lineRule="auto"/>
        <w:ind w:left="0" w:firstLine="0"/>
        <w:jc w:val="both"/>
      </w:pPr>
      <w:r w:rsidRPr="004D55DA">
        <w:t>Foram adicionadas duas novas variáveis</w:t>
      </w:r>
      <w:r w:rsidRPr="004D55DA">
        <w:rPr>
          <w:rFonts w:ascii="Cambria" w:hAnsi="Cambria" w:cs="Arial"/>
          <w:sz w:val="18"/>
          <w:szCs w:val="18"/>
        </w:rPr>
        <w:t xml:space="preserve"> ‘</w:t>
      </w:r>
      <w:r w:rsidRPr="004D55DA">
        <w:t>número de pórticos do terminal’ e ‘número de pórticos de cais por metro de cais’, que inclui dimensões físicas do equipamento de cais do terminal e que não estavam incluídas nas restantes variáveis.</w:t>
      </w:r>
    </w:p>
    <w:p w:rsidR="00104A12" w:rsidRPr="004D55DA" w:rsidRDefault="00104A12" w:rsidP="007F7964">
      <w:pPr>
        <w:rPr>
          <w:b/>
          <w:i/>
          <w:vanish/>
          <w:sz w:val="20"/>
          <w:szCs w:val="20"/>
          <w:lang w:eastAsia="en-US"/>
        </w:rPr>
        <w:sectPr w:rsidR="00104A12" w:rsidRPr="004D55DA" w:rsidSect="005066E8">
          <w:pgSz w:w="11906" w:h="16838"/>
          <w:pgMar w:top="1417" w:right="1133" w:bottom="1417" w:left="1701" w:header="708" w:footer="708" w:gutter="0"/>
          <w:cols w:space="708"/>
          <w:titlePg/>
          <w:docGrid w:linePitch="360"/>
        </w:sectPr>
      </w:pPr>
    </w:p>
    <w:p w:rsidR="00104A12" w:rsidRPr="004D55DA" w:rsidRDefault="00104A12" w:rsidP="007F7964">
      <w:pPr>
        <w:rPr>
          <w:b/>
          <w:i/>
          <w:vanish/>
          <w:sz w:val="20"/>
          <w:szCs w:val="20"/>
          <w:lang w:eastAsia="en-US"/>
        </w:rPr>
      </w:pPr>
    </w:p>
    <w:p w:rsidR="00104A12" w:rsidRPr="004D55DA" w:rsidRDefault="00104A12" w:rsidP="007F7964">
      <w:pPr>
        <w:pStyle w:val="Legenda"/>
      </w:pPr>
      <w:bookmarkStart w:id="85" w:name="_Toc396134126"/>
      <w:r w:rsidRPr="004D55DA">
        <w:t xml:space="preserve">Tabela </w:t>
      </w:r>
      <w:fldSimple w:instr=" SEQ Tabela \* ARABIC ">
        <w:r w:rsidR="008D1B65">
          <w:rPr>
            <w:noProof/>
          </w:rPr>
          <w:t>3</w:t>
        </w:r>
      </w:fldSimple>
      <w:r w:rsidRPr="004D55DA">
        <w:t xml:space="preserve"> - </w:t>
      </w:r>
      <w:r w:rsidR="00FF0D22">
        <w:t>Escalas</w:t>
      </w:r>
      <w:r w:rsidRPr="004D55DA">
        <w:t xml:space="preserve"> do 2º inquérito</w:t>
      </w:r>
      <w:bookmarkEnd w:id="85"/>
    </w:p>
    <w:tbl>
      <w:tblPr>
        <w:tblW w:w="12494" w:type="dxa"/>
        <w:tblInd w:w="55" w:type="dxa"/>
        <w:tblCellMar>
          <w:left w:w="70" w:type="dxa"/>
          <w:right w:w="70" w:type="dxa"/>
        </w:tblCellMar>
        <w:tblLook w:val="00A0" w:firstRow="1" w:lastRow="0" w:firstColumn="1" w:lastColumn="0" w:noHBand="0" w:noVBand="0"/>
      </w:tblPr>
      <w:tblGrid>
        <w:gridCol w:w="1160"/>
        <w:gridCol w:w="4464"/>
        <w:gridCol w:w="1498"/>
        <w:gridCol w:w="1843"/>
        <w:gridCol w:w="3529"/>
      </w:tblGrid>
      <w:tr w:rsidR="00FF0D22" w:rsidRPr="004D55DA" w:rsidTr="00FF0D22">
        <w:trPr>
          <w:trHeight w:val="227"/>
        </w:trPr>
        <w:tc>
          <w:tcPr>
            <w:tcW w:w="1160" w:type="dxa"/>
            <w:tcBorders>
              <w:top w:val="single" w:sz="4" w:space="0" w:color="auto"/>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Constructo</w:t>
            </w:r>
          </w:p>
        </w:tc>
        <w:tc>
          <w:tcPr>
            <w:tcW w:w="4464" w:type="dxa"/>
            <w:tcBorders>
              <w:top w:val="single" w:sz="4" w:space="0" w:color="auto"/>
              <w:left w:val="nil"/>
              <w:bottom w:val="single" w:sz="4" w:space="0" w:color="auto"/>
              <w:right w:val="nil"/>
            </w:tcBorders>
            <w:shd w:val="clear" w:color="000000" w:fill="FFFFFF"/>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Descrição/questão</w:t>
            </w:r>
          </w:p>
        </w:tc>
        <w:tc>
          <w:tcPr>
            <w:tcW w:w="1498" w:type="dxa"/>
            <w:tcBorders>
              <w:top w:val="single" w:sz="4" w:space="0" w:color="auto"/>
              <w:left w:val="nil"/>
              <w:bottom w:val="single" w:sz="4" w:space="0" w:color="auto"/>
              <w:right w:val="nil"/>
            </w:tcBorders>
            <w:shd w:val="clear" w:color="000000" w:fill="FFFFFF"/>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Fonte</w:t>
            </w:r>
          </w:p>
        </w:tc>
        <w:tc>
          <w:tcPr>
            <w:tcW w:w="1843" w:type="dxa"/>
            <w:tcBorders>
              <w:top w:val="single" w:sz="4" w:space="0" w:color="auto"/>
              <w:left w:val="nil"/>
              <w:bottom w:val="single" w:sz="4" w:space="0" w:color="auto"/>
              <w:right w:val="nil"/>
            </w:tcBorders>
            <w:shd w:val="clear" w:color="000000" w:fill="FFFFFF"/>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Escala de recolha/medida</w:t>
            </w:r>
          </w:p>
        </w:tc>
        <w:tc>
          <w:tcPr>
            <w:tcW w:w="3529" w:type="dxa"/>
            <w:tcBorders>
              <w:top w:val="single" w:sz="4" w:space="0" w:color="auto"/>
              <w:left w:val="nil"/>
              <w:bottom w:val="single" w:sz="4" w:space="0" w:color="auto"/>
              <w:right w:val="nil"/>
            </w:tcBorders>
            <w:shd w:val="clear" w:color="000000" w:fill="FFFFFF"/>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Escala final de análise de 1 a 7 ordinal, inteiros</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Desempenho</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Elevado movimento de contentores com “hinterland”</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Número de contentores movimentado (TEU)</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ind w:firstLine="70"/>
              <w:jc w:val="center"/>
              <w:rPr>
                <w:rFonts w:ascii="Cambria" w:hAnsi="Cambria" w:cs="Arial"/>
                <w:sz w:val="14"/>
                <w:szCs w:val="18"/>
              </w:rPr>
            </w:pPr>
            <w:r w:rsidRPr="004D55DA">
              <w:rPr>
                <w:rFonts w:ascii="Cambria" w:hAnsi="Cambria" w:cs="Arial"/>
                <w:sz w:val="14"/>
                <w:szCs w:val="18"/>
              </w:rPr>
              <w:t>nº de TEU/ano</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TEU/ano</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Elevado movimento de contentores de transhipment</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produtividade</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Índice relativo de eficiência do Terminal (DEA)</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cálculo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0 a 1</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0 a 1</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satisfação do dono da carga</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satisfação do armador</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satisfação do agente e transitário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Elevado contributo para a economia</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2 a 7 (Likert)</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Position-port</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Distância ao centro portuário da Europa (Roterdão) (Km)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Km</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Distância ao porto mais próximo (Km)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Km</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Distância ao Mar Mediterrâneo (Km)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Km</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Proximidade da origem das cargas no “hinterland”</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GDP da região onde o porto se localiza (em % do maior)</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Eurostat</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percentagem</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Hard-port</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profundidade no acesso marítimo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Boas acessibilidades ferroviárias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Boas acessibilidades rodoviárias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Comprimento total dos cais do porto (Km)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Km</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Vastas áreas logísticas junto ao porto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Número de terminais de contentores existentes no porto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inteiro</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Distância entre o terminal e o mar aberto (Km)</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de Km</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Soft-port</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especialização do porto em contentores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qualidade dos serviços de reboques e pilotagem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Elevado dinamismo da Autoridade e Comunidade Portuária</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Reduzidas taxas portuárias</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Hard-terminal</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profundidade do cais do terminal de contentores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Bom equipamento de cais e parque</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frente de cais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Comprimento de cais (m)</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metros lineares</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Área do terminal (Ha)</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hectares</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Número de pórticos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inteiro</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Número de pórticos de cais por metros de cais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nº inteiro</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Número de m2 de parque por metro de cais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pesquisa do autor</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metros quadrados</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intervalos regulares entre mín e máx</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largura do terrapleno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dimensão dos navios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Boas ligações ferroviárias a terminais de 2ªlinha</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Soft-terminal</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agilidade face a alterações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lastRenderedPageBreak/>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fiabilidade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flexibilidade operacional e comercial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Boa imagem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integração do terminal nas cadeias logísticas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Adequado</w:t>
            </w:r>
            <w:r w:rsidR="00136906">
              <w:rPr>
                <w:rFonts w:ascii="Cambria" w:hAnsi="Cambria" w:cs="Arial"/>
                <w:sz w:val="14"/>
                <w:szCs w:val="18"/>
              </w:rPr>
              <w:t xml:space="preserve"> “layout” </w:t>
            </w:r>
            <w:r w:rsidRPr="004D55DA">
              <w:rPr>
                <w:rFonts w:ascii="Cambria" w:hAnsi="Cambria" w:cs="Arial"/>
                <w:sz w:val="14"/>
                <w:szCs w:val="18"/>
              </w:rPr>
              <w:t>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Adequada organização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Terminal gerido por operador/armador do Top10 mundial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nº e frequência de serviços marítimos SSS/feeder</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Grande nº e frequência de linhas intercontinentais do Top10</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Elevada qualidade geral dos serviços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Reduzidos tempos de espera dos navios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Vasta oferta de serviços logísticos de valor acrescentado</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Bom sistema de informações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Adequado tipo de gestor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Rapidez na operação dos navios</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Orientação do terminal para o cliente</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nil"/>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Reduzida tarifa de handling do terminal</w:t>
            </w:r>
          </w:p>
        </w:tc>
        <w:tc>
          <w:tcPr>
            <w:tcW w:w="1498"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nil"/>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r w:rsidR="00FF0D22" w:rsidRPr="004D55DA" w:rsidTr="00FF0D22">
        <w:trPr>
          <w:trHeight w:val="227"/>
        </w:trPr>
        <w:tc>
          <w:tcPr>
            <w:tcW w:w="1160"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 </w:t>
            </w:r>
          </w:p>
        </w:tc>
        <w:tc>
          <w:tcPr>
            <w:tcW w:w="4464" w:type="dxa"/>
            <w:tcBorders>
              <w:top w:val="nil"/>
              <w:left w:val="nil"/>
              <w:bottom w:val="single" w:sz="4" w:space="0" w:color="auto"/>
              <w:right w:val="nil"/>
            </w:tcBorders>
            <w:shd w:val="clear" w:color="000000" w:fill="FFFFFF"/>
            <w:noWrap/>
            <w:vAlign w:val="bottom"/>
          </w:tcPr>
          <w:p w:rsidR="00FF0D22" w:rsidRPr="004D55DA" w:rsidRDefault="00FF0D22" w:rsidP="007F7964">
            <w:pPr>
              <w:rPr>
                <w:rFonts w:ascii="Cambria" w:hAnsi="Cambria" w:cs="Arial"/>
                <w:sz w:val="14"/>
                <w:szCs w:val="18"/>
              </w:rPr>
            </w:pPr>
            <w:r w:rsidRPr="004D55DA">
              <w:rPr>
                <w:rFonts w:ascii="Cambria" w:hAnsi="Cambria" w:cs="Arial"/>
                <w:sz w:val="14"/>
                <w:szCs w:val="18"/>
              </w:rPr>
              <w:t>Terminal com gestão privada</w:t>
            </w:r>
          </w:p>
        </w:tc>
        <w:tc>
          <w:tcPr>
            <w:tcW w:w="1498"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Inquérito</w:t>
            </w:r>
          </w:p>
        </w:tc>
        <w:tc>
          <w:tcPr>
            <w:tcW w:w="1843"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c>
          <w:tcPr>
            <w:tcW w:w="3529" w:type="dxa"/>
            <w:tcBorders>
              <w:top w:val="nil"/>
              <w:left w:val="nil"/>
              <w:bottom w:val="single" w:sz="4" w:space="0" w:color="auto"/>
              <w:right w:val="nil"/>
            </w:tcBorders>
            <w:shd w:val="clear" w:color="000000" w:fill="FFFFFF"/>
            <w:noWrap/>
            <w:vAlign w:val="bottom"/>
          </w:tcPr>
          <w:p w:rsidR="00FF0D22" w:rsidRPr="004D55DA" w:rsidRDefault="00FF0D22" w:rsidP="007F7964">
            <w:pPr>
              <w:jc w:val="center"/>
              <w:rPr>
                <w:rFonts w:ascii="Cambria" w:hAnsi="Cambria" w:cs="Arial"/>
                <w:sz w:val="14"/>
                <w:szCs w:val="18"/>
              </w:rPr>
            </w:pPr>
            <w:r w:rsidRPr="004D55DA">
              <w:rPr>
                <w:rFonts w:ascii="Cambria" w:hAnsi="Cambria" w:cs="Arial"/>
                <w:sz w:val="14"/>
                <w:szCs w:val="18"/>
              </w:rPr>
              <w:t>1 a 7 (Likert)</w:t>
            </w:r>
          </w:p>
        </w:tc>
      </w:tr>
    </w:tbl>
    <w:p w:rsidR="00104A12" w:rsidRPr="004D55DA" w:rsidRDefault="00104A12" w:rsidP="007F7964">
      <w:pPr>
        <w:spacing w:line="360" w:lineRule="auto"/>
        <w:jc w:val="both"/>
      </w:pPr>
    </w:p>
    <w:p w:rsidR="00104A12" w:rsidRPr="004D55DA" w:rsidRDefault="00104A12" w:rsidP="007F7964">
      <w:pPr>
        <w:rPr>
          <w:b/>
          <w:i/>
          <w:vanish/>
          <w:sz w:val="20"/>
          <w:szCs w:val="20"/>
          <w:lang w:eastAsia="en-US"/>
        </w:rPr>
        <w:sectPr w:rsidR="00104A12" w:rsidRPr="004D55DA" w:rsidSect="007F7964">
          <w:pgSz w:w="16838" w:h="11906" w:orient="landscape"/>
          <w:pgMar w:top="1134" w:right="1133" w:bottom="1701" w:left="1701" w:header="708" w:footer="708" w:gutter="0"/>
          <w:cols w:space="708"/>
          <w:titlePg/>
          <w:docGrid w:linePitch="360"/>
        </w:sectPr>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dados da</w:t>
      </w:r>
      <w:r w:rsidR="006E7F3F">
        <w:t>s</w:t>
      </w:r>
      <w:r w:rsidRPr="004D55DA">
        <w:t xml:space="preserve"> amostra</w:t>
      </w:r>
      <w:r w:rsidR="006E7F3F">
        <w:t>s</w:t>
      </w:r>
      <w:r w:rsidRPr="004D55DA">
        <w:t xml:space="preserve"> foram recolhidos com base em inquéritos (</w:t>
      </w:r>
      <w:r w:rsidR="00BC3DD5">
        <w:t>Apêndice</w:t>
      </w:r>
      <w:r w:rsidRPr="004D55DA">
        <w:t>s 1 e 2). O primeiro inquérito foi enviado para os utilizadores dos principais terminais de contentores de Portugal e Espanha. O segundo inquérito foi enviado em duas fases, primeiro para os utilizadores dos principais terminais de contentores de Portugal e Espanha e depois para utilizadores dos principais terminais de contentores dos restantes países marítimos da Europa.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construção dos inquéritos teve por base a definição de uma questão para cada variável, baseada na escala de Likert. Os inquéritos foram enviados </w:t>
      </w:r>
      <w:r w:rsidR="006E7F3F">
        <w:t xml:space="preserve">por </w:t>
      </w:r>
      <w:r w:rsidR="006E7F3F" w:rsidRPr="00D713C2">
        <w:rPr>
          <w:i/>
        </w:rPr>
        <w:t>email</w:t>
      </w:r>
      <w:r w:rsidR="006E7F3F">
        <w:t xml:space="preserve">, através de </w:t>
      </w:r>
      <w:r w:rsidR="00136906">
        <w:t>“</w:t>
      </w:r>
      <w:r w:rsidR="006E7F3F" w:rsidRPr="00D713C2">
        <w:rPr>
          <w:i/>
        </w:rPr>
        <w:t>webpage</w:t>
      </w:r>
      <w:r w:rsidR="00136906">
        <w:rPr>
          <w:i/>
        </w:rPr>
        <w:t>”</w:t>
      </w:r>
      <w:r w:rsidR="006E7F3F" w:rsidRPr="00D713C2">
        <w:rPr>
          <w:i/>
        </w:rPr>
        <w:t xml:space="preserve"> </w:t>
      </w:r>
      <w:r w:rsidR="006E7F3F">
        <w:t xml:space="preserve">especializada de inquérito, </w:t>
      </w:r>
      <w:r w:rsidRPr="004D55DA">
        <w:t xml:space="preserve">ao universo </w:t>
      </w:r>
      <w:r w:rsidR="00AB69EC">
        <w:t xml:space="preserve">dos gestores </w:t>
      </w:r>
      <w:r w:rsidRPr="004D55DA">
        <w:t>das empresas identificadas nos sites dos portos na internet, onde se localizam os terminais alvo de estudo</w:t>
      </w:r>
      <w:r w:rsidR="00AB69EC">
        <w:t xml:space="preserve">, que consistiram em </w:t>
      </w:r>
      <w:r w:rsidR="00AB1DE6">
        <w:t>principais</w:t>
      </w:r>
      <w:r w:rsidR="00AB69EC">
        <w:t xml:space="preserve"> terminais portuários de contentores que foi possível identificar</w:t>
      </w:r>
      <w:r w:rsidR="00AB1DE6">
        <w:t xml:space="preserve"> nos sites da especialidade</w:t>
      </w:r>
      <w:r w:rsidRPr="004D55DA">
        <w:t>. Foram considerados válidos os inquéritos com resposta completa</w:t>
      </w:r>
      <w:r w:rsidR="00AB69EC">
        <w:t xml:space="preserve"> através de </w:t>
      </w:r>
      <w:r w:rsidR="00136906">
        <w:t>“</w:t>
      </w:r>
      <w:r w:rsidR="00AB69EC" w:rsidRPr="00D713C2">
        <w:rPr>
          <w:i/>
        </w:rPr>
        <w:t>link</w:t>
      </w:r>
      <w:r w:rsidR="00136906">
        <w:rPr>
          <w:i/>
        </w:rPr>
        <w:t>”</w:t>
      </w:r>
      <w:r w:rsidR="00AB69EC">
        <w:t xml:space="preserve"> a formulário na </w:t>
      </w:r>
      <w:r w:rsidR="00136906">
        <w:t>“</w:t>
      </w:r>
      <w:r w:rsidR="00AB69EC" w:rsidRPr="00D713C2">
        <w:rPr>
          <w:i/>
        </w:rPr>
        <w:t>webpage</w:t>
      </w:r>
      <w:r w:rsidR="00136906">
        <w:rPr>
          <w:i/>
        </w:rPr>
        <w:t>”</w:t>
      </w:r>
      <w:r w:rsidR="00AB69EC">
        <w:t xml:space="preserve"> do inquérito</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objeto principal do primeiro inquérito e da primeira fase do segundo inquérito foram os principais terminais portuários de contentores da Península Ibérica. Pretendeu-se estudar os </w:t>
      </w:r>
      <w:r w:rsidR="00136906" w:rsidRPr="004D55DA">
        <w:t>fatores</w:t>
      </w:r>
      <w:r w:rsidRPr="004D55DA">
        <w:t xml:space="preserve"> que caracterizam os terminais e os portos que influenciam o desempenho dos terminais de contentores. Para recolher a informação, recorreu-se aos</w:t>
      </w:r>
      <w:r w:rsidR="00AB1DE6">
        <w:t xml:space="preserve"> </w:t>
      </w:r>
      <w:r w:rsidR="00AB1DE6" w:rsidRPr="00D713C2">
        <w:rPr>
          <w:i/>
        </w:rPr>
        <w:t>emails</w:t>
      </w:r>
      <w:r w:rsidR="00AB1DE6">
        <w:t xml:space="preserve"> dos gestores das empresas utilizadora</w:t>
      </w:r>
      <w:r w:rsidRPr="004D55DA">
        <w:t>s dos terminais, ou seja, os agentes de navegação</w:t>
      </w:r>
      <w:r w:rsidR="00AB1DE6">
        <w:t xml:space="preserve"> e os clientes e</w:t>
      </w:r>
      <w:r w:rsidRPr="004D55DA">
        <w:t xml:space="preserve"> especialistas que trabalham e conhecem em profundidade esses terminais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Selecionaram-se os principais terminais de contentores em Portugal e Espanha, num total de 12 terminais, 7 em Portugal e 5 em Espanha, localizados em 10 portos. Destes foram identificadas todas as empresas agentes de navegação, clientes, operadores e especialistas que trabalham e conhecem esses terminais portuários, as suas características e o seu desempenho, selecionados em bases de dados e diretórios desses portos e terminais disponíveis na internet.</w:t>
      </w:r>
    </w:p>
    <w:p w:rsidR="00104A12" w:rsidRPr="004D55DA" w:rsidRDefault="00104A12" w:rsidP="007F7964">
      <w:pPr>
        <w:spacing w:line="360" w:lineRule="auto"/>
        <w:jc w:val="both"/>
      </w:pPr>
    </w:p>
    <w:p w:rsidR="00F01235" w:rsidRDefault="00104A12" w:rsidP="001A0B71">
      <w:pPr>
        <w:spacing w:line="360" w:lineRule="auto"/>
        <w:jc w:val="both"/>
      </w:pPr>
      <w:r w:rsidRPr="004D55DA">
        <w:t xml:space="preserve">Considerando que </w:t>
      </w:r>
      <w:r w:rsidR="00AB1DE6">
        <w:t>a</w:t>
      </w:r>
      <w:r w:rsidRPr="004D55DA">
        <w:t xml:space="preserve"> realidade</w:t>
      </w:r>
      <w:r w:rsidR="00AB1DE6">
        <w:t xml:space="preserve"> dos terminais de contentores</w:t>
      </w:r>
      <w:r w:rsidRPr="004D55DA">
        <w:t xml:space="preserve"> não é diretamente mensurável, física e quantitativamente, na sua </w:t>
      </w:r>
      <w:r w:rsidR="00AB1DE6">
        <w:t>glob</w:t>
      </w:r>
      <w:r w:rsidRPr="004D55DA">
        <w:t>alidade, recorreu-se à opinião dos</w:t>
      </w:r>
      <w:r w:rsidR="00AB1DE6">
        <w:t xml:space="preserve"> gestores das empresas utilizadora</w:t>
      </w:r>
      <w:r w:rsidRPr="004D55DA">
        <w:t>s, como a melhor</w:t>
      </w:r>
      <w:r w:rsidR="00AB1DE6">
        <w:t xml:space="preserve"> forma de</w:t>
      </w:r>
      <w:r w:rsidRPr="004D55DA">
        <w:t xml:space="preserve"> aproximação a essa realidade. Também se recolheram indicadores físicos relativos às características dos terminais, passíveis de quantificação por medição direta em plantas e fotografias aéreas ou por consulta a bases de dados públicas e sites sobre terminais de contentores. </w:t>
      </w:r>
    </w:p>
    <w:p w:rsidR="00F01235" w:rsidRDefault="00F01235"/>
    <w:p w:rsidR="00F01235" w:rsidRPr="00F01235" w:rsidRDefault="00F01235" w:rsidP="00F01235">
      <w:pPr>
        <w:pStyle w:val="Cabealho3"/>
        <w:rPr>
          <w:sz w:val="24"/>
          <w:u w:val="none"/>
        </w:rPr>
      </w:pPr>
      <w:r>
        <w:rPr>
          <w:sz w:val="24"/>
          <w:u w:val="none"/>
        </w:rPr>
        <w:t>Amostra</w:t>
      </w:r>
    </w:p>
    <w:p w:rsidR="00F01235" w:rsidRDefault="00F01235"/>
    <w:p w:rsidR="00F01235" w:rsidRPr="004D55DA" w:rsidRDefault="00F01235" w:rsidP="00F01235">
      <w:pPr>
        <w:spacing w:line="360" w:lineRule="auto"/>
        <w:jc w:val="both"/>
      </w:pPr>
      <w:r w:rsidRPr="004D55DA">
        <w:t xml:space="preserve">O </w:t>
      </w:r>
      <w:r w:rsidRPr="004D55DA">
        <w:rPr>
          <w:b/>
        </w:rPr>
        <w:t>primeiro inquérito</w:t>
      </w:r>
      <w:r>
        <w:t xml:space="preserve"> decorreu de Janeiro a Fevereiro de 2010 e </w:t>
      </w:r>
      <w:r w:rsidRPr="004D55DA">
        <w:t>procurou obter a opinião dos</w:t>
      </w:r>
      <w:r>
        <w:t xml:space="preserve"> gestores das empresas utilizadora</w:t>
      </w:r>
      <w:r w:rsidRPr="004D55DA">
        <w:t xml:space="preserve">s, preferências ideais gerais, sobre a importância que cada característica do terminal e do porto tem para o desempenho do terminal, em termos gerais, e sobre as medidas de desempenho mais relevantes, também em termos gerais. A amostra consistiu em 122 observações válidas correspondendo a 12% dos 1056 inquiridos (Tabela </w:t>
      </w:r>
      <w:r>
        <w:t>5</w:t>
      </w:r>
      <w:r w:rsidRPr="004D55DA">
        <w:t>), sendo 41 observações em Espanha, ou seja 8% dos 483 inquiridos, e 81 em Portugal, ou seja 14% dos 573 inquiridos.</w:t>
      </w:r>
    </w:p>
    <w:p w:rsidR="00F01235" w:rsidRPr="004D55DA" w:rsidRDefault="00F01235" w:rsidP="00F01235">
      <w:pPr>
        <w:spacing w:line="360" w:lineRule="auto"/>
        <w:jc w:val="both"/>
      </w:pPr>
    </w:p>
    <w:p w:rsidR="00F01235" w:rsidRPr="004D55DA" w:rsidRDefault="00F01235" w:rsidP="00F01235">
      <w:pPr>
        <w:pStyle w:val="Legenda"/>
        <w:keepNext/>
      </w:pPr>
      <w:bookmarkStart w:id="86" w:name="_Toc396134127"/>
      <w:r w:rsidRPr="004D55DA">
        <w:t xml:space="preserve">Tabela </w:t>
      </w:r>
      <w:fldSimple w:instr=" SEQ Tabela \* ARABIC ">
        <w:r w:rsidR="008D1B65">
          <w:rPr>
            <w:noProof/>
          </w:rPr>
          <w:t>4</w:t>
        </w:r>
      </w:fldSimple>
      <w:r w:rsidRPr="004D55DA">
        <w:rPr>
          <w:rFonts w:ascii="Cambria" w:hAnsi="Cambria" w:cs="Arial"/>
        </w:rPr>
        <w:t xml:space="preserve"> - </w:t>
      </w:r>
      <w:r>
        <w:rPr>
          <w:rFonts w:ascii="Cambria" w:hAnsi="Cambria" w:cs="Arial"/>
        </w:rPr>
        <w:t>A</w:t>
      </w:r>
      <w:r w:rsidRPr="004D55DA">
        <w:rPr>
          <w:rFonts w:ascii="Cambria" w:hAnsi="Cambria" w:cs="Arial"/>
        </w:rPr>
        <w:t>mostra</w:t>
      </w:r>
      <w:r>
        <w:rPr>
          <w:rFonts w:ascii="Cambria" w:hAnsi="Cambria" w:cs="Arial"/>
        </w:rPr>
        <w:fldChar w:fldCharType="begin"/>
      </w:r>
      <w:r>
        <w:instrText xml:space="preserve"> XE "</w:instrText>
      </w:r>
      <w:r w:rsidRPr="00886AB8">
        <w:rPr>
          <w:rFonts w:ascii="Cambria" w:hAnsi="Cambria" w:cs="Arial"/>
        </w:rPr>
        <w:instrText>amostra</w:instrText>
      </w:r>
      <w:r>
        <w:instrText xml:space="preserve">" </w:instrText>
      </w:r>
      <w:r>
        <w:rPr>
          <w:rFonts w:ascii="Cambria" w:hAnsi="Cambria" w:cs="Arial"/>
        </w:rPr>
        <w:fldChar w:fldCharType="end"/>
      </w:r>
      <w:r w:rsidRPr="004D55DA">
        <w:rPr>
          <w:rFonts w:ascii="Cambria" w:hAnsi="Cambria" w:cs="Arial"/>
        </w:rPr>
        <w:t xml:space="preserve"> do 1º Inquérito</w:t>
      </w:r>
      <w:bookmarkEnd w:id="86"/>
    </w:p>
    <w:tbl>
      <w:tblPr>
        <w:tblW w:w="6420" w:type="dxa"/>
        <w:tblInd w:w="55" w:type="dxa"/>
        <w:tblCellMar>
          <w:left w:w="70" w:type="dxa"/>
          <w:right w:w="70" w:type="dxa"/>
        </w:tblCellMar>
        <w:tblLook w:val="00A0" w:firstRow="1" w:lastRow="0" w:firstColumn="1" w:lastColumn="0" w:noHBand="0" w:noVBand="0"/>
      </w:tblPr>
      <w:tblGrid>
        <w:gridCol w:w="2042"/>
        <w:gridCol w:w="1698"/>
        <w:gridCol w:w="1340"/>
        <w:gridCol w:w="1340"/>
      </w:tblGrid>
      <w:tr w:rsidR="00F01235" w:rsidRPr="004D55DA" w:rsidTr="00F01235">
        <w:trPr>
          <w:trHeight w:val="264"/>
        </w:trPr>
        <w:tc>
          <w:tcPr>
            <w:tcW w:w="6420" w:type="dxa"/>
            <w:gridSpan w:val="4"/>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20"/>
                <w:szCs w:val="20"/>
              </w:rPr>
            </w:pPr>
          </w:p>
        </w:tc>
      </w:tr>
      <w:tr w:rsidR="00F01235" w:rsidRPr="004D55DA" w:rsidTr="00F01235">
        <w:trPr>
          <w:trHeight w:val="330"/>
        </w:trPr>
        <w:tc>
          <w:tcPr>
            <w:tcW w:w="2042"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rPr>
                <w:rFonts w:ascii="Cambria" w:hAnsi="Cambria" w:cs="Arial"/>
                <w:sz w:val="18"/>
                <w:szCs w:val="20"/>
              </w:rPr>
            </w:pPr>
            <w:r w:rsidRPr="004D55DA">
              <w:rPr>
                <w:rFonts w:ascii="Cambria" w:hAnsi="Cambria" w:cs="Arial"/>
                <w:sz w:val="18"/>
                <w:szCs w:val="20"/>
              </w:rPr>
              <w:t>País</w:t>
            </w:r>
          </w:p>
        </w:tc>
        <w:tc>
          <w:tcPr>
            <w:tcW w:w="1698"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Portugal</w:t>
            </w:r>
          </w:p>
        </w:tc>
        <w:tc>
          <w:tcPr>
            <w:tcW w:w="1340"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Espanha</w:t>
            </w:r>
          </w:p>
        </w:tc>
        <w:tc>
          <w:tcPr>
            <w:tcW w:w="1340"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Total</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Inquéritos enviados</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573</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483</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1056</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Amostra</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81</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41</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122</w:t>
            </w:r>
          </w:p>
        </w:tc>
      </w:tr>
      <w:tr w:rsidR="00F01235" w:rsidRPr="004D55DA" w:rsidTr="00F01235">
        <w:trPr>
          <w:trHeight w:val="227"/>
        </w:trPr>
        <w:tc>
          <w:tcPr>
            <w:tcW w:w="2042"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Peso %</w:t>
            </w:r>
          </w:p>
        </w:tc>
        <w:tc>
          <w:tcPr>
            <w:tcW w:w="1698"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14</w:t>
            </w:r>
          </w:p>
        </w:tc>
        <w:tc>
          <w:tcPr>
            <w:tcW w:w="134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8</w:t>
            </w:r>
          </w:p>
        </w:tc>
        <w:tc>
          <w:tcPr>
            <w:tcW w:w="134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12</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10 Portos</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Leixões</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Barcelona</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 </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 </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Aveiro/Figueira</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Valência</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 </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 </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Lisboa</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Bilbao</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 </w:t>
            </w:r>
          </w:p>
        </w:tc>
      </w:tr>
      <w:tr w:rsidR="00F01235" w:rsidRPr="004D55DA" w:rsidTr="00F01235">
        <w:trPr>
          <w:trHeight w:val="227"/>
        </w:trPr>
        <w:tc>
          <w:tcPr>
            <w:tcW w:w="2042"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 </w:t>
            </w:r>
          </w:p>
        </w:tc>
        <w:tc>
          <w:tcPr>
            <w:tcW w:w="169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Setúbal</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Tarragona</w:t>
            </w:r>
          </w:p>
        </w:tc>
        <w:tc>
          <w:tcPr>
            <w:tcW w:w="134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 </w:t>
            </w:r>
          </w:p>
        </w:tc>
      </w:tr>
      <w:tr w:rsidR="00F01235" w:rsidRPr="004D55DA" w:rsidTr="00F01235">
        <w:trPr>
          <w:trHeight w:val="227"/>
        </w:trPr>
        <w:tc>
          <w:tcPr>
            <w:tcW w:w="2042"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Arial"/>
                <w:sz w:val="18"/>
                <w:szCs w:val="20"/>
              </w:rPr>
            </w:pPr>
            <w:r w:rsidRPr="004D55DA">
              <w:rPr>
                <w:rFonts w:ascii="Cambria" w:hAnsi="Cambria" w:cs="Arial"/>
                <w:sz w:val="18"/>
                <w:szCs w:val="20"/>
              </w:rPr>
              <w:t> </w:t>
            </w:r>
          </w:p>
        </w:tc>
        <w:tc>
          <w:tcPr>
            <w:tcW w:w="1698"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Sines</w:t>
            </w:r>
          </w:p>
        </w:tc>
        <w:tc>
          <w:tcPr>
            <w:tcW w:w="134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Algeciras</w:t>
            </w:r>
          </w:p>
        </w:tc>
        <w:tc>
          <w:tcPr>
            <w:tcW w:w="134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8"/>
                <w:szCs w:val="20"/>
              </w:rPr>
            </w:pPr>
            <w:r w:rsidRPr="004D55DA">
              <w:rPr>
                <w:rFonts w:ascii="Cambria" w:hAnsi="Cambria" w:cs="Arial"/>
                <w:sz w:val="18"/>
                <w:szCs w:val="20"/>
              </w:rPr>
              <w:t> </w:t>
            </w:r>
          </w:p>
        </w:tc>
      </w:tr>
    </w:tbl>
    <w:p w:rsidR="00F01235" w:rsidRPr="004D55DA" w:rsidRDefault="00F01235" w:rsidP="00F01235">
      <w:pPr>
        <w:spacing w:line="360" w:lineRule="auto"/>
        <w:jc w:val="both"/>
      </w:pPr>
    </w:p>
    <w:p w:rsidR="00F01235" w:rsidRPr="004D55DA" w:rsidRDefault="00F01235" w:rsidP="00F01235">
      <w:pPr>
        <w:spacing w:line="360" w:lineRule="auto"/>
        <w:jc w:val="both"/>
      </w:pPr>
      <w:r w:rsidRPr="004D55DA">
        <w:t>Em Portugal, foram enviados 573 inquéritos para empresas e especialistas que utilizam e conhecem os portos e terminais de contentores portugueses dos portos de Leixões, Lisboa, Aveiro/Figueira, Setúbal e Sines, e 483 para empresas e especialistas em Espanha, dos portos de Bilbao, Barcelona, Algeciras, Tarragona e Valência, principais portos espanhóis com movimento de contentores com o “hinterland”.</w:t>
      </w:r>
    </w:p>
    <w:p w:rsidR="00F01235" w:rsidRPr="004D55DA" w:rsidRDefault="00F01235" w:rsidP="00F01235">
      <w:pPr>
        <w:spacing w:line="360" w:lineRule="auto"/>
        <w:jc w:val="both"/>
      </w:pPr>
      <w:r w:rsidRPr="004D55DA">
        <w:t>Dos respondentes, 51% foram agentes de navegação, 17,2% especialistas das autoridades portuárias, 8,2% operadores de terminais portuários, 18% transitários e 6,6% outros especialistas em terminais de contentores e portos.</w:t>
      </w:r>
    </w:p>
    <w:p w:rsidR="00F01235" w:rsidRPr="004D55DA" w:rsidRDefault="00F01235" w:rsidP="00F01235">
      <w:pPr>
        <w:spacing w:line="360" w:lineRule="auto"/>
        <w:jc w:val="both"/>
      </w:pPr>
    </w:p>
    <w:p w:rsidR="00F01235" w:rsidRPr="004D55DA" w:rsidRDefault="00F01235" w:rsidP="00F01235">
      <w:pPr>
        <w:spacing w:line="360" w:lineRule="auto"/>
        <w:jc w:val="both"/>
      </w:pPr>
      <w:r w:rsidRPr="004D55DA">
        <w:t xml:space="preserve">O </w:t>
      </w:r>
      <w:r w:rsidRPr="004D55DA">
        <w:rPr>
          <w:b/>
        </w:rPr>
        <w:t>segundo inquérito</w:t>
      </w:r>
      <w:r w:rsidRPr="00F01235">
        <w:t xml:space="preserve"> decorreu de Março a Maio de 2010 e</w:t>
      </w:r>
      <w:r w:rsidRPr="004D55DA">
        <w:t xml:space="preserve"> procurou obter a opinião dos</w:t>
      </w:r>
      <w:r>
        <w:t xml:space="preserve"> gestores de empresas</w:t>
      </w:r>
      <w:r w:rsidRPr="004D55DA">
        <w:t xml:space="preserve"> utilizador</w:t>
      </w:r>
      <w:r>
        <w:t>a</w:t>
      </w:r>
      <w:r w:rsidRPr="004D55DA">
        <w:t xml:space="preserve">s sobre a realidade de cada terminal que utilizam. A amostra recolhida envolveu como objeto específico os 12 maiores terminais de contentores da Península Ibérica em concreto, localizados nos mesmos 10 portos, de Portugal (7) e Espanha (5) (Tabela </w:t>
      </w:r>
      <w:r>
        <w:t>6</w:t>
      </w:r>
      <w:r w:rsidRPr="004D55DA">
        <w:t>).</w:t>
      </w:r>
    </w:p>
    <w:p w:rsidR="00F01235" w:rsidRDefault="00F01235" w:rsidP="00F01235">
      <w:pPr>
        <w:spacing w:line="360" w:lineRule="auto"/>
        <w:jc w:val="both"/>
      </w:pPr>
    </w:p>
    <w:p w:rsidR="00F01235" w:rsidRPr="004D55DA" w:rsidRDefault="00F01235" w:rsidP="00F01235">
      <w:pPr>
        <w:spacing w:line="360" w:lineRule="auto"/>
        <w:jc w:val="both"/>
      </w:pPr>
    </w:p>
    <w:p w:rsidR="00F01235" w:rsidRPr="00D713C2" w:rsidRDefault="00F01235" w:rsidP="00F01235">
      <w:pPr>
        <w:pStyle w:val="Legenda"/>
        <w:rPr>
          <w:sz w:val="24"/>
          <w:szCs w:val="24"/>
        </w:rPr>
      </w:pPr>
      <w:bookmarkStart w:id="87" w:name="_Toc396134128"/>
      <w:r w:rsidRPr="00D713C2">
        <w:rPr>
          <w:sz w:val="24"/>
          <w:szCs w:val="24"/>
        </w:rPr>
        <w:t xml:space="preserve">Tabela </w:t>
      </w:r>
      <w:r w:rsidRPr="00D713C2">
        <w:rPr>
          <w:sz w:val="24"/>
          <w:szCs w:val="24"/>
        </w:rPr>
        <w:fldChar w:fldCharType="begin"/>
      </w:r>
      <w:r w:rsidRPr="00D713C2">
        <w:rPr>
          <w:sz w:val="24"/>
          <w:szCs w:val="24"/>
        </w:rPr>
        <w:instrText xml:space="preserve"> SEQ Tabela \* ARABIC </w:instrText>
      </w:r>
      <w:r w:rsidRPr="00D713C2">
        <w:rPr>
          <w:sz w:val="24"/>
          <w:szCs w:val="24"/>
        </w:rPr>
        <w:fldChar w:fldCharType="separate"/>
      </w:r>
      <w:r w:rsidR="008D1B65">
        <w:rPr>
          <w:noProof/>
          <w:sz w:val="24"/>
          <w:szCs w:val="24"/>
        </w:rPr>
        <w:t>5</w:t>
      </w:r>
      <w:r w:rsidRPr="00D713C2">
        <w:rPr>
          <w:noProof/>
          <w:sz w:val="24"/>
          <w:szCs w:val="24"/>
        </w:rPr>
        <w:fldChar w:fldCharType="end"/>
      </w:r>
      <w:r w:rsidRPr="00D713C2">
        <w:rPr>
          <w:sz w:val="24"/>
          <w:szCs w:val="24"/>
        </w:rPr>
        <w:t xml:space="preserve"> - Amostra do 2º inquérito (Portugal e Espanha)</w:t>
      </w:r>
      <w:bookmarkEnd w:id="87"/>
    </w:p>
    <w:tbl>
      <w:tblPr>
        <w:tblW w:w="9300" w:type="dxa"/>
        <w:tblInd w:w="55" w:type="dxa"/>
        <w:tblCellMar>
          <w:left w:w="70" w:type="dxa"/>
          <w:right w:w="70" w:type="dxa"/>
        </w:tblCellMar>
        <w:tblLook w:val="00A0" w:firstRow="1" w:lastRow="0" w:firstColumn="1" w:lastColumn="0" w:noHBand="0" w:noVBand="0"/>
      </w:tblPr>
      <w:tblGrid>
        <w:gridCol w:w="980"/>
        <w:gridCol w:w="1960"/>
        <w:gridCol w:w="760"/>
        <w:gridCol w:w="640"/>
        <w:gridCol w:w="2200"/>
        <w:gridCol w:w="2000"/>
        <w:gridCol w:w="760"/>
      </w:tblGrid>
      <w:tr w:rsidR="00F01235" w:rsidRPr="004D55DA" w:rsidTr="00F01235">
        <w:trPr>
          <w:trHeight w:val="680"/>
        </w:trPr>
        <w:tc>
          <w:tcPr>
            <w:tcW w:w="980"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País</w:t>
            </w:r>
          </w:p>
        </w:tc>
        <w:tc>
          <w:tcPr>
            <w:tcW w:w="196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Inquéritos enviados</w:t>
            </w:r>
          </w:p>
        </w:tc>
        <w:tc>
          <w:tcPr>
            <w:tcW w:w="76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Amostra</w:t>
            </w:r>
          </w:p>
        </w:tc>
        <w:tc>
          <w:tcPr>
            <w:tcW w:w="64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Peso %</w:t>
            </w:r>
          </w:p>
        </w:tc>
        <w:tc>
          <w:tcPr>
            <w:tcW w:w="2200"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Porto</w:t>
            </w:r>
          </w:p>
        </w:tc>
        <w:tc>
          <w:tcPr>
            <w:tcW w:w="2000" w:type="dxa"/>
            <w:tcBorders>
              <w:top w:val="single" w:sz="4" w:space="0" w:color="auto"/>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Terminal</w:t>
            </w:r>
          </w:p>
        </w:tc>
        <w:tc>
          <w:tcPr>
            <w:tcW w:w="76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Amostra por terminal</w:t>
            </w:r>
          </w:p>
        </w:tc>
      </w:tr>
      <w:tr w:rsidR="00F01235" w:rsidRPr="004D55DA" w:rsidTr="00F01235">
        <w:trPr>
          <w:trHeight w:val="228"/>
        </w:trPr>
        <w:tc>
          <w:tcPr>
            <w:tcW w:w="980" w:type="dxa"/>
            <w:vMerge w:val="restart"/>
            <w:tcBorders>
              <w:top w:val="nil"/>
              <w:left w:val="nil"/>
              <w:bottom w:val="nil"/>
              <w:right w:val="nil"/>
            </w:tcBorders>
            <w:shd w:val="clear" w:color="000000" w:fill="FFFFFF"/>
          </w:tcPr>
          <w:p w:rsidR="00F01235" w:rsidRPr="004D55DA" w:rsidRDefault="00F01235" w:rsidP="00F01235">
            <w:pPr>
              <w:rPr>
                <w:rFonts w:ascii="Cambria" w:hAnsi="Cambria" w:cs="Arial"/>
                <w:color w:val="000000"/>
                <w:sz w:val="16"/>
                <w:szCs w:val="18"/>
              </w:rPr>
            </w:pPr>
            <w:r w:rsidRPr="004D55DA">
              <w:rPr>
                <w:rFonts w:ascii="Cambria" w:hAnsi="Cambria" w:cs="Arial"/>
                <w:color w:val="000000"/>
                <w:sz w:val="16"/>
                <w:szCs w:val="18"/>
              </w:rPr>
              <w:t>Portugal</w:t>
            </w:r>
          </w:p>
        </w:tc>
        <w:tc>
          <w:tcPr>
            <w:tcW w:w="196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573</w:t>
            </w:r>
          </w:p>
        </w:tc>
        <w:tc>
          <w:tcPr>
            <w:tcW w:w="76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111</w:t>
            </w:r>
          </w:p>
        </w:tc>
        <w:tc>
          <w:tcPr>
            <w:tcW w:w="64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19,4</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Figueira</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Figueira</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4</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Leixões</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TCL</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24</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vMerge w:val="restart"/>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Lisboa</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Liscont</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34</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vMerge/>
            <w:tcBorders>
              <w:top w:val="nil"/>
              <w:left w:val="nil"/>
              <w:bottom w:val="nil"/>
              <w:right w:val="nil"/>
            </w:tcBorders>
            <w:vAlign w:val="center"/>
          </w:tcPr>
          <w:p w:rsidR="00F01235" w:rsidRPr="004D55DA" w:rsidRDefault="00F01235" w:rsidP="00F01235">
            <w:pPr>
              <w:jc w:val="center"/>
              <w:rPr>
                <w:rFonts w:ascii="Cambria" w:hAnsi="Cambria" w:cs="Arial"/>
                <w:color w:val="000000"/>
                <w:sz w:val="16"/>
                <w:szCs w:val="18"/>
              </w:rPr>
            </w:pP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TCSA</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11</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vMerge/>
            <w:tcBorders>
              <w:top w:val="nil"/>
              <w:left w:val="nil"/>
              <w:bottom w:val="nil"/>
              <w:right w:val="nil"/>
            </w:tcBorders>
            <w:vAlign w:val="center"/>
          </w:tcPr>
          <w:p w:rsidR="00F01235" w:rsidRPr="004D55DA" w:rsidRDefault="00F01235" w:rsidP="00F01235">
            <w:pPr>
              <w:jc w:val="center"/>
              <w:rPr>
                <w:rFonts w:ascii="Cambria" w:hAnsi="Cambria" w:cs="Arial"/>
                <w:color w:val="000000"/>
                <w:sz w:val="16"/>
                <w:szCs w:val="18"/>
              </w:rPr>
            </w:pP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TML</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4</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Setúbal</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Sadoport</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16</w:t>
            </w:r>
          </w:p>
        </w:tc>
      </w:tr>
      <w:tr w:rsidR="00F01235" w:rsidRPr="004D55DA" w:rsidTr="00F01235">
        <w:trPr>
          <w:trHeight w:val="228"/>
        </w:trPr>
        <w:tc>
          <w:tcPr>
            <w:tcW w:w="980" w:type="dxa"/>
            <w:vMerge/>
            <w:tcBorders>
              <w:top w:val="nil"/>
              <w:left w:val="nil"/>
              <w:bottom w:val="nil"/>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64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Sines</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XXI</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18</w:t>
            </w:r>
          </w:p>
        </w:tc>
      </w:tr>
      <w:tr w:rsidR="00F01235" w:rsidRPr="004D55DA" w:rsidTr="00F01235">
        <w:trPr>
          <w:trHeight w:val="228"/>
        </w:trPr>
        <w:tc>
          <w:tcPr>
            <w:tcW w:w="980" w:type="dxa"/>
            <w:vMerge w:val="restart"/>
            <w:tcBorders>
              <w:top w:val="single" w:sz="4" w:space="0" w:color="auto"/>
              <w:left w:val="nil"/>
              <w:bottom w:val="single" w:sz="4" w:space="0" w:color="000000"/>
              <w:right w:val="nil"/>
            </w:tcBorders>
            <w:shd w:val="clear" w:color="000000" w:fill="FFFFFF"/>
          </w:tcPr>
          <w:p w:rsidR="00F01235" w:rsidRPr="004D55DA" w:rsidRDefault="00F01235" w:rsidP="00F01235">
            <w:pPr>
              <w:rPr>
                <w:rFonts w:ascii="Cambria" w:hAnsi="Cambria" w:cs="Arial"/>
                <w:color w:val="000000"/>
                <w:sz w:val="16"/>
                <w:szCs w:val="18"/>
              </w:rPr>
            </w:pPr>
            <w:r w:rsidRPr="004D55DA">
              <w:rPr>
                <w:rFonts w:ascii="Cambria" w:hAnsi="Cambria" w:cs="Arial"/>
                <w:color w:val="000000"/>
                <w:sz w:val="16"/>
                <w:szCs w:val="18"/>
              </w:rPr>
              <w:t>Espanha</w:t>
            </w:r>
          </w:p>
        </w:tc>
        <w:tc>
          <w:tcPr>
            <w:tcW w:w="1960" w:type="dxa"/>
            <w:tcBorders>
              <w:top w:val="single" w:sz="4" w:space="0" w:color="auto"/>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566</w:t>
            </w:r>
          </w:p>
        </w:tc>
        <w:tc>
          <w:tcPr>
            <w:tcW w:w="760" w:type="dxa"/>
            <w:tcBorders>
              <w:top w:val="single" w:sz="4" w:space="0" w:color="auto"/>
              <w:left w:val="nil"/>
              <w:bottom w:val="nil"/>
              <w:right w:val="nil"/>
            </w:tcBorders>
            <w:shd w:val="clear" w:color="000000" w:fill="FFFFFF"/>
            <w:noWrap/>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40</w:t>
            </w:r>
          </w:p>
        </w:tc>
        <w:tc>
          <w:tcPr>
            <w:tcW w:w="640" w:type="dxa"/>
            <w:tcBorders>
              <w:top w:val="single" w:sz="4" w:space="0" w:color="auto"/>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7,1</w:t>
            </w:r>
          </w:p>
        </w:tc>
        <w:tc>
          <w:tcPr>
            <w:tcW w:w="2200" w:type="dxa"/>
            <w:tcBorders>
              <w:top w:val="single" w:sz="4" w:space="0" w:color="auto"/>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Algeciras</w:t>
            </w:r>
          </w:p>
        </w:tc>
        <w:tc>
          <w:tcPr>
            <w:tcW w:w="2000" w:type="dxa"/>
            <w:tcBorders>
              <w:top w:val="single" w:sz="4" w:space="0" w:color="auto"/>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APMAlgeciras</w:t>
            </w:r>
          </w:p>
        </w:tc>
        <w:tc>
          <w:tcPr>
            <w:tcW w:w="760" w:type="dxa"/>
            <w:tcBorders>
              <w:top w:val="single" w:sz="4" w:space="0" w:color="auto"/>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6</w:t>
            </w:r>
          </w:p>
        </w:tc>
      </w:tr>
      <w:tr w:rsidR="00F01235" w:rsidRPr="004D55DA" w:rsidTr="00F01235">
        <w:trPr>
          <w:trHeight w:val="228"/>
        </w:trPr>
        <w:tc>
          <w:tcPr>
            <w:tcW w:w="980" w:type="dxa"/>
            <w:vMerge/>
            <w:tcBorders>
              <w:top w:val="single" w:sz="4" w:space="0" w:color="auto"/>
              <w:left w:val="nil"/>
              <w:bottom w:val="single" w:sz="4" w:space="0" w:color="000000"/>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64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Barcelona</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TCB</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8</w:t>
            </w:r>
          </w:p>
        </w:tc>
      </w:tr>
      <w:tr w:rsidR="00F01235" w:rsidRPr="004D55DA" w:rsidTr="00F01235">
        <w:trPr>
          <w:trHeight w:val="228"/>
        </w:trPr>
        <w:tc>
          <w:tcPr>
            <w:tcW w:w="980" w:type="dxa"/>
            <w:vMerge/>
            <w:tcBorders>
              <w:top w:val="single" w:sz="4" w:space="0" w:color="auto"/>
              <w:left w:val="nil"/>
              <w:bottom w:val="single" w:sz="4" w:space="0" w:color="000000"/>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64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Bilbao</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NCTB</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9</w:t>
            </w:r>
          </w:p>
        </w:tc>
      </w:tr>
      <w:tr w:rsidR="00F01235" w:rsidRPr="004D55DA" w:rsidTr="00F01235">
        <w:trPr>
          <w:trHeight w:val="228"/>
        </w:trPr>
        <w:tc>
          <w:tcPr>
            <w:tcW w:w="980" w:type="dxa"/>
            <w:vMerge/>
            <w:tcBorders>
              <w:top w:val="single" w:sz="4" w:space="0" w:color="auto"/>
              <w:left w:val="nil"/>
              <w:bottom w:val="single" w:sz="4" w:space="0" w:color="000000"/>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nil"/>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nil"/>
              <w:right w:val="nil"/>
            </w:tcBorders>
            <w:shd w:val="clear" w:color="000000" w:fill="FFFFFF"/>
            <w:noWrap/>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64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22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Tarragona</w:t>
            </w:r>
          </w:p>
        </w:tc>
        <w:tc>
          <w:tcPr>
            <w:tcW w:w="2000" w:type="dxa"/>
            <w:tcBorders>
              <w:top w:val="nil"/>
              <w:left w:val="nil"/>
              <w:bottom w:val="nil"/>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DPWT</w:t>
            </w:r>
          </w:p>
        </w:tc>
        <w:tc>
          <w:tcPr>
            <w:tcW w:w="76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8</w:t>
            </w:r>
          </w:p>
        </w:tc>
      </w:tr>
      <w:tr w:rsidR="00F01235" w:rsidRPr="004D55DA" w:rsidTr="00F01235">
        <w:trPr>
          <w:trHeight w:val="228"/>
        </w:trPr>
        <w:tc>
          <w:tcPr>
            <w:tcW w:w="980" w:type="dxa"/>
            <w:vMerge/>
            <w:tcBorders>
              <w:top w:val="single" w:sz="4" w:space="0" w:color="auto"/>
              <w:left w:val="nil"/>
              <w:bottom w:val="single" w:sz="4" w:space="0" w:color="000000"/>
              <w:right w:val="nil"/>
            </w:tcBorders>
            <w:vAlign w:val="center"/>
          </w:tcPr>
          <w:p w:rsidR="00F01235" w:rsidRPr="004D55DA" w:rsidRDefault="00F01235" w:rsidP="00F01235">
            <w:pPr>
              <w:rPr>
                <w:rFonts w:ascii="Cambria" w:hAnsi="Cambria" w:cs="Arial"/>
                <w:color w:val="000000"/>
                <w:sz w:val="16"/>
                <w:szCs w:val="18"/>
              </w:rPr>
            </w:pPr>
          </w:p>
        </w:tc>
        <w:tc>
          <w:tcPr>
            <w:tcW w:w="1960" w:type="dxa"/>
            <w:tcBorders>
              <w:top w:val="nil"/>
              <w:left w:val="nil"/>
              <w:bottom w:val="single" w:sz="4" w:space="0" w:color="auto"/>
              <w:right w:val="nil"/>
            </w:tcBorders>
            <w:shd w:val="clear" w:color="000000" w:fill="FFFFFF"/>
            <w:noWrap/>
            <w:vAlign w:val="center"/>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 </w:t>
            </w:r>
          </w:p>
        </w:tc>
        <w:tc>
          <w:tcPr>
            <w:tcW w:w="760" w:type="dxa"/>
            <w:tcBorders>
              <w:top w:val="nil"/>
              <w:left w:val="nil"/>
              <w:bottom w:val="single" w:sz="4" w:space="0" w:color="auto"/>
              <w:right w:val="nil"/>
            </w:tcBorders>
            <w:shd w:val="clear" w:color="000000" w:fill="FFFFFF"/>
            <w:noWrap/>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64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 </w:t>
            </w:r>
          </w:p>
        </w:tc>
        <w:tc>
          <w:tcPr>
            <w:tcW w:w="220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Valencia</w:t>
            </w:r>
          </w:p>
        </w:tc>
        <w:tc>
          <w:tcPr>
            <w:tcW w:w="200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Arial"/>
                <w:color w:val="000000"/>
                <w:sz w:val="16"/>
                <w:szCs w:val="18"/>
              </w:rPr>
            </w:pPr>
            <w:r w:rsidRPr="004D55DA">
              <w:rPr>
                <w:rFonts w:ascii="Cambria" w:hAnsi="Cambria" w:cs="Arial"/>
                <w:color w:val="000000"/>
                <w:sz w:val="16"/>
                <w:szCs w:val="18"/>
              </w:rPr>
              <w:t>Noatum</w:t>
            </w:r>
          </w:p>
        </w:tc>
        <w:tc>
          <w:tcPr>
            <w:tcW w:w="76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Arial"/>
                <w:color w:val="000000"/>
                <w:sz w:val="16"/>
                <w:szCs w:val="18"/>
              </w:rPr>
            </w:pPr>
            <w:r w:rsidRPr="004D55DA">
              <w:rPr>
                <w:rFonts w:ascii="Cambria" w:hAnsi="Cambria" w:cs="Arial"/>
                <w:color w:val="000000"/>
                <w:sz w:val="16"/>
                <w:szCs w:val="18"/>
              </w:rPr>
              <w:t>9</w:t>
            </w:r>
          </w:p>
        </w:tc>
      </w:tr>
      <w:tr w:rsidR="00F01235" w:rsidRPr="004D55DA" w:rsidTr="00F01235">
        <w:trPr>
          <w:trHeight w:val="228"/>
        </w:trPr>
        <w:tc>
          <w:tcPr>
            <w:tcW w:w="980"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Arial"/>
                <w:sz w:val="16"/>
                <w:szCs w:val="18"/>
              </w:rPr>
            </w:pPr>
            <w:r w:rsidRPr="004D55DA">
              <w:rPr>
                <w:rFonts w:ascii="Cambria" w:hAnsi="Cambria" w:cs="Arial"/>
                <w:sz w:val="16"/>
                <w:szCs w:val="18"/>
              </w:rPr>
              <w:t>Total</w:t>
            </w:r>
          </w:p>
        </w:tc>
        <w:tc>
          <w:tcPr>
            <w:tcW w:w="196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1139</w:t>
            </w:r>
          </w:p>
        </w:tc>
        <w:tc>
          <w:tcPr>
            <w:tcW w:w="76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151</w:t>
            </w:r>
          </w:p>
        </w:tc>
        <w:tc>
          <w:tcPr>
            <w:tcW w:w="64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13,3</w:t>
            </w:r>
          </w:p>
        </w:tc>
        <w:tc>
          <w:tcPr>
            <w:tcW w:w="220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10 portos</w:t>
            </w:r>
          </w:p>
        </w:tc>
        <w:tc>
          <w:tcPr>
            <w:tcW w:w="200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Arial"/>
                <w:sz w:val="16"/>
                <w:szCs w:val="18"/>
              </w:rPr>
            </w:pPr>
            <w:r w:rsidRPr="004D55DA">
              <w:rPr>
                <w:rFonts w:ascii="Cambria" w:hAnsi="Cambria" w:cs="Arial"/>
                <w:sz w:val="16"/>
                <w:szCs w:val="18"/>
              </w:rPr>
              <w:t>12 terminais principais</w:t>
            </w:r>
          </w:p>
        </w:tc>
        <w:tc>
          <w:tcPr>
            <w:tcW w:w="760" w:type="dxa"/>
            <w:tcBorders>
              <w:top w:val="nil"/>
              <w:left w:val="nil"/>
              <w:bottom w:val="single" w:sz="4" w:space="0" w:color="auto"/>
              <w:right w:val="nil"/>
            </w:tcBorders>
            <w:shd w:val="clear" w:color="000000" w:fill="FFFFFF"/>
            <w:noWrap/>
            <w:vAlign w:val="bottom"/>
          </w:tcPr>
          <w:p w:rsidR="00F01235" w:rsidRPr="004D55DA" w:rsidRDefault="00F01235" w:rsidP="00F01235">
            <w:pPr>
              <w:jc w:val="right"/>
              <w:rPr>
                <w:rFonts w:ascii="Cambria" w:hAnsi="Cambria" w:cs="Arial"/>
                <w:sz w:val="16"/>
                <w:szCs w:val="18"/>
              </w:rPr>
            </w:pPr>
            <w:r w:rsidRPr="004D55DA">
              <w:rPr>
                <w:rFonts w:ascii="Cambria" w:hAnsi="Cambria" w:cs="Arial"/>
                <w:sz w:val="16"/>
                <w:szCs w:val="18"/>
              </w:rPr>
              <w:t>151</w:t>
            </w:r>
          </w:p>
        </w:tc>
      </w:tr>
    </w:tbl>
    <w:p w:rsidR="00F01235" w:rsidRPr="004D55DA" w:rsidRDefault="00F01235" w:rsidP="00F01235">
      <w:pPr>
        <w:spacing w:line="360" w:lineRule="auto"/>
        <w:jc w:val="both"/>
      </w:pPr>
    </w:p>
    <w:p w:rsidR="00F01235" w:rsidRPr="004D55DA" w:rsidRDefault="00F01235" w:rsidP="00F01235">
      <w:pPr>
        <w:spacing w:line="360" w:lineRule="auto"/>
        <w:jc w:val="both"/>
      </w:pPr>
      <w:r>
        <w:t>De 1.139 inquéritos enviados</w:t>
      </w:r>
      <w:r w:rsidRPr="004D55DA">
        <w:t xml:space="preserve"> para as empresas operadoras, armadoras, agentes de navegação, transitários, grandes carregadores, autoridades portuárias e outros especialistas, identificados como estando ligados aos portos, obteve-se a amostra válida de 151 respostas, correspondente a 13,3% da população, ou seja 19,4% no caso dos portos portugueses e 7,1% no caso dos portos espanhóis.</w:t>
      </w:r>
      <w:r>
        <w:t xml:space="preserve"> </w:t>
      </w:r>
      <w:r w:rsidRPr="004D55DA">
        <w:t>O número de observações teve maior incidência no caso dos terminais portugueses com 111, registando os portos espanhóis uma amostra de 40 observações. Os portos em que os respetivos terminais tiveram maior número de observações foram Lisboa, Leixões, Sines e Setúbal, seguidos de Valência, Bilbao, Barcelona e Tarragona.</w:t>
      </w:r>
    </w:p>
    <w:p w:rsidR="00F01235" w:rsidRPr="004D55DA" w:rsidRDefault="00F01235" w:rsidP="00F01235">
      <w:pPr>
        <w:spacing w:line="360" w:lineRule="auto"/>
        <w:jc w:val="both"/>
      </w:pPr>
    </w:p>
    <w:p w:rsidR="00F01235" w:rsidRPr="004D55DA" w:rsidRDefault="00F01235" w:rsidP="00F01235">
      <w:pPr>
        <w:spacing w:line="360" w:lineRule="auto"/>
        <w:jc w:val="both"/>
      </w:pPr>
      <w:r w:rsidRPr="004D55DA">
        <w:t xml:space="preserve">Tendo em vista </w:t>
      </w:r>
      <w:r>
        <w:t>analisar</w:t>
      </w:r>
      <w:r w:rsidRPr="004D55DA">
        <w:t xml:space="preserve"> os resultados, num âmbito geográfico mais alargado (Figura 13), foi recolhida uma outra amostra nos restantes países europeus, com o envio, do segundo inquérito em inglês, para 26 terminais de contentores em 15 países europeus, que representam cerca de 8,7% da população estimada pelo autor para os terminais de contentores europeus. A seleção dos terminais, para onde foram enviados os inquéritos, teve por base primeiro a sua estratificação geográfica, com vista a abranger toda a costa europeia, e segundo, escolheram-se depois os maiores terminais de grandes portos selecionados aleatoriamente nas costas de cada País da Europa, localizados no Mediterrâneo e no Norte da Europa. Foram eliminados os portos </w:t>
      </w:r>
      <w:r>
        <w:t>dos quais não se obtiveram</w:t>
      </w:r>
      <w:r w:rsidRPr="004D55DA">
        <w:t xml:space="preserve"> respostas.</w:t>
      </w:r>
    </w:p>
    <w:p w:rsidR="00F01235" w:rsidRPr="004D55DA" w:rsidRDefault="00F01235" w:rsidP="00F01235">
      <w:pPr>
        <w:spacing w:line="360" w:lineRule="auto"/>
        <w:jc w:val="both"/>
      </w:pPr>
    </w:p>
    <w:p w:rsidR="00F01235" w:rsidRPr="004D55DA" w:rsidRDefault="00F01235" w:rsidP="00F01235">
      <w:pPr>
        <w:spacing w:line="360" w:lineRule="auto"/>
        <w:jc w:val="both"/>
      </w:pPr>
      <w:r w:rsidRPr="004D55DA">
        <w:t>Dos 926 inquéritos enviados</w:t>
      </w:r>
      <w:r>
        <w:t xml:space="preserve"> por email</w:t>
      </w:r>
      <w:r w:rsidRPr="004D55DA">
        <w:t xml:space="preserve"> a</w:t>
      </w:r>
      <w:r>
        <w:t xml:space="preserve"> gestores de</w:t>
      </w:r>
      <w:r w:rsidRPr="004D55DA">
        <w:t xml:space="preserve"> empresas utilizadoras e a especialistas dos terminais de contentores em análise, de onde foram recebidas respostas, foi obtida uma </w:t>
      </w:r>
      <w:r w:rsidRPr="004D55DA">
        <w:lastRenderedPageBreak/>
        <w:t xml:space="preserve">amostra válida de 54 observações, distribuídas pelos 26 terminais, representando 5,8% dos inquéritos enviados (Tabela </w:t>
      </w:r>
      <w:r>
        <w:t>7</w:t>
      </w:r>
      <w:r w:rsidRPr="004D55DA">
        <w:t>).</w:t>
      </w:r>
    </w:p>
    <w:p w:rsidR="00F01235" w:rsidRPr="004D55DA" w:rsidRDefault="00F01235" w:rsidP="00F01235">
      <w:pPr>
        <w:spacing w:line="360" w:lineRule="auto"/>
        <w:jc w:val="both"/>
      </w:pPr>
    </w:p>
    <w:p w:rsidR="00F01235" w:rsidRPr="00D713C2" w:rsidRDefault="00F01235" w:rsidP="00F01235">
      <w:pPr>
        <w:pStyle w:val="Legenda"/>
        <w:rPr>
          <w:sz w:val="24"/>
          <w:szCs w:val="24"/>
        </w:rPr>
      </w:pPr>
      <w:bookmarkStart w:id="88" w:name="_Toc396134177"/>
      <w:r w:rsidRPr="00D713C2">
        <w:rPr>
          <w:sz w:val="24"/>
          <w:szCs w:val="24"/>
        </w:rPr>
        <w:t xml:space="preserve">Figura </w:t>
      </w:r>
      <w:r w:rsidRPr="00D713C2">
        <w:rPr>
          <w:sz w:val="24"/>
          <w:szCs w:val="24"/>
        </w:rPr>
        <w:fldChar w:fldCharType="begin"/>
      </w:r>
      <w:r w:rsidRPr="00D713C2">
        <w:rPr>
          <w:sz w:val="24"/>
          <w:szCs w:val="24"/>
        </w:rPr>
        <w:instrText xml:space="preserve"> SEQ Figura \* ARABIC </w:instrText>
      </w:r>
      <w:r w:rsidRPr="00D713C2">
        <w:rPr>
          <w:sz w:val="24"/>
          <w:szCs w:val="24"/>
        </w:rPr>
        <w:fldChar w:fldCharType="separate"/>
      </w:r>
      <w:r w:rsidR="008D1B65">
        <w:rPr>
          <w:noProof/>
          <w:sz w:val="24"/>
          <w:szCs w:val="24"/>
        </w:rPr>
        <w:t>13</w:t>
      </w:r>
      <w:r w:rsidRPr="00D713C2">
        <w:rPr>
          <w:noProof/>
          <w:sz w:val="24"/>
          <w:szCs w:val="24"/>
        </w:rPr>
        <w:fldChar w:fldCharType="end"/>
      </w:r>
      <w:r w:rsidRPr="00D713C2">
        <w:rPr>
          <w:sz w:val="24"/>
          <w:szCs w:val="24"/>
        </w:rPr>
        <w:t xml:space="preserve"> – Distribuição geográfica dos portos europeus observados no inquérito</w:t>
      </w:r>
      <w:bookmarkEnd w:id="88"/>
    </w:p>
    <w:p w:rsidR="00F01235" w:rsidRPr="004D55DA" w:rsidRDefault="00F01235" w:rsidP="00F01235">
      <w:pPr>
        <w:spacing w:line="360" w:lineRule="auto"/>
        <w:jc w:val="both"/>
      </w:pPr>
      <w:r w:rsidRPr="004D55DA">
        <w:rPr>
          <w:noProof/>
        </w:rPr>
        <w:drawing>
          <wp:inline distT="0" distB="0" distL="0" distR="0" wp14:anchorId="57C971C8" wp14:editId="661EEEC7">
            <wp:extent cx="3379470" cy="2599055"/>
            <wp:effectExtent l="0" t="0" r="0" b="0"/>
            <wp:docPr id="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9470" cy="2599055"/>
                    </a:xfrm>
                    <a:prstGeom prst="rect">
                      <a:avLst/>
                    </a:prstGeom>
                    <a:noFill/>
                    <a:ln>
                      <a:noFill/>
                    </a:ln>
                  </pic:spPr>
                </pic:pic>
              </a:graphicData>
            </a:graphic>
          </wp:inline>
        </w:drawing>
      </w:r>
    </w:p>
    <w:p w:rsidR="00F01235" w:rsidRPr="004D55DA" w:rsidRDefault="00F01235" w:rsidP="00F01235">
      <w:pPr>
        <w:spacing w:line="360" w:lineRule="auto"/>
        <w:jc w:val="both"/>
      </w:pPr>
    </w:p>
    <w:p w:rsidR="00F01235" w:rsidRPr="00D713C2" w:rsidRDefault="00F01235" w:rsidP="00F01235">
      <w:pPr>
        <w:pStyle w:val="Legenda"/>
        <w:rPr>
          <w:sz w:val="24"/>
          <w:szCs w:val="24"/>
        </w:rPr>
      </w:pPr>
      <w:bookmarkStart w:id="89" w:name="_Toc396134129"/>
      <w:r w:rsidRPr="00D713C2">
        <w:rPr>
          <w:sz w:val="24"/>
          <w:szCs w:val="24"/>
        </w:rPr>
        <w:t xml:space="preserve">Tabela </w:t>
      </w:r>
      <w:r w:rsidRPr="00D713C2">
        <w:rPr>
          <w:sz w:val="24"/>
          <w:szCs w:val="24"/>
        </w:rPr>
        <w:fldChar w:fldCharType="begin"/>
      </w:r>
      <w:r w:rsidRPr="00D713C2">
        <w:rPr>
          <w:sz w:val="24"/>
          <w:szCs w:val="24"/>
        </w:rPr>
        <w:instrText xml:space="preserve"> SEQ Tabela \* ARABIC </w:instrText>
      </w:r>
      <w:r w:rsidRPr="00D713C2">
        <w:rPr>
          <w:sz w:val="24"/>
          <w:szCs w:val="24"/>
        </w:rPr>
        <w:fldChar w:fldCharType="separate"/>
      </w:r>
      <w:r w:rsidR="008D1B65">
        <w:rPr>
          <w:noProof/>
          <w:sz w:val="24"/>
          <w:szCs w:val="24"/>
        </w:rPr>
        <w:t>6</w:t>
      </w:r>
      <w:r w:rsidRPr="00D713C2">
        <w:rPr>
          <w:noProof/>
          <w:sz w:val="24"/>
          <w:szCs w:val="24"/>
        </w:rPr>
        <w:fldChar w:fldCharType="end"/>
      </w:r>
      <w:r w:rsidRPr="00D713C2">
        <w:rPr>
          <w:sz w:val="24"/>
          <w:szCs w:val="24"/>
        </w:rPr>
        <w:t xml:space="preserve"> - Amostra do 2º inquérito (Europa)</w:t>
      </w:r>
      <w:bookmarkEnd w:id="89"/>
    </w:p>
    <w:tbl>
      <w:tblPr>
        <w:tblW w:w="8500" w:type="dxa"/>
        <w:tblInd w:w="55" w:type="dxa"/>
        <w:tblCellMar>
          <w:left w:w="70" w:type="dxa"/>
          <w:right w:w="70" w:type="dxa"/>
        </w:tblCellMar>
        <w:tblLook w:val="00A0" w:firstRow="1" w:lastRow="0" w:firstColumn="1" w:lastColumn="0" w:noHBand="0" w:noVBand="0"/>
      </w:tblPr>
      <w:tblGrid>
        <w:gridCol w:w="859"/>
        <w:gridCol w:w="1298"/>
        <w:gridCol w:w="720"/>
        <w:gridCol w:w="520"/>
        <w:gridCol w:w="2058"/>
        <w:gridCol w:w="2325"/>
        <w:gridCol w:w="720"/>
      </w:tblGrid>
      <w:tr w:rsidR="00F01235" w:rsidRPr="004D55DA" w:rsidTr="00F01235">
        <w:trPr>
          <w:trHeight w:val="624"/>
        </w:trPr>
        <w:tc>
          <w:tcPr>
            <w:tcW w:w="859"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País</w:t>
            </w:r>
          </w:p>
        </w:tc>
        <w:tc>
          <w:tcPr>
            <w:tcW w:w="1298"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 xml:space="preserve">Inquéritos enviados </w:t>
            </w:r>
          </w:p>
        </w:tc>
        <w:tc>
          <w:tcPr>
            <w:tcW w:w="72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Amostra</w:t>
            </w:r>
          </w:p>
        </w:tc>
        <w:tc>
          <w:tcPr>
            <w:tcW w:w="52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Peso %</w:t>
            </w:r>
          </w:p>
        </w:tc>
        <w:tc>
          <w:tcPr>
            <w:tcW w:w="2058"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Porto</w:t>
            </w:r>
          </w:p>
        </w:tc>
        <w:tc>
          <w:tcPr>
            <w:tcW w:w="2325"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Terminal</w:t>
            </w:r>
          </w:p>
        </w:tc>
        <w:tc>
          <w:tcPr>
            <w:tcW w:w="720" w:type="dxa"/>
            <w:tcBorders>
              <w:top w:val="single" w:sz="4" w:space="0" w:color="auto"/>
              <w:left w:val="nil"/>
              <w:bottom w:val="single" w:sz="4" w:space="0" w:color="auto"/>
              <w:right w:val="nil"/>
            </w:tcBorders>
            <w:shd w:val="clear" w:color="000000" w:fill="FFFFFF"/>
            <w:vAlign w:val="center"/>
          </w:tcPr>
          <w:p w:rsidR="00F01235" w:rsidRPr="004D55DA" w:rsidRDefault="00F01235" w:rsidP="00F01235">
            <w:pPr>
              <w:jc w:val="center"/>
              <w:rPr>
                <w:rFonts w:ascii="Cambria" w:hAnsi="Cambria" w:cs="Calibri"/>
                <w:color w:val="000000"/>
                <w:sz w:val="14"/>
                <w:szCs w:val="18"/>
              </w:rPr>
            </w:pPr>
            <w:r w:rsidRPr="004D55DA">
              <w:rPr>
                <w:rFonts w:ascii="Cambria" w:hAnsi="Cambria" w:cs="Calibri"/>
                <w:color w:val="000000"/>
                <w:sz w:val="14"/>
                <w:szCs w:val="18"/>
              </w:rPr>
              <w:t>Amostra por terminal</w:t>
            </w:r>
          </w:p>
        </w:tc>
      </w:tr>
      <w:tr w:rsidR="00F01235" w:rsidRPr="004D55DA" w:rsidTr="00F01235">
        <w:trPr>
          <w:trHeight w:val="170"/>
        </w:trPr>
        <w:tc>
          <w:tcPr>
            <w:tcW w:w="859" w:type="dxa"/>
            <w:tcBorders>
              <w:top w:val="nil"/>
              <w:left w:val="nil"/>
              <w:bottom w:val="nil"/>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Dinamarca</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133</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9</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6,8</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Aarhus</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APM</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4</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Copenhagen</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CMP</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4</w:t>
            </w:r>
          </w:p>
        </w:tc>
      </w:tr>
      <w:tr w:rsidR="00F01235" w:rsidRPr="004D55DA" w:rsidTr="00F01235">
        <w:trPr>
          <w:trHeight w:val="170"/>
        </w:trPr>
        <w:tc>
          <w:tcPr>
            <w:tcW w:w="859" w:type="dxa"/>
            <w:tcBorders>
              <w:top w:val="nil"/>
              <w:left w:val="nil"/>
              <w:bottom w:val="single" w:sz="4" w:space="0" w:color="auto"/>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Fredericia</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Fredeicia Container Terminal</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Finlândia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10</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10,0</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Hamina</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Hamina</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França</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164</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11</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6,7</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Le Havre</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Terminal de France</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3</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Marsielle</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EUROFOS 2 XL</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5</w:t>
            </w:r>
          </w:p>
        </w:tc>
      </w:tr>
      <w:tr w:rsidR="00F01235" w:rsidRPr="004D55DA" w:rsidTr="00F01235">
        <w:trPr>
          <w:trHeight w:val="170"/>
        </w:trPr>
        <w:tc>
          <w:tcPr>
            <w:tcW w:w="859" w:type="dxa"/>
            <w:tcBorders>
              <w:top w:val="nil"/>
              <w:left w:val="nil"/>
              <w:bottom w:val="single" w:sz="4" w:space="0" w:color="auto"/>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Nantes Saint-Nazaire</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Terminal Grand Ouest (TGO)</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3</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Alemanha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76</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1,3</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Hamburg</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CTA</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Grécia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43</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2,3</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Piraeus</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PCT</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Islândia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9</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11,1</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Isafjordur</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Sundabakki</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Irlanda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25</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4,0</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Dublin</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Marine Terminals Limited</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Itália</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121</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8</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6,6</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Genoa</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SECH</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Naples</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Naples</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3</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Ravenna</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TCR</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Venice</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Venice</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3</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Letônia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7</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14,3</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Riga</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Baltic Container terminal</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Lituânia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5</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20,0</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Klaipeda</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JSC</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Malta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35</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5,7</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Marsaxlokk</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Malta Freeport</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2</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Holanda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69</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2,9</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Rotterdam</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ECT</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2</w:t>
            </w:r>
          </w:p>
        </w:tc>
      </w:tr>
      <w:tr w:rsidR="00F01235" w:rsidRPr="004D55DA" w:rsidTr="00F01235">
        <w:trPr>
          <w:trHeight w:val="170"/>
        </w:trPr>
        <w:tc>
          <w:tcPr>
            <w:tcW w:w="859"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Eslovénia</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12</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8,3</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Koper</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lang w:val="en-US"/>
              </w:rPr>
            </w:pPr>
            <w:r w:rsidRPr="004D55DA">
              <w:rPr>
                <w:rFonts w:ascii="Cambria" w:hAnsi="Cambria" w:cs="Calibri"/>
                <w:color w:val="000000"/>
                <w:sz w:val="14"/>
                <w:szCs w:val="16"/>
                <w:lang w:val="en-US"/>
              </w:rPr>
              <w:t>Container terminal Port of Koper</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Suécia</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41</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2</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4,9</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Gothenburg</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APMT</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single" w:sz="4" w:space="0" w:color="auto"/>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Helsinki</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Vuosaari</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Reino Unido</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176</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12</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6,8</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Belfast</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Victoria terminal 3</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2</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Cardiff</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Cardiff Container Terminal</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1</w:t>
            </w:r>
          </w:p>
        </w:tc>
      </w:tr>
      <w:tr w:rsidR="00F01235" w:rsidRPr="004D55DA" w:rsidTr="00F01235">
        <w:trPr>
          <w:trHeight w:val="170"/>
        </w:trPr>
        <w:tc>
          <w:tcPr>
            <w:tcW w:w="859" w:type="dxa"/>
            <w:tcBorders>
              <w:top w:val="nil"/>
              <w:left w:val="nil"/>
              <w:bottom w:val="nil"/>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Felixstowe</w:t>
            </w:r>
          </w:p>
        </w:tc>
        <w:tc>
          <w:tcPr>
            <w:tcW w:w="2325" w:type="dxa"/>
            <w:tcBorders>
              <w:top w:val="nil"/>
              <w:left w:val="nil"/>
              <w:bottom w:val="nil"/>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Trinity</w:t>
            </w:r>
          </w:p>
        </w:tc>
        <w:tc>
          <w:tcPr>
            <w:tcW w:w="720" w:type="dxa"/>
            <w:tcBorders>
              <w:top w:val="nil"/>
              <w:left w:val="nil"/>
              <w:bottom w:val="nil"/>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5</w:t>
            </w:r>
          </w:p>
        </w:tc>
      </w:tr>
      <w:tr w:rsidR="00F01235" w:rsidRPr="004D55DA" w:rsidTr="00F01235">
        <w:trPr>
          <w:trHeight w:val="170"/>
        </w:trPr>
        <w:tc>
          <w:tcPr>
            <w:tcW w:w="859" w:type="dxa"/>
            <w:tcBorders>
              <w:top w:val="nil"/>
              <w:left w:val="nil"/>
              <w:bottom w:val="single" w:sz="4" w:space="0" w:color="auto"/>
              <w:right w:val="nil"/>
            </w:tcBorders>
            <w:shd w:val="clear" w:color="000000" w:fill="FFFFFF"/>
            <w:noWrap/>
            <w:vAlign w:val="center"/>
          </w:tcPr>
          <w:p w:rsidR="00F01235" w:rsidRPr="004D55DA" w:rsidRDefault="00F01235" w:rsidP="00F01235">
            <w:pPr>
              <w:rPr>
                <w:rFonts w:ascii="Cambria" w:hAnsi="Cambria" w:cs="Calibri"/>
                <w:sz w:val="14"/>
                <w:szCs w:val="16"/>
              </w:rPr>
            </w:pPr>
            <w:r w:rsidRPr="004D55DA">
              <w:rPr>
                <w:rFonts w:ascii="Cambria" w:hAnsi="Cambria" w:cs="Calibri"/>
                <w:sz w:val="14"/>
                <w:szCs w:val="16"/>
              </w:rPr>
              <w:t> </w:t>
            </w:r>
          </w:p>
        </w:tc>
        <w:tc>
          <w:tcPr>
            <w:tcW w:w="1298" w:type="dxa"/>
            <w:tcBorders>
              <w:top w:val="nil"/>
              <w:left w:val="nil"/>
              <w:bottom w:val="single" w:sz="4" w:space="0" w:color="auto"/>
              <w:right w:val="nil"/>
            </w:tcBorders>
            <w:shd w:val="clear" w:color="000000" w:fill="FFFFFF"/>
          </w:tcPr>
          <w:p w:rsidR="00F01235" w:rsidRPr="004D55DA" w:rsidRDefault="00F01235" w:rsidP="00F01235">
            <w:pPr>
              <w:rPr>
                <w:rFonts w:ascii="Cambria" w:hAnsi="Cambria" w:cs="Calibri"/>
                <w:color w:val="000000"/>
                <w:sz w:val="14"/>
                <w:szCs w:val="16"/>
              </w:rPr>
            </w:pPr>
            <w:r w:rsidRPr="004D55DA">
              <w:rPr>
                <w:rFonts w:ascii="Cambria" w:hAnsi="Cambria" w:cs="Calibri"/>
                <w:color w:val="000000"/>
                <w:sz w:val="14"/>
                <w:szCs w:val="16"/>
              </w:rPr>
              <w:t> </w:t>
            </w:r>
          </w:p>
        </w:tc>
        <w:tc>
          <w:tcPr>
            <w:tcW w:w="7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520"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 </w:t>
            </w:r>
          </w:p>
        </w:tc>
        <w:tc>
          <w:tcPr>
            <w:tcW w:w="2058"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Southampton</w:t>
            </w:r>
          </w:p>
        </w:tc>
        <w:tc>
          <w:tcPr>
            <w:tcW w:w="2325" w:type="dxa"/>
            <w:tcBorders>
              <w:top w:val="nil"/>
              <w:left w:val="nil"/>
              <w:bottom w:val="single" w:sz="4" w:space="0" w:color="auto"/>
              <w:right w:val="nil"/>
            </w:tcBorders>
            <w:shd w:val="clear" w:color="000000" w:fill="FFFFFF"/>
          </w:tcPr>
          <w:p w:rsidR="00F01235" w:rsidRPr="004D55DA" w:rsidRDefault="00F01235" w:rsidP="00F01235">
            <w:pPr>
              <w:jc w:val="center"/>
              <w:rPr>
                <w:rFonts w:ascii="Cambria" w:hAnsi="Cambria" w:cs="Calibri"/>
                <w:color w:val="000000"/>
                <w:sz w:val="14"/>
                <w:szCs w:val="16"/>
              </w:rPr>
            </w:pPr>
            <w:r w:rsidRPr="004D55DA">
              <w:rPr>
                <w:rFonts w:ascii="Cambria" w:hAnsi="Cambria" w:cs="Calibri"/>
                <w:color w:val="000000"/>
                <w:sz w:val="14"/>
                <w:szCs w:val="16"/>
              </w:rPr>
              <w:t>DPW</w:t>
            </w:r>
          </w:p>
        </w:tc>
        <w:tc>
          <w:tcPr>
            <w:tcW w:w="720" w:type="dxa"/>
            <w:tcBorders>
              <w:top w:val="nil"/>
              <w:left w:val="nil"/>
              <w:bottom w:val="single" w:sz="4" w:space="0" w:color="auto"/>
              <w:right w:val="nil"/>
            </w:tcBorders>
            <w:shd w:val="clear" w:color="000000" w:fill="FFFFFF"/>
            <w:noWrap/>
          </w:tcPr>
          <w:p w:rsidR="00F01235" w:rsidRPr="004D55DA" w:rsidRDefault="00F01235" w:rsidP="00F01235">
            <w:pPr>
              <w:jc w:val="right"/>
              <w:rPr>
                <w:rFonts w:ascii="Cambria" w:hAnsi="Cambria" w:cs="Calibri"/>
                <w:color w:val="000000"/>
                <w:sz w:val="14"/>
                <w:szCs w:val="16"/>
              </w:rPr>
            </w:pPr>
            <w:r w:rsidRPr="004D55DA">
              <w:rPr>
                <w:rFonts w:ascii="Cambria" w:hAnsi="Cambria" w:cs="Calibri"/>
                <w:color w:val="000000"/>
                <w:sz w:val="14"/>
                <w:szCs w:val="16"/>
              </w:rPr>
              <w:t>4</w:t>
            </w:r>
          </w:p>
        </w:tc>
      </w:tr>
      <w:tr w:rsidR="00F01235" w:rsidRPr="004D55DA" w:rsidTr="00F01235">
        <w:trPr>
          <w:trHeight w:val="228"/>
        </w:trPr>
        <w:tc>
          <w:tcPr>
            <w:tcW w:w="859"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Calibri"/>
                <w:sz w:val="14"/>
                <w:szCs w:val="16"/>
              </w:rPr>
            </w:pPr>
            <w:r w:rsidRPr="004D55DA">
              <w:rPr>
                <w:rFonts w:ascii="Cambria" w:hAnsi="Cambria" w:cs="Calibri"/>
                <w:sz w:val="14"/>
                <w:szCs w:val="16"/>
              </w:rPr>
              <w:t>Total Amostra</w:t>
            </w:r>
          </w:p>
        </w:tc>
        <w:tc>
          <w:tcPr>
            <w:tcW w:w="1298"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926</w:t>
            </w:r>
          </w:p>
        </w:tc>
        <w:tc>
          <w:tcPr>
            <w:tcW w:w="72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54</w:t>
            </w:r>
          </w:p>
        </w:tc>
        <w:tc>
          <w:tcPr>
            <w:tcW w:w="52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5,8</w:t>
            </w:r>
          </w:p>
        </w:tc>
        <w:tc>
          <w:tcPr>
            <w:tcW w:w="2058"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26 portos (15 países)</w:t>
            </w:r>
          </w:p>
        </w:tc>
        <w:tc>
          <w:tcPr>
            <w:tcW w:w="2325"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sz w:val="14"/>
                <w:szCs w:val="16"/>
              </w:rPr>
            </w:pPr>
            <w:r w:rsidRPr="004D55DA">
              <w:rPr>
                <w:rFonts w:ascii="Cambria" w:hAnsi="Cambria" w:cs="Calibri"/>
                <w:sz w:val="14"/>
                <w:szCs w:val="16"/>
              </w:rPr>
              <w:t>26 terminais</w:t>
            </w:r>
          </w:p>
        </w:tc>
        <w:tc>
          <w:tcPr>
            <w:tcW w:w="720" w:type="dxa"/>
            <w:tcBorders>
              <w:top w:val="nil"/>
              <w:left w:val="nil"/>
              <w:bottom w:val="single" w:sz="4" w:space="0" w:color="auto"/>
              <w:right w:val="nil"/>
            </w:tcBorders>
            <w:shd w:val="clear" w:color="000000" w:fill="FFFFFF"/>
            <w:noWrap/>
            <w:vAlign w:val="bottom"/>
          </w:tcPr>
          <w:p w:rsidR="00F01235" w:rsidRPr="004D55DA" w:rsidRDefault="00F01235" w:rsidP="00F01235">
            <w:pPr>
              <w:jc w:val="right"/>
              <w:rPr>
                <w:rFonts w:ascii="Cambria" w:hAnsi="Cambria" w:cs="Calibri"/>
                <w:sz w:val="14"/>
                <w:szCs w:val="18"/>
              </w:rPr>
            </w:pPr>
            <w:r w:rsidRPr="004D55DA">
              <w:rPr>
                <w:rFonts w:ascii="Cambria" w:hAnsi="Cambria" w:cs="Calibri"/>
                <w:sz w:val="14"/>
                <w:szCs w:val="18"/>
              </w:rPr>
              <w:t>54</w:t>
            </w:r>
          </w:p>
        </w:tc>
      </w:tr>
      <w:tr w:rsidR="00F01235" w:rsidRPr="004D55DA" w:rsidTr="00F01235">
        <w:trPr>
          <w:trHeight w:val="204"/>
        </w:trPr>
        <w:tc>
          <w:tcPr>
            <w:tcW w:w="859"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População</w:t>
            </w:r>
          </w:p>
        </w:tc>
        <w:tc>
          <w:tcPr>
            <w:tcW w:w="1298"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c>
          <w:tcPr>
            <w:tcW w:w="720"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 </w:t>
            </w:r>
          </w:p>
        </w:tc>
        <w:tc>
          <w:tcPr>
            <w:tcW w:w="520"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c>
          <w:tcPr>
            <w:tcW w:w="2058"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230 portos europeus</w:t>
            </w:r>
          </w:p>
        </w:tc>
        <w:tc>
          <w:tcPr>
            <w:tcW w:w="2325" w:type="dxa"/>
            <w:tcBorders>
              <w:top w:val="nil"/>
              <w:left w:val="nil"/>
              <w:bottom w:val="nil"/>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p>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300 terminais na Europa (estimativa do Autor)</w:t>
            </w:r>
          </w:p>
        </w:tc>
        <w:tc>
          <w:tcPr>
            <w:tcW w:w="720" w:type="dxa"/>
            <w:tcBorders>
              <w:top w:val="nil"/>
              <w:left w:val="nil"/>
              <w:bottom w:val="nil"/>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r>
      <w:tr w:rsidR="00F01235" w:rsidRPr="004D55DA" w:rsidTr="00F01235">
        <w:trPr>
          <w:trHeight w:val="204"/>
        </w:trPr>
        <w:tc>
          <w:tcPr>
            <w:tcW w:w="859"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c>
          <w:tcPr>
            <w:tcW w:w="1298"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c>
          <w:tcPr>
            <w:tcW w:w="720"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 </w:t>
            </w:r>
          </w:p>
        </w:tc>
        <w:tc>
          <w:tcPr>
            <w:tcW w:w="520"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c>
          <w:tcPr>
            <w:tcW w:w="2058"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11,3%</w:t>
            </w:r>
          </w:p>
          <w:p w:rsidR="00F01235" w:rsidRPr="004D55DA" w:rsidRDefault="00F01235" w:rsidP="00F01235">
            <w:pPr>
              <w:jc w:val="center"/>
              <w:rPr>
                <w:rFonts w:ascii="Cambria" w:hAnsi="Cambria" w:cs="Calibri"/>
                <w:i/>
                <w:color w:val="000000"/>
                <w:sz w:val="14"/>
                <w:szCs w:val="16"/>
              </w:rPr>
            </w:pPr>
          </w:p>
        </w:tc>
        <w:tc>
          <w:tcPr>
            <w:tcW w:w="2325" w:type="dxa"/>
            <w:tcBorders>
              <w:top w:val="nil"/>
              <w:left w:val="nil"/>
              <w:bottom w:val="single" w:sz="4" w:space="0" w:color="auto"/>
              <w:right w:val="nil"/>
            </w:tcBorders>
            <w:shd w:val="clear" w:color="000000" w:fill="FFFFFF"/>
            <w:noWrap/>
            <w:vAlign w:val="bottom"/>
          </w:tcPr>
          <w:p w:rsidR="00F01235" w:rsidRPr="004D55DA" w:rsidRDefault="00F01235" w:rsidP="00F01235">
            <w:pPr>
              <w:jc w:val="center"/>
              <w:rPr>
                <w:rFonts w:ascii="Cambria" w:hAnsi="Cambria" w:cs="Calibri"/>
                <w:i/>
                <w:color w:val="000000"/>
                <w:sz w:val="14"/>
                <w:szCs w:val="16"/>
              </w:rPr>
            </w:pPr>
            <w:r w:rsidRPr="004D55DA">
              <w:rPr>
                <w:rFonts w:ascii="Cambria" w:hAnsi="Cambria" w:cs="Calibri"/>
                <w:i/>
                <w:color w:val="000000"/>
                <w:sz w:val="14"/>
                <w:szCs w:val="16"/>
              </w:rPr>
              <w:t>8,7%</w:t>
            </w:r>
          </w:p>
          <w:p w:rsidR="00F01235" w:rsidRPr="004D55DA" w:rsidRDefault="00F01235" w:rsidP="00F01235">
            <w:pPr>
              <w:jc w:val="center"/>
              <w:rPr>
                <w:rFonts w:ascii="Cambria" w:hAnsi="Cambria" w:cs="Calibri"/>
                <w:i/>
                <w:color w:val="000000"/>
                <w:sz w:val="14"/>
                <w:szCs w:val="16"/>
              </w:rPr>
            </w:pPr>
          </w:p>
        </w:tc>
        <w:tc>
          <w:tcPr>
            <w:tcW w:w="720" w:type="dxa"/>
            <w:tcBorders>
              <w:top w:val="nil"/>
              <w:left w:val="nil"/>
              <w:bottom w:val="single" w:sz="4" w:space="0" w:color="auto"/>
              <w:right w:val="nil"/>
            </w:tcBorders>
            <w:shd w:val="clear" w:color="000000" w:fill="FFFFFF"/>
            <w:noWrap/>
            <w:vAlign w:val="bottom"/>
          </w:tcPr>
          <w:p w:rsidR="00F01235" w:rsidRPr="004D55DA" w:rsidRDefault="00F01235" w:rsidP="00F01235">
            <w:pPr>
              <w:rPr>
                <w:rFonts w:ascii="Cambria" w:hAnsi="Cambria" w:cs="Calibri"/>
                <w:i/>
                <w:color w:val="000000"/>
                <w:sz w:val="14"/>
                <w:szCs w:val="16"/>
              </w:rPr>
            </w:pPr>
            <w:r w:rsidRPr="004D55DA">
              <w:rPr>
                <w:rFonts w:ascii="Cambria" w:hAnsi="Cambria" w:cs="Calibri"/>
                <w:i/>
                <w:color w:val="000000"/>
                <w:sz w:val="14"/>
                <w:szCs w:val="16"/>
              </w:rPr>
              <w:t> </w:t>
            </w:r>
          </w:p>
        </w:tc>
      </w:tr>
    </w:tbl>
    <w:p w:rsidR="00F01235" w:rsidRPr="004D55DA" w:rsidRDefault="00F01235" w:rsidP="00F01235">
      <w:r w:rsidRPr="004D55DA">
        <w:br w:type="page"/>
      </w:r>
    </w:p>
    <w:p w:rsidR="00F01235" w:rsidRDefault="00F01235"/>
    <w:p w:rsidR="00104A12" w:rsidRPr="004D55DA" w:rsidRDefault="00104A12" w:rsidP="001A0B71">
      <w:pPr>
        <w:spacing w:line="360" w:lineRule="auto"/>
        <w:jc w:val="both"/>
      </w:pPr>
    </w:p>
    <w:p w:rsidR="00104A12" w:rsidRPr="004D55DA" w:rsidRDefault="00104A12" w:rsidP="007F7964">
      <w:pPr>
        <w:spacing w:line="360" w:lineRule="auto"/>
        <w:jc w:val="both"/>
      </w:pPr>
    </w:p>
    <w:p w:rsidR="00104A12" w:rsidRPr="00BE6593" w:rsidRDefault="00104A12" w:rsidP="00D216EA">
      <w:pPr>
        <w:pStyle w:val="Cabealho2"/>
        <w:ind w:left="0" w:firstLine="0"/>
        <w:rPr>
          <w:sz w:val="24"/>
          <w:szCs w:val="24"/>
          <w:lang w:val="pt-PT"/>
        </w:rPr>
      </w:pPr>
      <w:bookmarkStart w:id="90" w:name="_Toc395730142"/>
      <w:r w:rsidRPr="00BE6593">
        <w:rPr>
          <w:sz w:val="24"/>
          <w:szCs w:val="24"/>
          <w:lang w:val="pt-PT"/>
        </w:rPr>
        <w:t>Técnicas estatísticas</w:t>
      </w:r>
      <w:bookmarkEnd w:id="90"/>
      <w:r w:rsidR="00FC05CE" w:rsidRPr="00BE6593">
        <w:rPr>
          <w:sz w:val="24"/>
          <w:szCs w:val="24"/>
          <w:lang w:val="pt-PT"/>
        </w:rPr>
        <w:fldChar w:fldCharType="begin"/>
      </w:r>
      <w:r w:rsidR="00FC05CE" w:rsidRPr="00BE6593">
        <w:rPr>
          <w:sz w:val="24"/>
          <w:szCs w:val="24"/>
        </w:rPr>
        <w:instrText xml:space="preserve"> XE "</w:instrText>
      </w:r>
      <w:r w:rsidR="00FC05CE" w:rsidRPr="00BE6593">
        <w:rPr>
          <w:sz w:val="24"/>
          <w:szCs w:val="24"/>
          <w:lang w:val="pt-PT"/>
        </w:rPr>
        <w:instrText>Técnicas estatísticas</w:instrText>
      </w:r>
      <w:r w:rsidR="00FC05CE" w:rsidRPr="00BE6593">
        <w:rPr>
          <w:sz w:val="24"/>
          <w:szCs w:val="24"/>
        </w:rPr>
        <w:instrText xml:space="preserve">" </w:instrText>
      </w:r>
      <w:r w:rsidR="00FC05CE" w:rsidRPr="00BE6593">
        <w:rPr>
          <w:sz w:val="24"/>
          <w:szCs w:val="24"/>
          <w:lang w:val="pt-PT"/>
        </w:rPr>
        <w:fldChar w:fldCharType="end"/>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técnicas estatísticas utilizadas, por um lado, serviram para a análise e tratamento dos dados quantitativos recolhidos, caso da DEA </w:t>
      </w:r>
      <w:r w:rsidR="00822F09">
        <w:t>–</w:t>
      </w:r>
      <w:r w:rsidRPr="004D55DA">
        <w:t xml:space="preserve"> </w:t>
      </w:r>
      <w:r w:rsidR="00822F09">
        <w:t>“</w:t>
      </w:r>
      <w:r w:rsidR="004E39C3" w:rsidRPr="004D55DA">
        <w:t>d</w:t>
      </w:r>
      <w:r w:rsidRPr="004D55DA">
        <w:t xml:space="preserve">ata </w:t>
      </w:r>
      <w:r w:rsidR="004E39C3" w:rsidRPr="004D55DA">
        <w:t>e</w:t>
      </w:r>
      <w:r w:rsidRPr="004D55DA">
        <w:t xml:space="preserve">nvelopment </w:t>
      </w:r>
      <w:r w:rsidR="004E39C3" w:rsidRPr="004D55DA">
        <w:t>a</w:t>
      </w:r>
      <w:r w:rsidRPr="004D55DA">
        <w:t>nalysis</w:t>
      </w:r>
      <w:r w:rsidR="00822F09">
        <w:t>”</w:t>
      </w:r>
      <w:r w:rsidRPr="004D55DA">
        <w:t xml:space="preserve">, visando o cálculo da eficiência dos terminais. Por outro, serviram para a análise e tratamento dos dados recolhidos no seu conjunto, caso da regressão, análise </w:t>
      </w:r>
      <w:r w:rsidR="00D36A58">
        <w:t>de componentes principais</w:t>
      </w:r>
      <w:r w:rsidRPr="004D55DA">
        <w:t xml:space="preserve"> e sistemas de equações estruturais.</w:t>
      </w:r>
    </w:p>
    <w:p w:rsidR="00104A12" w:rsidRPr="004D55DA" w:rsidRDefault="00104A12" w:rsidP="007F7964">
      <w:pPr>
        <w:spacing w:line="360" w:lineRule="auto"/>
        <w:jc w:val="both"/>
      </w:pPr>
    </w:p>
    <w:p w:rsidR="00104A12" w:rsidRPr="00D713C2" w:rsidRDefault="00104A12" w:rsidP="00D216EA">
      <w:pPr>
        <w:pStyle w:val="Cabealho3"/>
        <w:numPr>
          <w:ilvl w:val="2"/>
          <w:numId w:val="14"/>
        </w:numPr>
        <w:ind w:left="0" w:firstLine="0"/>
        <w:rPr>
          <w:sz w:val="24"/>
          <w:szCs w:val="24"/>
          <w:u w:val="none"/>
        </w:rPr>
      </w:pPr>
      <w:bookmarkStart w:id="91" w:name="_Toc395292653"/>
      <w:bookmarkStart w:id="92" w:name="_Toc395730143"/>
      <w:r w:rsidRPr="00D713C2">
        <w:rPr>
          <w:sz w:val="24"/>
          <w:szCs w:val="24"/>
          <w:u w:val="none"/>
        </w:rPr>
        <w:t xml:space="preserve">DEA, </w:t>
      </w:r>
      <w:r w:rsidR="00822F09">
        <w:rPr>
          <w:sz w:val="24"/>
          <w:szCs w:val="24"/>
          <w:u w:val="none"/>
        </w:rPr>
        <w:t>“</w:t>
      </w:r>
      <w:r w:rsidRPr="00D713C2">
        <w:rPr>
          <w:sz w:val="24"/>
          <w:szCs w:val="24"/>
          <w:u w:val="none"/>
        </w:rPr>
        <w:t>data envelopment analysis</w:t>
      </w:r>
      <w:bookmarkEnd w:id="91"/>
      <w:bookmarkEnd w:id="92"/>
      <w:r w:rsidR="00822F09">
        <w:rPr>
          <w:sz w:val="24"/>
          <w:szCs w:val="24"/>
          <w:u w:val="none"/>
        </w:rPr>
        <w:t>”</w:t>
      </w:r>
      <w:r w:rsidR="00FC05CE" w:rsidRPr="00D713C2">
        <w:rPr>
          <w:sz w:val="24"/>
          <w:szCs w:val="24"/>
          <w:u w:val="none"/>
        </w:rPr>
        <w:fldChar w:fldCharType="begin"/>
      </w:r>
      <w:r w:rsidR="00FC05CE" w:rsidRPr="00D713C2">
        <w:rPr>
          <w:sz w:val="24"/>
          <w:szCs w:val="24"/>
        </w:rPr>
        <w:instrText xml:space="preserve"> XE "</w:instrText>
      </w:r>
      <w:r w:rsidR="00FC05CE" w:rsidRPr="00D713C2">
        <w:rPr>
          <w:sz w:val="24"/>
          <w:szCs w:val="24"/>
          <w:u w:val="none"/>
        </w:rPr>
        <w:instrText>data envelopment analysis</w:instrText>
      </w:r>
      <w:r w:rsidR="00FC05CE" w:rsidRPr="00D713C2">
        <w:rPr>
          <w:sz w:val="24"/>
          <w:szCs w:val="24"/>
        </w:rPr>
        <w:instrText xml:space="preserve">" </w:instrText>
      </w:r>
      <w:r w:rsidR="00FC05CE" w:rsidRPr="00D713C2">
        <w:rPr>
          <w:sz w:val="24"/>
          <w:szCs w:val="24"/>
          <w:u w:val="none"/>
        </w:rPr>
        <w:fldChar w:fldCharType="end"/>
      </w:r>
    </w:p>
    <w:p w:rsidR="00104A12" w:rsidRPr="004D55DA" w:rsidRDefault="00104A12" w:rsidP="007F7964">
      <w:pPr>
        <w:spacing w:line="360" w:lineRule="auto"/>
        <w:jc w:val="both"/>
        <w:rPr>
          <w:b/>
        </w:rPr>
      </w:pPr>
    </w:p>
    <w:p w:rsidR="00104A12" w:rsidRPr="004D55DA" w:rsidRDefault="00104A12" w:rsidP="007F7964">
      <w:pPr>
        <w:spacing w:line="360" w:lineRule="auto"/>
        <w:jc w:val="both"/>
      </w:pPr>
      <w:r w:rsidRPr="004D55DA">
        <w:t xml:space="preserve">Além de compreender o efeito dos </w:t>
      </w:r>
      <w:r w:rsidR="00136906" w:rsidRPr="004D55DA">
        <w:t>fatores</w:t>
      </w:r>
      <w:r w:rsidRPr="004D55DA">
        <w:t xml:space="preserve"> de caracterização dos portos nos outputs de desempenho, medidos em unidades físicas de carga movimentada ou unidades monetárias resultantes das operações de movimentação de cargas e navios, de forma absoluta ou relativa a determinado </w:t>
      </w:r>
      <w:r w:rsidR="00822F09">
        <w:t>“</w:t>
      </w:r>
      <w:r w:rsidRPr="004D55DA">
        <w:t>input</w:t>
      </w:r>
      <w:r w:rsidR="00822F09">
        <w:t>”</w:t>
      </w:r>
      <w:r w:rsidRPr="004D55DA">
        <w:t xml:space="preserve"> ou </w:t>
      </w:r>
      <w:r w:rsidR="00822F09">
        <w:t>“</w:t>
      </w:r>
      <w:r w:rsidRPr="004D55DA">
        <w:t>output</w:t>
      </w:r>
      <w:r w:rsidR="00822F09">
        <w:t>”</w:t>
      </w:r>
      <w:r w:rsidRPr="004D55DA">
        <w:t xml:space="preserve">, pretendeu-se ainda compreender também o efeito daqueles </w:t>
      </w:r>
      <w:r w:rsidR="00136906" w:rsidRPr="004D55DA">
        <w:t>fatores</w:t>
      </w:r>
      <w:r w:rsidRPr="004D55DA">
        <w:t xml:space="preserve"> sobre a eficiência do porto medida de modo multivariável, tendo em conta o carácter multifacetado quer dos inputs, quer dos outputs do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w:t>
      </w:r>
      <w:r w:rsidR="00822F09">
        <w:t>a</w:t>
      </w:r>
      <w:r w:rsidR="00822F09" w:rsidRPr="004D55DA">
        <w:t xml:space="preserve">nálise </w:t>
      </w:r>
      <w:r w:rsidRPr="004D55DA">
        <w:t>DEA foi utilizada neste estudo apenas para a determinação da variável explicada eficiência, calculada em termos relativos a partir de variáveis quantitativas de cada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DEA foi originalmente desenvolvida por Charnes, Cooper e Rhodes (1978), sendo uma metodologia que permite comparar a eficiência relativa de unidades produtivas complexas, tais como portos, escolas, hospitais, agências bancárias, entre outros.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Desde a primeira publicação em 1978, a metodologia DEA tem vindo a ser desenvolvida, registando inúmeras aplicações que têm demonstrado como esta técnica pode ser considerada uma ferramenta importante para avaliação de eficiência. Por exemplo, Ahn, Charnes e Cooper (1988) avaliaram a eficiência relativa de universidades públicas e privadas.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Esta metodologia permite medir a eficiência relativa de unidades de tomada de decisão (DMU-</w:t>
      </w:r>
      <w:r w:rsidR="00822F09">
        <w:t>“</w:t>
      </w:r>
      <w:r w:rsidRPr="004D55DA">
        <w:t>Decision Making Units</w:t>
      </w:r>
      <w:r w:rsidR="00822F09">
        <w:t>”</w:t>
      </w:r>
      <w:r w:rsidRPr="004D55DA">
        <w:t xml:space="preserve">), que desempenham tarefas que consistem em transformar múltiplos inputs em múltiplos outputs.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análise DEA envolve a tarefa de selecionar </w:t>
      </w:r>
      <w:r w:rsidR="00822F09">
        <w:t>“</w:t>
      </w:r>
      <w:r w:rsidRPr="004D55DA">
        <w:t>inputs</w:t>
      </w:r>
      <w:r w:rsidR="00822F09">
        <w:t>”</w:t>
      </w:r>
      <w:r w:rsidRPr="004D55DA">
        <w:t xml:space="preserve"> e </w:t>
      </w:r>
      <w:r w:rsidR="00822F09">
        <w:t>“</w:t>
      </w:r>
      <w:r w:rsidRPr="004D55DA">
        <w:t>outputs</w:t>
      </w:r>
      <w:r w:rsidR="00822F09">
        <w:t>”</w:t>
      </w:r>
      <w:r w:rsidRPr="004D55DA">
        <w:t xml:space="preserve"> para produzir uma função de produção empírica que é baseada no comportamento "ótimo" observado. O modelo DEA compara cada uma das DMUs com a melhor prática observada, para obter a medida de eficiência relativa. Cada DMU é então classificada como sendo eficiente ou ineficiente (Moita, 1995).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principais resultados obtidos na aplicação de um modelo DEA incluem a possibilidade de identificar o conjunto das DMUs eficientes (que determinam a fronteira de produção eficiente), bem como, os seus níveis de eficiência e obter os índices de eficiência das DMUs ineficientes (as DMUs ineficientes não se encontram na fronteira de produção).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DEA permite ainda com os resultados obtidos, que um gestor portuário possa identificar as próximas metas, tendo como comparação os melhores portos da fronteira e indica o conjunto de DMUs “benchmarks” (referência) de cada DMU ineficiente.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metodologia DEA estrutura-se segundo dois modelos diferentes, conhecidos como CCR desenvolvido por Charnes, Cooper e Rhodes (1978) e BCC desenvolvido por Banker, Charnes e Cooper (1984)</w:t>
      </w:r>
      <w:r w:rsidR="00822F09">
        <w:t xml:space="preserve"> (Figura 13)</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BCC (Banker, Charnes e Cooper), utilizado no presente estudo, faz a avaliação da eficiência técnica global, mas admite retornos crescentes com a escala e parece aplicar-se aos portos, devido ao efeito de escala e de aprendizagem que foi verificado em diversos estudos, embora esta ainda seja uma matéria em discussão. Já o modelo CCR (Charnes, Cooper e Rhodes) admite a possibilidade de retornos constantes de escala, ou seja, se uma unidade avaliada aumentar os recursos, a produção deverá aumentar na mesma proporção, assim como, se esta unidade diminuir os recursos, a produção deverá reduzir-se na mesma proporção.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Vale a pena salientar ainda que a análise DEA é uma técnica de pesquisa operacional, cujo objetivo é analisar comparativamente unidades independentes.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Por se tratar de uma ferramenta não-paramétrica a DEA distingue-se das aproximações paramétricas, que otimizam um plano de regressão a partir das observações, portanto, a DEA otimiza cada observação individual com o objetivo de se calcular uma fronteira de eficiências, determinada pelas unidades que são Pareto eficientes.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Esta técnica tem sido aplicada em diversos estudos, dos mais diversos sectores, nomeadamente no sector portuário. De acordo com Cullinane </w:t>
      </w:r>
      <w:r w:rsidRPr="00D713C2">
        <w:rPr>
          <w:i/>
        </w:rPr>
        <w:t>et al.</w:t>
      </w:r>
      <w:r w:rsidRPr="004D55DA">
        <w:t xml:space="preserve"> (2004), a DEA é uma das mais importantes técnicas para medir a eficiência nos portos.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BCC determina uma fronteira VRS (“variable returns to scale”) e diferencia-se do modelo CRS por considerar a possibilidade de rendimentos crescentes ou decrescentes de escala na fronteira eficiente.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É assumida a existência de n unidades de tomada de decisão (DMUs) a serem avaliadas. Cada DMU consome montantes variados de diferentes </w:t>
      </w:r>
      <w:r w:rsidR="00822F09">
        <w:t>“</w:t>
      </w:r>
      <w:r w:rsidRPr="004D55DA">
        <w:t>inputs</w:t>
      </w:r>
      <w:r w:rsidR="00822F09">
        <w:t>”</w:t>
      </w:r>
      <w:r w:rsidRPr="004D55DA">
        <w:t xml:space="preserve"> para produzir </w:t>
      </w:r>
      <w:r w:rsidRPr="004D55DA">
        <w:rPr>
          <w:b/>
        </w:rPr>
        <w:t>s</w:t>
      </w:r>
      <w:r w:rsidRPr="004D55DA">
        <w:t xml:space="preserve"> diferentes produtos.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Especificamente, </w:t>
      </w:r>
      <m:oMath>
        <m:r>
          <w:rPr>
            <w:rFonts w:ascii="Cambria Math" w:hAnsi="Cambria Math"/>
          </w:rPr>
          <m:t xml:space="preserve">DMUj (j = 1,...,n) </m:t>
        </m:r>
      </m:oMath>
      <w:r w:rsidRPr="004D55DA">
        <w:t xml:space="preserve">consome um montante </w:t>
      </w:r>
      <m:oMath>
        <m:r>
          <w:rPr>
            <w:rFonts w:ascii="Cambria Math" w:hAnsi="Cambria Math"/>
          </w:rPr>
          <m:t>Xj = (x</m:t>
        </m:r>
        <m:r>
          <w:rPr>
            <w:rFonts w:ascii="Cambria Math" w:hAnsi="Cambria Math"/>
            <w:vertAlign w:val="subscript"/>
          </w:rPr>
          <m:t>ij</m:t>
        </m:r>
        <m:r>
          <w:rPr>
            <w:rFonts w:ascii="Cambria Math" w:hAnsi="Cambria Math"/>
          </w:rPr>
          <m:t>)</m:t>
        </m:r>
      </m:oMath>
      <w:r w:rsidRPr="004D55DA">
        <w:t xml:space="preserve"> de </w:t>
      </w:r>
      <w:r w:rsidR="00822F09">
        <w:t>“</w:t>
      </w:r>
      <w:r w:rsidRPr="004D55DA">
        <w:t>inputs</w:t>
      </w:r>
      <w:r w:rsidR="00822F09">
        <w:t>”</w:t>
      </w:r>
      <w:r w:rsidRPr="004D55DA">
        <w:t xml:space="preserve"> </w:t>
      </w:r>
      <m:oMath>
        <m:r>
          <w:rPr>
            <w:rFonts w:ascii="Cambria Math" w:hAnsi="Cambria Math"/>
          </w:rPr>
          <m:t>(i = 1,...,m)</m:t>
        </m:r>
      </m:oMath>
      <w:r w:rsidRPr="004D55DA">
        <w:t xml:space="preserve"> e produz um montante </w:t>
      </w:r>
      <m:oMath>
        <m:r>
          <w:rPr>
            <w:rFonts w:ascii="Cambria Math" w:hAnsi="Cambria Math"/>
          </w:rPr>
          <m:t>Yj = (y</m:t>
        </m:r>
        <m:r>
          <w:rPr>
            <w:rFonts w:ascii="Cambria Math" w:hAnsi="Cambria Math"/>
            <w:vertAlign w:val="subscript"/>
          </w:rPr>
          <m:t>rj</m:t>
        </m:r>
        <m:r>
          <w:rPr>
            <w:rFonts w:ascii="Cambria Math" w:hAnsi="Cambria Math"/>
          </w:rPr>
          <m:t>)</m:t>
        </m:r>
      </m:oMath>
      <w:r w:rsidRPr="004D55DA">
        <w:t xml:space="preserve"> de produtos </w:t>
      </w:r>
      <m:oMath>
        <m:r>
          <w:rPr>
            <w:rFonts w:ascii="Cambria Math" w:hAnsi="Cambria Math"/>
          </w:rPr>
          <m:t>(r = 1,...,s)</m:t>
        </m:r>
      </m:oMath>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Assume-se que </w:t>
      </w:r>
      <m:oMath>
        <m:r>
          <w:rPr>
            <w:rFonts w:ascii="Cambria Math" w:hAnsi="Cambria Math"/>
          </w:rPr>
          <m:t>x</m:t>
        </m:r>
        <m:r>
          <w:rPr>
            <w:rFonts w:ascii="Cambria Math" w:hAnsi="Cambria Math"/>
            <w:vertAlign w:val="subscript"/>
          </w:rPr>
          <m:t>ij</m:t>
        </m:r>
        <m:r>
          <w:rPr>
            <w:rFonts w:ascii="Cambria Math" w:hAnsi="Cambria Math"/>
          </w:rPr>
          <m:t xml:space="preserve"> &gt; 0 e y</m:t>
        </m:r>
        <m:r>
          <w:rPr>
            <w:rFonts w:ascii="Cambria Math" w:hAnsi="Cambria Math"/>
            <w:vertAlign w:val="subscript"/>
          </w:rPr>
          <m:t>rj</m:t>
        </m:r>
        <m:r>
          <w:rPr>
            <w:rFonts w:ascii="Cambria Math" w:hAnsi="Cambria Math"/>
          </w:rPr>
          <m:t xml:space="preserve"> &gt; 0</m:t>
        </m:r>
      </m:oMath>
      <w:r w:rsidRPr="004D55DA">
        <w:t xml:space="preserve">. </w:t>
      </w:r>
    </w:p>
    <w:p w:rsidR="00104A12" w:rsidRPr="004D55DA" w:rsidRDefault="00104A12" w:rsidP="007F7964">
      <w:pPr>
        <w:spacing w:line="360" w:lineRule="auto"/>
        <w:jc w:val="both"/>
      </w:pPr>
    </w:p>
    <w:p w:rsidR="00104A12" w:rsidRPr="004D55DA" w:rsidRDefault="003E367B" w:rsidP="007F7964">
      <w:pPr>
        <w:spacing w:line="360" w:lineRule="auto"/>
        <w:jc w:val="both"/>
      </w:pPr>
      <w:r>
        <w:t>A matriz de produtos</w:t>
      </w:r>
      <w:r w:rsidR="00104A12" w:rsidRPr="004D55DA">
        <w:t xml:space="preserve"> </w:t>
      </w:r>
      <m:oMath>
        <m:r>
          <w:rPr>
            <w:rFonts w:ascii="Cambria Math" w:hAnsi="Cambria Math"/>
          </w:rPr>
          <m:t xml:space="preserve">s  </m:t>
        </m:r>
        <m:r>
          <w:rPr>
            <w:rFonts w:ascii="Cambria Math" w:hAnsi="Cambria Math"/>
            <w:vertAlign w:val="subscript"/>
          </w:rPr>
          <m:t>×</m:t>
        </m:r>
        <m:r>
          <w:rPr>
            <w:rFonts w:ascii="Cambria Math" w:hAnsi="Cambria Math"/>
          </w:rPr>
          <m:t xml:space="preserve">  n</m:t>
        </m:r>
      </m:oMath>
      <w:r w:rsidR="00104A12" w:rsidRPr="004D55DA">
        <w:t xml:space="preserve">  é representada por Y e a matriz de </w:t>
      </w:r>
      <w:r w:rsidR="00822F09">
        <w:t>“</w:t>
      </w:r>
      <w:r w:rsidR="00104A12" w:rsidRPr="004D55DA">
        <w:t>inputs</w:t>
      </w:r>
      <w:r w:rsidR="00822F09">
        <w:t>”</w:t>
      </w:r>
      <w:r w:rsidR="00104A12" w:rsidRPr="004D55DA">
        <w:t xml:space="preserve">  </w:t>
      </w:r>
      <m:oMath>
        <m:r>
          <w:rPr>
            <w:rFonts w:ascii="Cambria Math" w:hAnsi="Cambria Math"/>
          </w:rPr>
          <m:t xml:space="preserve">m  </m:t>
        </m:r>
        <m:r>
          <w:rPr>
            <w:rFonts w:ascii="Cambria Math" w:hAnsi="Cambria Math"/>
            <w:vertAlign w:val="subscript"/>
          </w:rPr>
          <m:t>×</m:t>
        </m:r>
        <m:r>
          <w:rPr>
            <w:rFonts w:ascii="Cambria Math" w:hAnsi="Cambria Math"/>
          </w:rPr>
          <m:t xml:space="preserve"> n</m:t>
        </m:r>
      </m:oMath>
      <w:r w:rsidR="00104A12" w:rsidRPr="004D55DA">
        <w:t xml:space="preserve">  é representada por X.</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93" w:name="_Toc396134178"/>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14</w:t>
      </w:r>
      <w:r w:rsidR="00372F0E" w:rsidRPr="00D713C2">
        <w:rPr>
          <w:noProof/>
          <w:sz w:val="24"/>
          <w:szCs w:val="24"/>
        </w:rPr>
        <w:fldChar w:fldCharType="end"/>
      </w:r>
      <w:r w:rsidRPr="00D713C2">
        <w:rPr>
          <w:sz w:val="24"/>
          <w:szCs w:val="24"/>
        </w:rPr>
        <w:t xml:space="preserve"> - Modelo DEA CCR e BCC</w:t>
      </w:r>
      <w:bookmarkEnd w:id="93"/>
    </w:p>
    <w:p w:rsidR="00104A12" w:rsidRPr="004D55DA" w:rsidRDefault="00BF31C8" w:rsidP="007F7964">
      <w:pPr>
        <w:spacing w:line="360" w:lineRule="auto"/>
        <w:jc w:val="both"/>
      </w:pPr>
      <w:r w:rsidRPr="004D55DA">
        <w:rPr>
          <w:noProof/>
        </w:rPr>
        <w:drawing>
          <wp:inline distT="0" distB="0" distL="0" distR="0" wp14:anchorId="4BBB426D" wp14:editId="69F02C48">
            <wp:extent cx="5276850" cy="1316990"/>
            <wp:effectExtent l="0" t="0" r="0" b="0"/>
            <wp:docPr id="3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39">
                      <a:extLst>
                        <a:ext uri="{28A0092B-C50C-407E-A947-70E740481C1C}">
                          <a14:useLocalDpi xmlns:a14="http://schemas.microsoft.com/office/drawing/2010/main" val="0"/>
                        </a:ext>
                      </a:extLst>
                    </a:blip>
                    <a:srcRect l="5762" t="40729" r="9766" b="29688"/>
                    <a:stretch>
                      <a:fillRect/>
                    </a:stretch>
                  </pic:blipFill>
                  <pic:spPr bwMode="auto">
                    <a:xfrm>
                      <a:off x="0" y="0"/>
                      <a:ext cx="5276850" cy="1316990"/>
                    </a:xfrm>
                    <a:prstGeom prst="rect">
                      <a:avLst/>
                    </a:prstGeom>
                    <a:noFill/>
                    <a:ln>
                      <a:noFill/>
                    </a:ln>
                  </pic:spPr>
                </pic:pic>
              </a:graphicData>
            </a:graphic>
          </wp:inline>
        </w:drawing>
      </w:r>
    </w:p>
    <w:p w:rsidR="00104A12" w:rsidRPr="004D55DA" w:rsidRDefault="00BF31C8" w:rsidP="007F7964">
      <w:pPr>
        <w:spacing w:line="360" w:lineRule="auto"/>
        <w:jc w:val="both"/>
      </w:pPr>
      <w:r w:rsidRPr="004D55DA">
        <w:rPr>
          <w:noProof/>
        </w:rPr>
        <w:drawing>
          <wp:inline distT="0" distB="0" distL="0" distR="0" wp14:anchorId="3DDFBA72" wp14:editId="4B007DA8">
            <wp:extent cx="5081905" cy="1609090"/>
            <wp:effectExtent l="0" t="0" r="4445" b="0"/>
            <wp:docPr id="3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40">
                      <a:extLst>
                        <a:ext uri="{28A0092B-C50C-407E-A947-70E740481C1C}">
                          <a14:useLocalDpi xmlns:a14="http://schemas.microsoft.com/office/drawing/2010/main" val="0"/>
                        </a:ext>
                      </a:extLst>
                    </a:blip>
                    <a:srcRect l="6244" t="37109" r="9766" b="29349"/>
                    <a:stretch>
                      <a:fillRect/>
                    </a:stretch>
                  </pic:blipFill>
                  <pic:spPr bwMode="auto">
                    <a:xfrm>
                      <a:off x="0" y="0"/>
                      <a:ext cx="5081905" cy="160909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Badin (1998)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Como foi referido, no presente estudo foi utilizado o modelo BCC, de maximização da produção, com base no </w:t>
      </w:r>
      <w:r w:rsidR="00822F09">
        <w:t>“</w:t>
      </w:r>
      <w:r w:rsidRPr="004D55DA">
        <w:t>software</w:t>
      </w:r>
      <w:r w:rsidR="00822F09">
        <w:t>”</w:t>
      </w:r>
      <w:r w:rsidRPr="004D55DA">
        <w:t xml:space="preserve"> </w:t>
      </w:r>
      <w:r w:rsidR="00822F09">
        <w:t>“</w:t>
      </w:r>
      <w:r w:rsidRPr="004D55DA">
        <w:t>Frontier Analyst</w:t>
      </w:r>
      <w:r w:rsidR="00822F09">
        <w:t>”</w:t>
      </w:r>
      <w:r w:rsidRPr="004D55DA">
        <w:t xml:space="preserve"> versão 4. Apesar de haver alguma discussão sobre esta matéria, parece-nos que o modelo BCC, que admite que os resultados são crescentes com a escala dos fatores, será o mais indicado para os portos, uma vez que se trata de um pressuposto que vários autores admitem verificar-se nos portos.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Aprofundando um pouco mais esta metodologia, verifica-se que apesar de se confundirem muitas vezes os conceitos de eficiência e produtividade, não são noções análogas. Muitas vezes a alteração na produtividade deve-se em grande medida a mudanças na eficiência, o que pode levar a confundir os dois.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produtividade é a simples relação ou rácio entre um output e um </w:t>
      </w:r>
      <w:r w:rsidR="00136906">
        <w:t>“</w:t>
      </w:r>
      <w:r w:rsidRPr="004D55DA">
        <w:t>input</w:t>
      </w:r>
      <w:r w:rsidR="00136906">
        <w:t>”</w:t>
      </w:r>
      <w:r w:rsidRPr="004D55DA">
        <w:t xml:space="preserve"> (</w:t>
      </w:r>
      <w:r w:rsidR="00136906">
        <w:t>“</w:t>
      </w:r>
      <w:r w:rsidRPr="004D55DA">
        <w:t>output/input</w:t>
      </w:r>
      <w:r w:rsidR="00136906">
        <w:t>”</w:t>
      </w:r>
      <w:r w:rsidRPr="004D55DA">
        <w:t xml:space="preserve">). A </w:t>
      </w:r>
      <w:r w:rsidR="00822F09">
        <w:t>“</w:t>
      </w:r>
      <w:r w:rsidRPr="004D55DA">
        <w:t xml:space="preserve">Total Factor </w:t>
      </w:r>
      <w:r w:rsidR="00822F09">
        <w:t>P</w:t>
      </w:r>
      <w:r w:rsidR="00822F09" w:rsidRPr="004D55DA">
        <w:t>rodutivity</w:t>
      </w:r>
      <w:r w:rsidR="00822F09">
        <w:t>”</w:t>
      </w:r>
      <w:r w:rsidR="00822F09" w:rsidRPr="004D55DA">
        <w:t xml:space="preserve"> </w:t>
      </w:r>
      <w:r w:rsidRPr="004D55DA">
        <w:t xml:space="preserve">será assim a relação ou rácio entre a função de outputs e a função de inputs, de forma multidimensional, como referimos anteriormente.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Já a eficiência está relacionada com a comparação entre valores de </w:t>
      </w:r>
      <w:r w:rsidR="00822F09">
        <w:t>“</w:t>
      </w:r>
      <w:r w:rsidRPr="004D55DA">
        <w:t>output</w:t>
      </w:r>
      <w:r w:rsidR="00822F09">
        <w:t>”</w:t>
      </w:r>
      <w:r w:rsidRPr="004D55DA">
        <w:t xml:space="preserve"> e de </w:t>
      </w:r>
      <w:r w:rsidR="00822F09">
        <w:t>“</w:t>
      </w:r>
      <w:r w:rsidRPr="004D55DA">
        <w:t>input</w:t>
      </w:r>
      <w:r w:rsidR="00822F09">
        <w:t>”</w:t>
      </w:r>
      <w:r w:rsidRPr="004D55DA">
        <w:t xml:space="preserve"> e valores do ponto ótimo relativo localizado na fronteira de produção que maximiza a relação output/input numa amostra de portos.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Gonzalez e T</w:t>
      </w:r>
      <w:r w:rsidR="00EE1DA1" w:rsidRPr="004D55DA">
        <w:t>r</w:t>
      </w:r>
      <w:r w:rsidRPr="004D55DA">
        <w:t>ujillo (2008) esclarecem (</w:t>
      </w:r>
      <w:r w:rsidR="00822F09">
        <w:t>F</w:t>
      </w:r>
      <w:r w:rsidR="00822F09" w:rsidRPr="004D55DA">
        <w:t>igura 1</w:t>
      </w:r>
      <w:r w:rsidR="00822F09">
        <w:t>4</w:t>
      </w:r>
      <w:r w:rsidRPr="004D55DA">
        <w:t>) a diferença entre produtividade e eficiência. Quanto à produtividade, as linhas P</w:t>
      </w:r>
      <w:r w:rsidRPr="004D55DA">
        <w:rPr>
          <w:vertAlign w:val="subscript"/>
        </w:rPr>
        <w:t>t</w:t>
      </w:r>
      <w:r w:rsidRPr="004D55DA">
        <w:t xml:space="preserve"> e P</w:t>
      </w:r>
      <w:r w:rsidRPr="004D55DA">
        <w:rPr>
          <w:vertAlign w:val="subscript"/>
        </w:rPr>
        <w:t xml:space="preserve">t+1 </w:t>
      </w:r>
      <w:r w:rsidRPr="004D55DA">
        <w:t>unem portos com o mesmo rácio de produtividade (outputs: y/ inputs: x) a diferentes escalas de produção y. Quanto à eficiência, as linhas f(x,t+1) e f(x, t) são as fronteiras tecnológicas de produção ou valores máximos de produtividade possíveis com certa tecnologia, determinadas empiricamente numa amostra alargada de portos. Por exemplo, da comparação dos valores de (y.x) do porto A, com os da fronteira da linha f(x, t) resulta um indicador de eficiência relativa, face às melhores práticas da amostra de portos.</w:t>
      </w:r>
    </w:p>
    <w:p w:rsidR="00104A12" w:rsidRPr="004D55DA" w:rsidRDefault="00104A12" w:rsidP="007F7964">
      <w:pPr>
        <w:spacing w:line="360" w:lineRule="auto"/>
        <w:jc w:val="both"/>
      </w:pPr>
    </w:p>
    <w:p w:rsidR="00104A12" w:rsidRPr="004D55DA" w:rsidRDefault="00104A12" w:rsidP="007F7964">
      <w:pPr>
        <w:pStyle w:val="Legenda"/>
      </w:pPr>
      <w:bookmarkStart w:id="94" w:name="_Toc396134179"/>
      <w:r w:rsidRPr="004D55DA">
        <w:t xml:space="preserve">Figura </w:t>
      </w:r>
      <w:fldSimple w:instr=" SEQ Figura \* ARABIC ">
        <w:r w:rsidR="008D1B65">
          <w:rPr>
            <w:noProof/>
          </w:rPr>
          <w:t>15</w:t>
        </w:r>
      </w:fldSimple>
      <w:r w:rsidRPr="004D55DA">
        <w:t xml:space="preserve"> - Produtividade e eficiência</w:t>
      </w:r>
      <w:bookmarkEnd w:id="94"/>
    </w:p>
    <w:p w:rsidR="00104A12" w:rsidRPr="004D55DA" w:rsidRDefault="00BF31C8" w:rsidP="007F7964">
      <w:pPr>
        <w:spacing w:line="360" w:lineRule="auto"/>
        <w:jc w:val="both"/>
      </w:pPr>
      <w:r w:rsidRPr="004D55DA">
        <w:rPr>
          <w:noProof/>
        </w:rPr>
        <w:drawing>
          <wp:inline distT="0" distB="0" distL="0" distR="0" wp14:anchorId="6CE1727E" wp14:editId="1FF22B29">
            <wp:extent cx="3999230" cy="3079750"/>
            <wp:effectExtent l="0" t="0" r="1270" b="6350"/>
            <wp:docPr id="3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41">
                      <a:extLst>
                        <a:ext uri="{28A0092B-C50C-407E-A947-70E740481C1C}">
                          <a14:useLocalDpi xmlns:a14="http://schemas.microsoft.com/office/drawing/2010/main" val="0"/>
                        </a:ext>
                      </a:extLst>
                    </a:blip>
                    <a:srcRect l="15475" t="20651" r="18431" b="11580"/>
                    <a:stretch>
                      <a:fillRect/>
                    </a:stretch>
                  </pic:blipFill>
                  <pic:spPr bwMode="auto">
                    <a:xfrm>
                      <a:off x="0" y="0"/>
                      <a:ext cx="3999230" cy="3079750"/>
                    </a:xfrm>
                    <a:prstGeom prst="rect">
                      <a:avLst/>
                    </a:prstGeom>
                    <a:noFill/>
                    <a:ln>
                      <a:noFill/>
                    </a:ln>
                  </pic:spPr>
                </pic:pic>
              </a:graphicData>
            </a:graphic>
          </wp:inline>
        </w:drawing>
      </w:r>
    </w:p>
    <w:p w:rsidR="00104A12" w:rsidRPr="004D55DA" w:rsidRDefault="00104A12" w:rsidP="007F7964">
      <w:pPr>
        <w:spacing w:line="360" w:lineRule="auto"/>
        <w:jc w:val="both"/>
      </w:pPr>
      <w:r w:rsidRPr="004D55DA">
        <w:t>Fonte: Gonzalez e T</w:t>
      </w:r>
      <w:r w:rsidR="00EE1DA1" w:rsidRPr="004D55DA">
        <w:t>r</w:t>
      </w:r>
      <w:r w:rsidRPr="004D55DA">
        <w:t>ujillo (2008)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Turner, Windle e Dresner (2004) estudaram a produtividades nos terminais de contentores norte americanos, tendo utilizado a metodologia presente estudo, que consiste em procurar avaliar as determinantes portuárias da eficiência relativa dos portos, medida pelo método DEA.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Barros e Athanassiou (2004) aplicaram o modelo DEA como medida de eficiência, comparando os portos portugueses e gregos, com base na performance das administrações portuárias e Rios </w:t>
      </w:r>
      <w:r w:rsidRPr="00D713C2">
        <w:rPr>
          <w:i/>
        </w:rPr>
        <w:t>e al</w:t>
      </w:r>
      <w:r w:rsidRPr="004D55DA">
        <w:t>. (2006), aplicaram o modelo DEA de medida da performance a terminais de contentores brasileiros.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Park e De (2004) estudaram a aplicação da metodologia DEA aos portos em 4 fases, que são a produtividade, rendibilidade, mercado e eficiência e referiram que a eficiência dos portos é hoje um factor crítico para a eficiência dos próprios países.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Wang e Cullinane (2006) estudaram a eficiência relativa de 104 terminais de contentores na Europa. Como a grande maioria dos autores, na metodologia DEA utilizam como </w:t>
      </w:r>
      <w:r w:rsidR="00822F09">
        <w:t>“</w:t>
      </w:r>
      <w:r w:rsidRPr="004D55DA">
        <w:t>output</w:t>
      </w:r>
      <w:r w:rsidR="00822F09">
        <w:t>”</w:t>
      </w:r>
      <w:r w:rsidRPr="004D55DA">
        <w:t xml:space="preserve"> o movimento de contentores em TEU e como </w:t>
      </w:r>
      <w:r w:rsidR="00822F09">
        <w:t>“</w:t>
      </w:r>
      <w:r w:rsidRPr="004D55DA">
        <w:t>input</w:t>
      </w:r>
      <w:r w:rsidR="00822F09">
        <w:t>”</w:t>
      </w:r>
      <w:r w:rsidRPr="004D55DA">
        <w:t xml:space="preserve">, o comprimento do cais, a área do terminal e dados sobre os equipamentos, que estão diretamente relacionados com os </w:t>
      </w:r>
      <w:r w:rsidR="00136906" w:rsidRPr="004D55DA">
        <w:t>fatores</w:t>
      </w:r>
      <w:r w:rsidRPr="004D55DA">
        <w:t xml:space="preserve"> de produção mão-de-obra e capital.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Trujillo e Tovar (2007) compararam a eficiência DEA de um conjunto alargado de portos europeus utilizando como variáveis o movimentos dos diferentes tipos de carga, a superfície dos portos, o emprego e a taxa de contentorização.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rPr>
          <w:lang w:val="fr-FR"/>
        </w:rPr>
        <w:t xml:space="preserve">Wang e Cullinane, (2006) e Cullinane </w:t>
      </w:r>
      <w:r w:rsidRPr="00D713C2">
        <w:rPr>
          <w:i/>
          <w:lang w:val="fr-FR"/>
        </w:rPr>
        <w:t>et al.</w:t>
      </w:r>
      <w:r w:rsidRPr="004D55DA">
        <w:rPr>
          <w:lang w:val="fr-FR"/>
        </w:rPr>
        <w:t xml:space="preserve"> </w:t>
      </w:r>
      <w:r w:rsidRPr="004D55DA">
        <w:t xml:space="preserve">(2004) e Cheon (2007) referem os </w:t>
      </w:r>
      <w:r w:rsidR="00822F09">
        <w:t>“</w:t>
      </w:r>
      <w:r w:rsidRPr="004D55DA">
        <w:t>inputs</w:t>
      </w:r>
      <w:r w:rsidR="00822F09">
        <w:t>”</w:t>
      </w:r>
      <w:r w:rsidRPr="004D55DA">
        <w:t xml:space="preserve"> do comprimento de cais, do número de gruas e da área do terrapleno como sendo os que melhor se adaptam ao modelo DEA, mas referem que outros </w:t>
      </w:r>
      <w:r w:rsidR="00136906" w:rsidRPr="004D55DA">
        <w:t>fatores</w:t>
      </w:r>
      <w:r w:rsidRPr="004D55DA">
        <w:t xml:space="preserve"> podem ter influência como </w:t>
      </w:r>
      <w:r w:rsidR="00136906">
        <w:t>“</w:t>
      </w:r>
      <w:r w:rsidRPr="004D55DA">
        <w:t>inputs</w:t>
      </w:r>
      <w:r w:rsidR="00136906">
        <w:t>”</w:t>
      </w:r>
      <w:r w:rsidRPr="004D55DA">
        <w:t xml:space="preserve"> para a eficiência, como sejam a ocupação do cais, acessibilidade marítima, a frequência e o número de linhas regulares, as velocidades e os tempos de operação, os fundos do cais, os tempos de operação, entre outros.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Alguns problemas deste tipo de análise foram verificados por H. Turner </w:t>
      </w:r>
      <w:r w:rsidRPr="00D713C2">
        <w:rPr>
          <w:i/>
        </w:rPr>
        <w:t>et al.</w:t>
      </w:r>
      <w:r w:rsidRPr="004D55DA">
        <w:t xml:space="preserve"> (2004), Ng e Lee (2007), Herrera e Pang (2006), que referem que apesar de ser importante maximizar o output face ao </w:t>
      </w:r>
      <w:r w:rsidR="00822F09">
        <w:t>“</w:t>
      </w:r>
      <w:r w:rsidRPr="004D55DA">
        <w:t>input</w:t>
      </w:r>
      <w:r w:rsidR="00822F09">
        <w:t>”</w:t>
      </w:r>
      <w:r w:rsidRPr="004D55DA">
        <w:t>, do ponto de vista dos portos, verifica-se que quando o nível de ocupação das infraestruturas portuárias ultrapassa determinados níveis, aumentam os custos com as esperas para os navios e para as cargas, sendo que numa situação de concorrência, as autoridades portuárias são obrigadas a aumentar a oferta, limitando assim os níveis de eficiência dos recursos utilizados devido às ineficiências que tal causaria no sistema de transportes e nos seus clientes. A eficiência da unidade não pode ser ganha à custa da eficiência do sistema.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Por isso, é importante estimar a fronteira média de produção, comparando um conjunto alargado de portos e se possível num período de tempo também alargado, para poder obter conclusões com algum interesse.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Ainda assim, quando se pretende medir a eficiência relativa de unidades de negócio independentes, Thanassoulis (1993) refere que a análise DEA é mais adequada que a análise de regressão, apesar de ser importante observar o eventual efeito perverso de portos que apresentem valores muito distantes da média.</w:t>
      </w:r>
    </w:p>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D216EA">
      <w:pPr>
        <w:pStyle w:val="Cabealho3"/>
        <w:ind w:left="0" w:firstLine="0"/>
        <w:rPr>
          <w:sz w:val="24"/>
          <w:szCs w:val="24"/>
          <w:u w:val="none"/>
          <w:lang w:val="pt-PT"/>
        </w:rPr>
      </w:pPr>
      <w:bookmarkStart w:id="95" w:name="_Toc395292654"/>
      <w:bookmarkStart w:id="96" w:name="_Toc395730144"/>
      <w:r w:rsidRPr="00D713C2">
        <w:rPr>
          <w:sz w:val="24"/>
          <w:szCs w:val="24"/>
          <w:u w:val="none"/>
          <w:lang w:val="pt-PT"/>
        </w:rPr>
        <w:t xml:space="preserve">Análise </w:t>
      </w:r>
      <w:r w:rsidR="00D36A58" w:rsidRPr="00D713C2">
        <w:rPr>
          <w:sz w:val="24"/>
          <w:szCs w:val="24"/>
          <w:u w:val="none"/>
          <w:lang w:val="pt-PT"/>
        </w:rPr>
        <w:t>de componentes principais</w:t>
      </w:r>
      <w:bookmarkEnd w:id="95"/>
      <w:bookmarkEnd w:id="96"/>
    </w:p>
    <w:p w:rsidR="00104A12" w:rsidRPr="004D55DA" w:rsidRDefault="00104A12" w:rsidP="007F7964">
      <w:pPr>
        <w:spacing w:line="360" w:lineRule="auto"/>
        <w:jc w:val="both"/>
      </w:pPr>
    </w:p>
    <w:p w:rsidR="00104A12" w:rsidRPr="004D55DA" w:rsidRDefault="00D36A58" w:rsidP="007F7964">
      <w:pPr>
        <w:spacing w:line="360" w:lineRule="auto"/>
        <w:jc w:val="both"/>
      </w:pPr>
      <w:r>
        <w:t xml:space="preserve">A análise de componentes principais </w:t>
      </w:r>
      <w:r w:rsidRPr="00D36A58">
        <w:t>é um</w:t>
      </w:r>
      <w:r>
        <w:t>a</w:t>
      </w:r>
      <w:r w:rsidRPr="00D36A58">
        <w:t xml:space="preserve"> m</w:t>
      </w:r>
      <w:r>
        <w:t>etodologia</w:t>
      </w:r>
      <w:r w:rsidRPr="00D36A58">
        <w:t xml:space="preserve"> que</w:t>
      </w:r>
      <w:r>
        <w:t xml:space="preserve"> permite a redução</w:t>
      </w:r>
      <w:r w:rsidRPr="00D36A58">
        <w:t xml:space="preserve"> </w:t>
      </w:r>
      <w:r>
        <w:t>d</w:t>
      </w:r>
      <w:r w:rsidRPr="00D36A58">
        <w:t>a dimens</w:t>
      </w:r>
      <w:r>
        <w:t>ão</w:t>
      </w:r>
      <w:r w:rsidRPr="00D36A58">
        <w:t xml:space="preserve"> dos dados, tornando mais </w:t>
      </w:r>
      <w:r w:rsidR="00136906" w:rsidRPr="00D36A58">
        <w:t>fácil</w:t>
      </w:r>
      <w:r w:rsidRPr="00D36A58">
        <w:t xml:space="preserve"> sua interpretação e </w:t>
      </w:r>
      <w:r w:rsidR="00136906" w:rsidRPr="00D36A58">
        <w:t>análise</w:t>
      </w:r>
      <w:r w:rsidRPr="00D36A58">
        <w:t xml:space="preserve"> sem perdas significativas de </w:t>
      </w:r>
      <w:r w:rsidR="00136906" w:rsidRPr="00D36A58">
        <w:t>informação</w:t>
      </w:r>
      <w:r w:rsidRPr="00D36A58">
        <w:t xml:space="preserve">. </w:t>
      </w:r>
      <w:r>
        <w:t>Tem como objetivo</w:t>
      </w:r>
      <w:r w:rsidRPr="00D36A58">
        <w:t xml:space="preserve"> gerar um novo conjunto de </w:t>
      </w:r>
      <w:r w:rsidR="00136906" w:rsidRPr="00D36A58">
        <w:t>variáveis</w:t>
      </w:r>
      <w:r>
        <w:t xml:space="preserve"> ou componentes</w:t>
      </w:r>
      <w:r w:rsidRPr="00D36A58">
        <w:t xml:space="preserve"> que </w:t>
      </w:r>
      <w:r w:rsidR="00136906" w:rsidRPr="00D36A58">
        <w:t>são</w:t>
      </w:r>
      <w:r w:rsidRPr="00D36A58">
        <w:t xml:space="preserve"> combinações lineares do conjunto original</w:t>
      </w:r>
      <w:r>
        <w:t xml:space="preserve"> de variáveis observadas, ortogonais entre si, evitando a </w:t>
      </w:r>
      <w:r w:rsidRPr="00D36A58">
        <w:t xml:space="preserve">redundância de informações. As variáveis transformadas são </w:t>
      </w:r>
      <w:r>
        <w:t>designadas</w:t>
      </w:r>
      <w:r w:rsidRPr="00D36A58">
        <w:t xml:space="preserve"> componentes principa</w:t>
      </w:r>
      <w:r>
        <w:t>is</w:t>
      </w:r>
      <w:r w:rsidRPr="00D36A58">
        <w:t xml:space="preserve"> ou fatores. </w:t>
      </w:r>
    </w:p>
    <w:p w:rsidR="000121A9" w:rsidRDefault="000121A9" w:rsidP="00260465">
      <w:pPr>
        <w:spacing w:line="360" w:lineRule="auto"/>
        <w:jc w:val="both"/>
      </w:pPr>
    </w:p>
    <w:p w:rsidR="00260465" w:rsidRDefault="00260465" w:rsidP="00260465">
      <w:pPr>
        <w:spacing w:line="360" w:lineRule="auto"/>
        <w:jc w:val="both"/>
      </w:pPr>
      <w:r>
        <w:t>Dada uma matriz de dados de p variáveis ​​e n amostras, os dados são primeiro centrados à média de cada uma das variáveis, assegurando que os dados são centralizados na origem das componentes principais, sem afetar as relações espaciais dos dados, nem as variações ao longo das variáveis. A primeira componente principal (</w:t>
      </w:r>
      <m:oMath>
        <m:sSub>
          <m:sSubPr>
            <m:ctrlPr>
              <w:rPr>
                <w:rFonts w:ascii="Cambria Math" w:hAnsi="Cambria Math"/>
                <w:i/>
              </w:rPr>
            </m:ctrlPr>
          </m:sSubPr>
          <m:e>
            <m:r>
              <w:rPr>
                <w:rFonts w:ascii="Cambria Math" w:hAnsi="Cambria Math"/>
              </w:rPr>
              <m:t>Y</m:t>
            </m:r>
          </m:e>
          <m:sub>
            <m:r>
              <w:rPr>
                <w:rFonts w:ascii="Cambria Math" w:hAnsi="Cambria Math"/>
              </w:rPr>
              <m:t>1</m:t>
            </m:r>
          </m:sub>
        </m:sSub>
      </m:oMath>
      <w:r>
        <w:t xml:space="preserve">) é dada pela combinação linear das variáveis ​​de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t xml:space="preserv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t xml:space="preserve">, ..., </w:t>
      </w:r>
      <m:oMath>
        <m:sSub>
          <m:sSubPr>
            <m:ctrlPr>
              <w:rPr>
                <w:rFonts w:ascii="Cambria Math" w:hAnsi="Cambria Math"/>
                <w:i/>
              </w:rPr>
            </m:ctrlPr>
          </m:sSubPr>
          <m:e>
            <m:r>
              <w:rPr>
                <w:rFonts w:ascii="Cambria Math" w:hAnsi="Cambria Math"/>
              </w:rPr>
              <m:t>X</m:t>
            </m:r>
          </m:e>
          <m:sub>
            <m:r>
              <w:rPr>
                <w:rFonts w:ascii="Cambria Math" w:hAnsi="Cambria Math"/>
              </w:rPr>
              <m:t>p</m:t>
            </m:r>
          </m:sub>
        </m:sSub>
      </m:oMath>
      <w:r>
        <w:t xml:space="preserve"> ou, em notação matricial</w:t>
      </w:r>
      <w:r w:rsidR="000121A9">
        <w:t xml:space="preserve"> (Pearson, 1901)</w:t>
      </w:r>
      <w:r>
        <w:t>:</w:t>
      </w:r>
    </w:p>
    <w:p w:rsidR="00260465" w:rsidRDefault="00260465" w:rsidP="00260465">
      <w:pPr>
        <w:spacing w:line="360" w:lineRule="auto"/>
        <w:jc w:val="both"/>
      </w:pPr>
    </w:p>
    <w:p w:rsidR="00260465" w:rsidRDefault="00E56916" w:rsidP="00846F33">
      <w:pPr>
        <w:spacing w:line="360" w:lineRule="auto"/>
        <w:jc w:val="center"/>
      </w:pPr>
      <m:oMathPara>
        <m:oMath>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a</m:t>
              </m:r>
            </m:e>
            <m:sub>
              <m:r>
                <w:rPr>
                  <w:rFonts w:ascii="Cambria Math" w:hAnsi="Cambria Math"/>
                </w:rPr>
                <m:t>11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a</m:t>
              </m:r>
            </m:e>
            <m:sub>
              <m:r>
                <w:rPr>
                  <w:rFonts w:ascii="Cambria Math" w:hAnsi="Cambria Math"/>
                </w:rPr>
                <m:t>12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 ... + </m:t>
          </m:r>
          <m:sSub>
            <m:sSubPr>
              <m:ctrlPr>
                <w:rPr>
                  <w:rFonts w:ascii="Cambria Math" w:hAnsi="Cambria Math"/>
                  <w:i/>
                </w:rPr>
              </m:ctrlPr>
            </m:sSubPr>
            <m:e>
              <m:r>
                <w:rPr>
                  <w:rFonts w:ascii="Cambria Math" w:hAnsi="Cambria Math"/>
                </w:rPr>
                <m:t>a</m:t>
              </m:r>
            </m:e>
            <m:sub>
              <m:r>
                <w:rPr>
                  <w:rFonts w:ascii="Cambria Math" w:hAnsi="Cambria Math"/>
                </w:rPr>
                <m:t>1p</m:t>
              </m:r>
            </m:sub>
          </m:sSub>
          <m:sSub>
            <m:sSubPr>
              <m:ctrlPr>
                <w:rPr>
                  <w:rFonts w:ascii="Cambria Math" w:hAnsi="Cambria Math"/>
                  <w:i/>
                </w:rPr>
              </m:ctrlPr>
            </m:sSubPr>
            <m:e>
              <m:r>
                <w:rPr>
                  <w:rFonts w:ascii="Cambria Math" w:hAnsi="Cambria Math"/>
                </w:rPr>
                <m:t>X</m:t>
              </m:r>
            </m:e>
            <m:sub>
              <m:r>
                <w:rPr>
                  <w:rFonts w:ascii="Cambria Math" w:hAnsi="Cambria Math"/>
                </w:rPr>
                <m:t>p</m:t>
              </m:r>
            </m:sub>
          </m:sSub>
        </m:oMath>
      </m:oMathPara>
    </w:p>
    <w:p w:rsidR="00260465" w:rsidRDefault="00260465" w:rsidP="00260465">
      <w:pPr>
        <w:spacing w:line="360" w:lineRule="auto"/>
        <w:jc w:val="both"/>
      </w:pPr>
    </w:p>
    <w:p w:rsidR="00260465" w:rsidRDefault="00260465" w:rsidP="00260465">
      <w:pPr>
        <w:spacing w:line="360" w:lineRule="auto"/>
        <w:jc w:val="both"/>
      </w:pPr>
      <w:r>
        <w:t xml:space="preserve">O primeiro componente principal é calculado </w:t>
      </w:r>
      <w:r w:rsidR="00846F33">
        <w:t>por for</w:t>
      </w:r>
      <w:r w:rsidR="003E367B">
        <w:t>m</w:t>
      </w:r>
      <w:r w:rsidR="00846F33">
        <w:t>a a explicar a</w:t>
      </w:r>
      <w:r>
        <w:t xml:space="preserve"> maior variação possível no conjunto de dados. </w:t>
      </w:r>
      <w:r w:rsidR="00846F33">
        <w:t>O</w:t>
      </w:r>
      <w:r>
        <w:t>s pesos são calculados com a</w:t>
      </w:r>
      <w:r w:rsidR="00846F33">
        <w:t xml:space="preserve"> seguinte restrição:</w:t>
      </w:r>
    </w:p>
    <w:p w:rsidR="00846F33" w:rsidRDefault="00846F33" w:rsidP="00260465">
      <w:pPr>
        <w:spacing w:line="360" w:lineRule="auto"/>
        <w:jc w:val="both"/>
      </w:pPr>
    </w:p>
    <w:p w:rsidR="00260465" w:rsidRPr="00846F33" w:rsidRDefault="00E56916" w:rsidP="00846F33">
      <w:pPr>
        <w:spacing w:line="360" w:lineRule="auto"/>
        <w:jc w:val="center"/>
        <w:rPr>
          <w:rFonts w:ascii="Cambria Math" w:hAnsi="Cambria Math"/>
          <w:oMath/>
        </w:rPr>
      </w:pPr>
      <m:oMathPara>
        <m:oMath>
          <m:sSubSup>
            <m:sSubSupPr>
              <m:ctrlPr>
                <w:rPr>
                  <w:rFonts w:ascii="Cambria Math" w:hAnsi="Cambria Math"/>
                  <w:i/>
                </w:rPr>
              </m:ctrlPr>
            </m:sSubSupPr>
            <m:e>
              <m:r>
                <w:rPr>
                  <w:rFonts w:ascii="Cambria Math" w:hAnsi="Cambria Math"/>
                </w:rPr>
                <m:t>a</m:t>
              </m:r>
            </m:e>
            <m:sub>
              <m:r>
                <w:rPr>
                  <w:rFonts w:ascii="Cambria Math" w:hAnsi="Cambria Math"/>
                </w:rPr>
                <m:t>11</m:t>
              </m:r>
            </m:sub>
            <m:sup>
              <m:r>
                <w:rPr>
                  <w:rFonts w:ascii="Cambria Math" w:hAnsi="Cambria Math"/>
                </w:rPr>
                <m:t>2</m:t>
              </m:r>
            </m:sup>
          </m:sSubSup>
          <m:r>
            <w:rPr>
              <w:rFonts w:ascii="Cambria Math" w:hAnsi="Cambria Math"/>
            </w:rPr>
            <m:t xml:space="preserve"> + </m:t>
          </m:r>
          <m:sSubSup>
            <m:sSubSupPr>
              <m:ctrlPr>
                <w:rPr>
                  <w:rFonts w:ascii="Cambria Math" w:hAnsi="Cambria Math"/>
                  <w:i/>
                </w:rPr>
              </m:ctrlPr>
            </m:sSubSupPr>
            <m:e>
              <m:r>
                <w:rPr>
                  <w:rFonts w:ascii="Cambria Math" w:hAnsi="Cambria Math"/>
                </w:rPr>
                <m:t>a</m:t>
              </m:r>
            </m:e>
            <m:sub>
              <m:r>
                <w:rPr>
                  <w:rFonts w:ascii="Cambria Math" w:hAnsi="Cambria Math"/>
                </w:rPr>
                <m:t>12</m:t>
              </m:r>
            </m:sub>
            <m:sup>
              <m:r>
                <w:rPr>
                  <w:rFonts w:ascii="Cambria Math" w:hAnsi="Cambria Math"/>
                </w:rPr>
                <m:t>2</m:t>
              </m:r>
            </m:sup>
          </m:sSubSup>
          <m:r>
            <w:rPr>
              <w:rFonts w:ascii="Cambria Math" w:hAnsi="Cambria Math"/>
            </w:rPr>
            <m:t xml:space="preserve"> + ... + </m:t>
          </m:r>
          <m:sSubSup>
            <m:sSubSupPr>
              <m:ctrlPr>
                <w:rPr>
                  <w:rFonts w:ascii="Cambria Math" w:hAnsi="Cambria Math"/>
                  <w:i/>
                </w:rPr>
              </m:ctrlPr>
            </m:sSubSupPr>
            <m:e>
              <m:r>
                <w:rPr>
                  <w:rFonts w:ascii="Cambria Math" w:hAnsi="Cambria Math"/>
                </w:rPr>
                <m:t>a</m:t>
              </m:r>
            </m:e>
            <m:sub>
              <m:r>
                <w:rPr>
                  <w:rFonts w:ascii="Cambria Math" w:hAnsi="Cambria Math"/>
                </w:rPr>
                <m:t>1p</m:t>
              </m:r>
            </m:sub>
            <m:sup>
              <m:r>
                <w:rPr>
                  <w:rFonts w:ascii="Cambria Math" w:hAnsi="Cambria Math"/>
                </w:rPr>
                <m:t>2</m:t>
              </m:r>
            </m:sup>
          </m:sSubSup>
          <m:r>
            <w:rPr>
              <w:rFonts w:ascii="Cambria Math" w:hAnsi="Cambria Math"/>
            </w:rPr>
            <m:t xml:space="preserve"> = 1</m:t>
          </m:r>
        </m:oMath>
      </m:oMathPara>
    </w:p>
    <w:p w:rsidR="00846F33" w:rsidRDefault="00846F33" w:rsidP="00260465">
      <w:pPr>
        <w:spacing w:line="360" w:lineRule="auto"/>
        <w:jc w:val="both"/>
      </w:pPr>
    </w:p>
    <w:p w:rsidR="000121A9" w:rsidRDefault="00260465" w:rsidP="00846F33">
      <w:pPr>
        <w:spacing w:line="360" w:lineRule="auto"/>
        <w:jc w:val="both"/>
      </w:pPr>
      <w:r>
        <w:t xml:space="preserve">O segundo componente principal é calculado da mesma forma, </w:t>
      </w:r>
      <w:r w:rsidR="00846F33">
        <w:t>continuando</w:t>
      </w:r>
      <w:r>
        <w:t xml:space="preserve"> até que um total de c</w:t>
      </w:r>
      <w:r w:rsidR="000121A9">
        <w:t xml:space="preserve">omponentes principais de </w:t>
      </w:r>
      <m:oMath>
        <m:r>
          <w:rPr>
            <w:rFonts w:ascii="Cambria Math" w:hAnsi="Cambria Math"/>
          </w:rPr>
          <m:t>p</m:t>
        </m:r>
      </m:oMath>
      <w:r w:rsidR="000121A9">
        <w:t xml:space="preserve"> terem sido</w:t>
      </w:r>
      <w:r>
        <w:t xml:space="preserve"> calculados, igual ao número original de variáveis​​. Nest</w:t>
      </w:r>
      <w:r w:rsidR="000121A9">
        <w:t>a altura</w:t>
      </w:r>
      <w:r>
        <w:t xml:space="preserve">, a soma das variações de todos os componentes principais será igual à soma das variações de todas as variáveis​​, </w:t>
      </w:r>
      <w:r w:rsidR="000121A9">
        <w:t>isto é, toda a informação origi</w:t>
      </w:r>
      <w:r>
        <w:t>nal foi explicad</w:t>
      </w:r>
      <w:r w:rsidR="000121A9">
        <w:t>a</w:t>
      </w:r>
      <w:r>
        <w:t xml:space="preserve">. </w:t>
      </w:r>
      <w:r w:rsidR="000121A9">
        <w:t>De forma matricial</w:t>
      </w:r>
      <w:r>
        <w:t xml:space="preserve">, </w:t>
      </w:r>
      <w:r w:rsidR="000121A9">
        <w:t>a transformação</w:t>
      </w:r>
      <w:r>
        <w:t xml:space="preserve"> das variáveis ​​originais </w:t>
      </w:r>
      <w:r w:rsidR="000121A9">
        <w:t>nas</w:t>
      </w:r>
      <w:r>
        <w:t xml:space="preserve"> componentes principais é</w:t>
      </w:r>
      <w:r w:rsidR="000121A9">
        <w:t xml:space="preserve"> representada por:</w:t>
      </w:r>
    </w:p>
    <w:p w:rsidR="00260465" w:rsidRDefault="00260465" w:rsidP="00846F33">
      <w:pPr>
        <w:spacing w:line="360" w:lineRule="auto"/>
        <w:jc w:val="both"/>
      </w:pPr>
      <w:r>
        <w:t xml:space="preserve"> </w:t>
      </w:r>
    </w:p>
    <w:p w:rsidR="00260465" w:rsidRPr="000121A9" w:rsidRDefault="000121A9" w:rsidP="00260465">
      <w:pPr>
        <w:spacing w:line="360" w:lineRule="auto"/>
        <w:jc w:val="both"/>
        <w:rPr>
          <w:rFonts w:ascii="Cambria Math" w:hAnsi="Cambria Math"/>
          <w:oMath/>
        </w:rPr>
      </w:pPr>
      <m:oMathPara>
        <m:oMath>
          <m:r>
            <w:rPr>
              <w:rFonts w:ascii="Cambria Math" w:hAnsi="Cambria Math"/>
            </w:rPr>
            <m:t xml:space="preserve">Y = AX </m:t>
          </m:r>
        </m:oMath>
      </m:oMathPara>
    </w:p>
    <w:p w:rsidR="006C074A" w:rsidRPr="006C074A" w:rsidRDefault="006C074A" w:rsidP="007F7964">
      <w:pPr>
        <w:rPr>
          <w:b/>
        </w:rPr>
      </w:pPr>
    </w:p>
    <w:p w:rsidR="006C074A" w:rsidRDefault="006C074A" w:rsidP="006C074A">
      <w:pPr>
        <w:spacing w:line="360" w:lineRule="auto"/>
        <w:jc w:val="both"/>
      </w:pPr>
      <w:r w:rsidRPr="006C074A">
        <w:lastRenderedPageBreak/>
        <w:t>A estatística de Kaiser-Meyer-Olken (KMO) compara as correlações entre variáveis, com os seguintes resultados possíveis (Tabela 4)</w:t>
      </w:r>
      <w:r>
        <w:t>.</w:t>
      </w:r>
    </w:p>
    <w:p w:rsidR="006C074A" w:rsidRDefault="006C074A" w:rsidP="006C074A">
      <w:pPr>
        <w:spacing w:line="360" w:lineRule="auto"/>
        <w:jc w:val="both"/>
      </w:pPr>
    </w:p>
    <w:p w:rsidR="00F95AF7" w:rsidRPr="004D55DA" w:rsidRDefault="00F95AF7" w:rsidP="00F95AF7">
      <w:pPr>
        <w:pStyle w:val="Legenda"/>
      </w:pPr>
      <w:bookmarkStart w:id="97" w:name="_Toc396134130"/>
      <w:r w:rsidRPr="004D55DA">
        <w:t xml:space="preserve">Tabela </w:t>
      </w:r>
      <w:fldSimple w:instr=" SEQ Tabela \* ARABIC ">
        <w:r w:rsidR="008D1B65">
          <w:rPr>
            <w:noProof/>
          </w:rPr>
          <w:t>7</w:t>
        </w:r>
      </w:fldSimple>
      <w:r w:rsidRPr="004D55DA">
        <w:t xml:space="preserve"> - Escala de valores de KMO</w:t>
      </w:r>
      <w:bookmarkEnd w:id="97"/>
    </w:p>
    <w:tbl>
      <w:tblPr>
        <w:tblW w:w="0" w:type="auto"/>
        <w:tblBorders>
          <w:top w:val="single" w:sz="4" w:space="0" w:color="auto"/>
          <w:bottom w:val="single" w:sz="4" w:space="0" w:color="auto"/>
        </w:tblBorders>
        <w:tblLook w:val="00A0" w:firstRow="1" w:lastRow="0" w:firstColumn="1" w:lastColumn="0" w:noHBand="0" w:noVBand="0"/>
      </w:tblPr>
      <w:tblGrid>
        <w:gridCol w:w="2376"/>
        <w:gridCol w:w="1701"/>
      </w:tblGrid>
      <w:tr w:rsidR="00F95AF7" w:rsidRPr="004D55DA" w:rsidTr="00F95AF7">
        <w:tc>
          <w:tcPr>
            <w:tcW w:w="2376" w:type="dxa"/>
            <w:tcBorders>
              <w:top w:val="single" w:sz="4" w:space="0" w:color="auto"/>
              <w:bottom w:val="single" w:sz="4" w:space="0" w:color="auto"/>
            </w:tcBorders>
          </w:tcPr>
          <w:p w:rsidR="00F95AF7" w:rsidRPr="004D55DA" w:rsidRDefault="00F95AF7" w:rsidP="001606DE">
            <w:pPr>
              <w:spacing w:line="360" w:lineRule="auto"/>
              <w:rPr>
                <w:sz w:val="20"/>
              </w:rPr>
            </w:pPr>
            <w:r w:rsidRPr="004D55DA">
              <w:rPr>
                <w:sz w:val="20"/>
              </w:rPr>
              <w:t>KMO</w:t>
            </w:r>
          </w:p>
        </w:tc>
        <w:tc>
          <w:tcPr>
            <w:tcW w:w="1701" w:type="dxa"/>
            <w:tcBorders>
              <w:top w:val="single" w:sz="4" w:space="0" w:color="auto"/>
              <w:bottom w:val="single" w:sz="4" w:space="0" w:color="auto"/>
            </w:tcBorders>
          </w:tcPr>
          <w:p w:rsidR="00F95AF7" w:rsidRPr="004D55DA" w:rsidRDefault="00F95AF7" w:rsidP="00F95AF7">
            <w:pPr>
              <w:spacing w:line="360" w:lineRule="auto"/>
              <w:jc w:val="center"/>
              <w:rPr>
                <w:sz w:val="20"/>
              </w:rPr>
            </w:pPr>
            <w:r w:rsidRPr="004D55DA">
              <w:rPr>
                <w:sz w:val="20"/>
              </w:rPr>
              <w:t>Análise das CP</w:t>
            </w:r>
          </w:p>
        </w:tc>
      </w:tr>
      <w:tr w:rsidR="00F95AF7" w:rsidRPr="004D55DA" w:rsidTr="00F95AF7">
        <w:tc>
          <w:tcPr>
            <w:tcW w:w="2376" w:type="dxa"/>
            <w:tcBorders>
              <w:top w:val="single" w:sz="4" w:space="0" w:color="auto"/>
            </w:tcBorders>
          </w:tcPr>
          <w:p w:rsidR="00F95AF7" w:rsidRPr="004D55DA" w:rsidRDefault="00F95AF7" w:rsidP="001606DE">
            <w:pPr>
              <w:spacing w:line="360" w:lineRule="auto"/>
              <w:rPr>
                <w:sz w:val="20"/>
              </w:rPr>
            </w:pPr>
            <w:r w:rsidRPr="004D55DA">
              <w:rPr>
                <w:sz w:val="20"/>
              </w:rPr>
              <w:t>1-0,9</w:t>
            </w:r>
          </w:p>
        </w:tc>
        <w:tc>
          <w:tcPr>
            <w:tcW w:w="1701" w:type="dxa"/>
            <w:tcBorders>
              <w:top w:val="single" w:sz="4" w:space="0" w:color="auto"/>
            </w:tcBorders>
          </w:tcPr>
          <w:p w:rsidR="00F95AF7" w:rsidRPr="004D55DA" w:rsidRDefault="00F95AF7" w:rsidP="00F95AF7">
            <w:pPr>
              <w:spacing w:line="360" w:lineRule="auto"/>
              <w:jc w:val="center"/>
              <w:rPr>
                <w:sz w:val="20"/>
              </w:rPr>
            </w:pPr>
            <w:r w:rsidRPr="004D55DA">
              <w:rPr>
                <w:sz w:val="20"/>
              </w:rPr>
              <w:t>Muito Boa</w:t>
            </w:r>
          </w:p>
        </w:tc>
      </w:tr>
      <w:tr w:rsidR="00F95AF7" w:rsidRPr="004D55DA" w:rsidTr="00F95AF7">
        <w:tc>
          <w:tcPr>
            <w:tcW w:w="2376" w:type="dxa"/>
          </w:tcPr>
          <w:p w:rsidR="00F95AF7" w:rsidRPr="004D55DA" w:rsidRDefault="00F95AF7" w:rsidP="001606DE">
            <w:pPr>
              <w:spacing w:line="360" w:lineRule="auto"/>
              <w:rPr>
                <w:sz w:val="20"/>
              </w:rPr>
            </w:pPr>
            <w:r w:rsidRPr="004D55DA">
              <w:rPr>
                <w:sz w:val="20"/>
              </w:rPr>
              <w:t>0,8-0,9</w:t>
            </w:r>
          </w:p>
        </w:tc>
        <w:tc>
          <w:tcPr>
            <w:tcW w:w="1701" w:type="dxa"/>
          </w:tcPr>
          <w:p w:rsidR="00F95AF7" w:rsidRPr="004D55DA" w:rsidRDefault="00F95AF7" w:rsidP="00F95AF7">
            <w:pPr>
              <w:spacing w:line="360" w:lineRule="auto"/>
              <w:jc w:val="center"/>
              <w:rPr>
                <w:sz w:val="20"/>
              </w:rPr>
            </w:pPr>
            <w:r w:rsidRPr="004D55DA">
              <w:rPr>
                <w:sz w:val="20"/>
              </w:rPr>
              <w:t>Boa</w:t>
            </w:r>
          </w:p>
        </w:tc>
      </w:tr>
      <w:tr w:rsidR="00F95AF7" w:rsidRPr="004D55DA" w:rsidTr="00F95AF7">
        <w:tc>
          <w:tcPr>
            <w:tcW w:w="2376" w:type="dxa"/>
          </w:tcPr>
          <w:p w:rsidR="00F95AF7" w:rsidRPr="004D55DA" w:rsidRDefault="00F95AF7" w:rsidP="001606DE">
            <w:pPr>
              <w:spacing w:line="360" w:lineRule="auto"/>
              <w:rPr>
                <w:sz w:val="20"/>
              </w:rPr>
            </w:pPr>
            <w:r w:rsidRPr="004D55DA">
              <w:rPr>
                <w:sz w:val="20"/>
              </w:rPr>
              <w:t>0,7-0,8</w:t>
            </w:r>
          </w:p>
        </w:tc>
        <w:tc>
          <w:tcPr>
            <w:tcW w:w="1701" w:type="dxa"/>
          </w:tcPr>
          <w:p w:rsidR="00F95AF7" w:rsidRPr="004D55DA" w:rsidRDefault="00F95AF7" w:rsidP="00F95AF7">
            <w:pPr>
              <w:spacing w:line="360" w:lineRule="auto"/>
              <w:jc w:val="center"/>
              <w:rPr>
                <w:sz w:val="20"/>
              </w:rPr>
            </w:pPr>
            <w:r w:rsidRPr="004D55DA">
              <w:rPr>
                <w:sz w:val="20"/>
              </w:rPr>
              <w:t>Média</w:t>
            </w:r>
          </w:p>
        </w:tc>
      </w:tr>
      <w:tr w:rsidR="00F95AF7" w:rsidRPr="004D55DA" w:rsidTr="00F95AF7">
        <w:tc>
          <w:tcPr>
            <w:tcW w:w="2376" w:type="dxa"/>
          </w:tcPr>
          <w:p w:rsidR="00F95AF7" w:rsidRPr="004D55DA" w:rsidRDefault="00F95AF7" w:rsidP="001606DE">
            <w:pPr>
              <w:spacing w:line="360" w:lineRule="auto"/>
              <w:rPr>
                <w:sz w:val="20"/>
              </w:rPr>
            </w:pPr>
            <w:r w:rsidRPr="004D55DA">
              <w:rPr>
                <w:sz w:val="20"/>
              </w:rPr>
              <w:t>0,6-0,7</w:t>
            </w:r>
          </w:p>
        </w:tc>
        <w:tc>
          <w:tcPr>
            <w:tcW w:w="1701" w:type="dxa"/>
          </w:tcPr>
          <w:p w:rsidR="00F95AF7" w:rsidRPr="004D55DA" w:rsidRDefault="00F95AF7" w:rsidP="00F95AF7">
            <w:pPr>
              <w:spacing w:line="360" w:lineRule="auto"/>
              <w:jc w:val="center"/>
              <w:rPr>
                <w:sz w:val="20"/>
              </w:rPr>
            </w:pPr>
            <w:r w:rsidRPr="004D55DA">
              <w:rPr>
                <w:sz w:val="20"/>
              </w:rPr>
              <w:t>Razoável</w:t>
            </w:r>
          </w:p>
        </w:tc>
      </w:tr>
      <w:tr w:rsidR="00F95AF7" w:rsidRPr="004D55DA" w:rsidTr="00F95AF7">
        <w:tc>
          <w:tcPr>
            <w:tcW w:w="2376" w:type="dxa"/>
          </w:tcPr>
          <w:p w:rsidR="00F95AF7" w:rsidRPr="004D55DA" w:rsidRDefault="00F95AF7" w:rsidP="001606DE">
            <w:pPr>
              <w:spacing w:line="360" w:lineRule="auto"/>
              <w:rPr>
                <w:sz w:val="20"/>
              </w:rPr>
            </w:pPr>
            <w:r w:rsidRPr="004D55DA">
              <w:rPr>
                <w:sz w:val="20"/>
              </w:rPr>
              <w:t>0,5-0,6</w:t>
            </w:r>
          </w:p>
        </w:tc>
        <w:tc>
          <w:tcPr>
            <w:tcW w:w="1701" w:type="dxa"/>
          </w:tcPr>
          <w:p w:rsidR="00F95AF7" w:rsidRPr="004D55DA" w:rsidRDefault="00F95AF7" w:rsidP="00F95AF7">
            <w:pPr>
              <w:spacing w:line="360" w:lineRule="auto"/>
              <w:jc w:val="center"/>
              <w:rPr>
                <w:sz w:val="20"/>
              </w:rPr>
            </w:pPr>
            <w:r w:rsidRPr="004D55DA">
              <w:rPr>
                <w:sz w:val="20"/>
              </w:rPr>
              <w:t>Má</w:t>
            </w:r>
          </w:p>
        </w:tc>
      </w:tr>
      <w:tr w:rsidR="00F95AF7" w:rsidRPr="004D55DA" w:rsidTr="00F95AF7">
        <w:tc>
          <w:tcPr>
            <w:tcW w:w="2376" w:type="dxa"/>
          </w:tcPr>
          <w:p w:rsidR="00F95AF7" w:rsidRPr="004D55DA" w:rsidRDefault="00F95AF7" w:rsidP="001606DE">
            <w:pPr>
              <w:spacing w:line="360" w:lineRule="auto"/>
              <w:rPr>
                <w:sz w:val="20"/>
              </w:rPr>
            </w:pPr>
            <w:r w:rsidRPr="004D55DA">
              <w:rPr>
                <w:sz w:val="20"/>
              </w:rPr>
              <w:t>&lt;0,5</w:t>
            </w:r>
          </w:p>
        </w:tc>
        <w:tc>
          <w:tcPr>
            <w:tcW w:w="1701" w:type="dxa"/>
          </w:tcPr>
          <w:p w:rsidR="00F95AF7" w:rsidRPr="004D55DA" w:rsidRDefault="00F95AF7" w:rsidP="00F95AF7">
            <w:pPr>
              <w:spacing w:line="360" w:lineRule="auto"/>
              <w:jc w:val="center"/>
              <w:rPr>
                <w:sz w:val="20"/>
              </w:rPr>
            </w:pPr>
            <w:r w:rsidRPr="004D55DA">
              <w:rPr>
                <w:sz w:val="20"/>
              </w:rPr>
              <w:t>Inaceitável</w:t>
            </w:r>
          </w:p>
        </w:tc>
      </w:tr>
    </w:tbl>
    <w:p w:rsidR="00F95AF7" w:rsidRPr="004D55DA" w:rsidRDefault="00F95AF7" w:rsidP="00F95AF7">
      <w:pPr>
        <w:spacing w:line="360" w:lineRule="auto"/>
        <w:rPr>
          <w:b/>
        </w:rPr>
      </w:pPr>
    </w:p>
    <w:p w:rsidR="00104A12" w:rsidRPr="006C074A" w:rsidRDefault="00104A12" w:rsidP="006C074A">
      <w:pPr>
        <w:spacing w:line="360" w:lineRule="auto"/>
        <w:jc w:val="both"/>
      </w:pPr>
      <w:r w:rsidRPr="006C074A">
        <w:br w:type="page"/>
      </w:r>
    </w:p>
    <w:p w:rsidR="00104A12" w:rsidRPr="00D713C2" w:rsidRDefault="00104A12" w:rsidP="00D216EA">
      <w:pPr>
        <w:pStyle w:val="Cabealho3"/>
        <w:ind w:left="0" w:firstLine="0"/>
        <w:rPr>
          <w:sz w:val="24"/>
          <w:szCs w:val="24"/>
          <w:u w:val="none"/>
        </w:rPr>
      </w:pPr>
      <w:bookmarkStart w:id="98" w:name="_Toc395292655"/>
      <w:bookmarkStart w:id="99" w:name="_Toc395730145"/>
      <w:r w:rsidRPr="00D713C2">
        <w:rPr>
          <w:sz w:val="24"/>
          <w:szCs w:val="24"/>
          <w:u w:val="none"/>
        </w:rPr>
        <w:lastRenderedPageBreak/>
        <w:t>Regressão linear</w:t>
      </w:r>
      <w:bookmarkEnd w:id="98"/>
      <w:bookmarkEnd w:id="99"/>
      <w:r w:rsidRPr="00D713C2">
        <w:rPr>
          <w:sz w:val="24"/>
          <w:szCs w:val="24"/>
          <w:u w:val="none"/>
        </w:rPr>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análise através de modelos de regressão é utilizada como uma ferramenta estatística que procura encontrar a relação existente entre duas ou mais variáveis para que uma variável possa ser calculada a partir de uma outra ou outras." (Neter &amp; Wasserman, 1985).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Esta forma de relação encontrada através de um modelo de regressão é diferente da relação encontrada através de uma função causal, uma vez que enquanto uma função apresenta uma relação perfeita entre as variáveis, a relação encontrada por modelos de regressão não é exatamente perfeita, apresentando distorções nos parâmetros estimados. Podemos designar a relação determinada por modelos de regressão como uma relação estatística.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objetivo de um modelo de regressão é determinar uma relação entre os dados de modo a que uma variável possa ser definida em relação a outra ou outras. Sabemos que esta relação encontrada não é perfeita apresentado erros nos valores estimados, sendo estas diferenças chamadas de erros de dispersão. O modelo de regressão será mais perfeito, quanto menores forem estes erros de dispersão.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Existem vários modelos de regressão e a escolha de um modelo depende das características dos dados e do objetivo que se pretende</w:t>
      </w:r>
      <w:r w:rsidR="00D216EA">
        <w:t xml:space="preserve"> alcançar. </w:t>
      </w:r>
      <w:r w:rsidRPr="004D55DA">
        <w:t>Segundo Neter &amp; Wasserman (1985), o modelo de regressão é uma metodologia que procura mostrar dois ingredientes essenciais da relação estatística. Por um lado, a tendência da variável dependente Y variar com uma ou várias variáveis independentes X, num sistema, e por outro, mostrar o conjunto de observações em torno da curva da relação estatística determinada.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Neter &amp; Wasserman (1985) refere ainda que estas duas características estão expressas num modelo de regressão pelos postulados seguintes: a) numa população de observações associadas a uma amostra de um processo, existe uma distribuição de probabilidade de Y associada para cada valor de X; b) o significado desta distribuição de probabilidade varia em função de X, de diversas formas possíveis. (p. ex.</w:t>
      </w:r>
      <w:r w:rsidR="00C205DC">
        <w:t>,</w:t>
      </w:r>
      <w:r w:rsidRPr="004D55DA">
        <w:t xml:space="preserve"> linear, curvilínea e/ou logaritmo).</w:t>
      </w:r>
    </w:p>
    <w:p w:rsidR="00104A12" w:rsidRPr="004D55DA" w:rsidRDefault="00104A12" w:rsidP="007F7964">
      <w:pPr>
        <w:spacing w:line="360" w:lineRule="auto"/>
        <w:jc w:val="both"/>
      </w:pPr>
    </w:p>
    <w:p w:rsidR="00104A12" w:rsidRPr="004D55DA" w:rsidRDefault="00104A12" w:rsidP="00D216EA">
      <w:pPr>
        <w:spacing w:line="360" w:lineRule="auto"/>
        <w:jc w:val="both"/>
      </w:pPr>
      <w:r w:rsidRPr="004D55DA">
        <w:lastRenderedPageBreak/>
        <w:t xml:space="preserve">Neste estudo foi utilizado o método de regressão linear, que descreve o relacionamento entre variáveis com uma equação linear matemática </w:t>
      </w:r>
      <m:oMath>
        <m:sSub>
          <m:sSubPr>
            <m:ctrlPr>
              <w:rPr>
                <w:rFonts w:ascii="Cambria Math" w:hAnsi="Cambria Math"/>
                <w:i/>
              </w:rPr>
            </m:ctrlPr>
          </m:sSubPr>
          <m:e>
            <m:r>
              <w:rPr>
                <w:rFonts w:ascii="Cambria Math" w:hAnsi="Cambria Math"/>
              </w:rPr>
              <m:t>y</m:t>
            </m:r>
          </m:e>
          <m:sub>
            <m:r>
              <w:rPr>
                <w:rFonts w:ascii="Cambria Math" w:hAnsi="Cambria Math"/>
                <w:vertAlign w:val="subscript"/>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vertAlign w:val="subscript"/>
              </w:rPr>
              <m:t>0</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vertAlign w:val="subscript"/>
              </w:rPr>
              <m:t>1</m:t>
            </m:r>
            <m:r>
              <w:rPr>
                <w:rFonts w:ascii="Cambria Math" w:hAnsi="Cambria Math"/>
              </w:rPr>
              <m:t>×</m:t>
            </m:r>
            <m:r>
              <w:rPr>
                <w:rFonts w:ascii="Cambria Math" w:hAnsi="Cambria Math"/>
                <w:vertAlign w:val="subscript"/>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vertAlign w:val="subscript"/>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vertAlign w:val="subscript"/>
              </w:rPr>
              <m:t>i</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vertAlign w:val="subscript"/>
              </w:rPr>
              <m:t>i</m:t>
            </m:r>
          </m:sub>
        </m:sSub>
        <m:r>
          <w:rPr>
            <w:rFonts w:ascii="Cambria Math" w:hAnsi="Cambria Math"/>
          </w:rPr>
          <m:t>,</m:t>
        </m:r>
      </m:oMath>
      <w:r w:rsidRPr="004D55DA">
        <w:t xml:space="preserve"> com utilização do método dos mínimos quadrados.</w:t>
      </w:r>
      <w:r w:rsidRPr="004D55DA">
        <w:br w:type="page"/>
      </w:r>
    </w:p>
    <w:p w:rsidR="00104A12" w:rsidRPr="004D55DA" w:rsidRDefault="00104A12" w:rsidP="007F7964">
      <w:pPr>
        <w:spacing w:line="360" w:lineRule="auto"/>
        <w:rPr>
          <w:b/>
        </w:rPr>
      </w:pPr>
    </w:p>
    <w:p w:rsidR="00104A12" w:rsidRPr="00D713C2" w:rsidRDefault="00104A12" w:rsidP="00D216EA">
      <w:pPr>
        <w:pStyle w:val="Cabealho3"/>
        <w:ind w:left="0" w:firstLine="0"/>
        <w:rPr>
          <w:sz w:val="24"/>
          <w:szCs w:val="24"/>
          <w:u w:val="none"/>
        </w:rPr>
      </w:pPr>
      <w:bookmarkStart w:id="100" w:name="_Toc395292656"/>
      <w:bookmarkStart w:id="101" w:name="_Toc395730146"/>
      <w:r w:rsidRPr="00D713C2">
        <w:rPr>
          <w:sz w:val="24"/>
          <w:szCs w:val="24"/>
          <w:u w:val="none"/>
        </w:rPr>
        <w:t>Modelos de equações estruturais</w:t>
      </w:r>
      <w:bookmarkEnd w:id="100"/>
      <w:bookmarkEnd w:id="101"/>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de equações estruturais, que por vezes é conhecido por LISREL, é um modelo linear que estabelece relações entre variáveis manifestas e latentes, bem como entre variáveis endógenas e exógenas, sejam latentes ou manifestas.</w:t>
      </w:r>
    </w:p>
    <w:p w:rsidR="00104A12" w:rsidRPr="004D55DA" w:rsidRDefault="00104A12" w:rsidP="007F7964">
      <w:pPr>
        <w:spacing w:line="360" w:lineRule="auto"/>
        <w:jc w:val="both"/>
      </w:pPr>
    </w:p>
    <w:p w:rsidR="004E39C3" w:rsidRPr="004D55DA" w:rsidRDefault="00104A12" w:rsidP="007F7964">
      <w:pPr>
        <w:spacing w:line="360" w:lineRule="auto"/>
        <w:jc w:val="both"/>
      </w:pPr>
      <w:r w:rsidRPr="004D55DA">
        <w:t>O modelo de equações estruturais</w:t>
      </w:r>
      <w:r w:rsidR="00FC05CE">
        <w:fldChar w:fldCharType="begin"/>
      </w:r>
      <w:r w:rsidR="00FC05CE">
        <w:instrText xml:space="preserve"> XE "</w:instrText>
      </w:r>
      <w:r w:rsidR="00FC05CE" w:rsidRPr="005B4A2D">
        <w:instrText>equações estruturais</w:instrText>
      </w:r>
      <w:r w:rsidR="00FC05CE">
        <w:instrText xml:space="preserve">" </w:instrText>
      </w:r>
      <w:r w:rsidR="00FC05CE">
        <w:fldChar w:fldCharType="end"/>
      </w:r>
      <w:r w:rsidRPr="004D55DA">
        <w:t xml:space="preserve"> subdivide-se em dois submodelos: o modelo de medida e o modelo estrutural</w:t>
      </w:r>
      <w:r w:rsidR="004E39C3" w:rsidRPr="004D55DA">
        <w:t xml:space="preserve"> (Maroco, 2010).</w:t>
      </w:r>
    </w:p>
    <w:p w:rsidR="00104A12" w:rsidRPr="004D55DA" w:rsidRDefault="00104A12" w:rsidP="007F7964">
      <w:pPr>
        <w:spacing w:line="360" w:lineRule="auto"/>
        <w:jc w:val="both"/>
      </w:pP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de medida define o modo como as variáveis latentes são operacionalizadas pelas variáveis manifestas, incluindo as variáveis endógenas e as exógenas. O modelo de medida das variáveis endógenas define-se da seguinte forma (Bollen, 1989):</w:t>
      </w:r>
    </w:p>
    <w:p w:rsidR="00104A12" w:rsidRPr="004D55DA" w:rsidRDefault="00104A12" w:rsidP="007F7964">
      <w:pPr>
        <w:spacing w:line="360" w:lineRule="auto"/>
        <w:jc w:val="both"/>
      </w:pPr>
    </w:p>
    <w:p w:rsidR="00104A12" w:rsidRPr="004D55DA" w:rsidRDefault="00BF31C8" w:rsidP="007F7964">
      <w:pPr>
        <w:spacing w:line="360" w:lineRule="auto"/>
        <w:jc w:val="both"/>
        <w:rPr>
          <w:rFonts w:ascii="Cambria Math" w:hAnsi="Cambria Math"/>
        </w:rPr>
      </w:pPr>
      <m:oMathPara>
        <m:oMath>
          <m:r>
            <w:rPr>
              <w:rFonts w:ascii="Cambria Math" w:hAnsi="Cambria Math"/>
            </w:rPr>
            <m:t xml:space="preserve">y = </m:t>
          </m:r>
          <m:sSub>
            <m:sSubPr>
              <m:ctrlPr>
                <w:rPr>
                  <w:rFonts w:ascii="Cambria Math" w:hAnsi="Cambria Math"/>
                  <w:i/>
                </w:rPr>
              </m:ctrlPr>
            </m:sSubPr>
            <m:e>
              <m:r>
                <w:rPr>
                  <w:rFonts w:ascii="Cambria Math" w:hAnsi="Cambria Math"/>
                </w:rPr>
                <m:t>Λ</m:t>
              </m:r>
            </m:e>
            <m:sub>
              <m:r>
                <w:rPr>
                  <w:rFonts w:ascii="Cambria Math" w:hAnsi="Cambria Math"/>
                  <w:vertAlign w:val="subscript"/>
                </w:rPr>
                <m:t>y</m:t>
              </m:r>
            </m:sub>
          </m:sSub>
          <m:r>
            <w:rPr>
              <w:rFonts w:ascii="Cambria Math" w:hAnsi="Cambria Math"/>
            </w:rPr>
            <m:t xml:space="preserve"> η + </m:t>
          </m:r>
          <m:r>
            <w:rPr>
              <w:rFonts w:ascii="Cambria Math" w:eastAsia="MS Mincho" w:hAnsi="Cambria Math" w:cs="MS Mincho" w:hint="eastAsia"/>
            </w:rPr>
            <m:t>ɛ</m:t>
          </m:r>
        </m:oMath>
      </m:oMathPara>
    </w:p>
    <w:p w:rsidR="00104A12" w:rsidRPr="004D55DA" w:rsidRDefault="00104A12" w:rsidP="007F7964">
      <w:pPr>
        <w:spacing w:line="360" w:lineRule="auto"/>
        <w:jc w:val="both"/>
      </w:pPr>
      <w:r w:rsidRPr="004D55DA">
        <w:t>onde:</w:t>
      </w:r>
    </w:p>
    <w:p w:rsidR="00104A12" w:rsidRPr="004D55DA" w:rsidRDefault="00104A12" w:rsidP="007F7964">
      <w:pPr>
        <w:spacing w:line="360" w:lineRule="auto"/>
        <w:jc w:val="both"/>
      </w:pPr>
      <w:r w:rsidRPr="004D55DA">
        <w:t>y é o vetor (</w:t>
      </w:r>
      <m:oMath>
        <m:r>
          <w:rPr>
            <w:rFonts w:ascii="Cambria Math" w:hAnsi="Cambria Math"/>
          </w:rPr>
          <m:t>p×1</m:t>
        </m:r>
      </m:oMath>
      <w:r w:rsidRPr="004D55DA">
        <w:t>) das p variáveis dependentes manifestas;</w:t>
      </w:r>
    </w:p>
    <w:p w:rsidR="00104A12" w:rsidRPr="004D55DA" w:rsidRDefault="00104A12" w:rsidP="007F7964">
      <w:pPr>
        <w:spacing w:line="360" w:lineRule="auto"/>
        <w:jc w:val="both"/>
      </w:pPr>
      <w:r w:rsidRPr="004D55DA">
        <w:t>Λ</w:t>
      </w:r>
      <w:r w:rsidRPr="004D55DA">
        <w:rPr>
          <w:vertAlign w:val="subscript"/>
        </w:rPr>
        <w:t xml:space="preserve">y </w:t>
      </w:r>
      <w:r w:rsidRPr="004D55DA">
        <w:t xml:space="preserve">é a matriz </w:t>
      </w:r>
      <m:oMath>
        <m:r>
          <w:rPr>
            <w:rFonts w:ascii="Cambria Math" w:hAnsi="Cambria Math"/>
          </w:rPr>
          <m:t>(p×r)</m:t>
        </m:r>
      </m:oMath>
      <w:r w:rsidRPr="004D55DA">
        <w:t xml:space="preserve"> dos pesos fatoriais de </w:t>
      </w:r>
      <w:r w:rsidRPr="004D55DA">
        <w:rPr>
          <w:i/>
        </w:rPr>
        <w:t>η</w:t>
      </w:r>
      <w:r w:rsidRPr="004D55DA">
        <w:t xml:space="preserve"> em y;</w:t>
      </w:r>
    </w:p>
    <w:p w:rsidR="00104A12" w:rsidRPr="004D55DA" w:rsidRDefault="00104A12" w:rsidP="007F7964">
      <w:pPr>
        <w:spacing w:line="360" w:lineRule="auto"/>
        <w:jc w:val="both"/>
      </w:pPr>
      <w:r w:rsidRPr="004D55DA">
        <w:rPr>
          <w:i/>
        </w:rPr>
        <w:t xml:space="preserve">η </w:t>
      </w:r>
      <w:r w:rsidRPr="004D55DA">
        <w:t xml:space="preserve">é o vetor </w:t>
      </w:r>
      <m:oMath>
        <m:r>
          <w:rPr>
            <w:rFonts w:ascii="Cambria Math" w:hAnsi="Cambria Math"/>
          </w:rPr>
          <m:t>(r×1)</m:t>
        </m:r>
      </m:oMath>
      <w:r w:rsidRPr="004D55DA">
        <w:t xml:space="preserve"> das r variáveis latentes dependentes;</w:t>
      </w:r>
    </w:p>
    <w:p w:rsidR="00104A12" w:rsidRPr="004D55DA" w:rsidRDefault="00104A12" w:rsidP="007F7964">
      <w:pPr>
        <w:spacing w:line="360" w:lineRule="auto"/>
        <w:jc w:val="both"/>
      </w:pPr>
      <w:r w:rsidRPr="004D55DA">
        <w:rPr>
          <w:rFonts w:ascii="MS Mincho" w:eastAsia="MS Mincho" w:hAnsi="MS Mincho" w:cs="MS Mincho" w:hint="eastAsia"/>
        </w:rPr>
        <w:t>ɛ</w:t>
      </w:r>
      <w:r w:rsidRPr="004D55DA">
        <w:t xml:space="preserve"> é o vetor </w:t>
      </w:r>
      <m:oMath>
        <m:r>
          <w:rPr>
            <w:rFonts w:ascii="Cambria Math" w:hAnsi="Cambria Math"/>
          </w:rPr>
          <m:t>(p×1)</m:t>
        </m:r>
      </m:oMath>
      <w:r w:rsidRPr="004D55DA">
        <w:t xml:space="preserve"> dos erros de medida de y.</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modelo de medida das variáveis exógenas define-se da seguinte forma</w:t>
      </w:r>
    </w:p>
    <w:p w:rsidR="00104A12" w:rsidRPr="004D55DA" w:rsidRDefault="00104A12" w:rsidP="007F7964">
      <w:pPr>
        <w:spacing w:line="360" w:lineRule="auto"/>
        <w:jc w:val="both"/>
      </w:pPr>
    </w:p>
    <w:p w:rsidR="00104A12" w:rsidRPr="004D55DA" w:rsidRDefault="00BF31C8" w:rsidP="007F7964">
      <w:pPr>
        <w:spacing w:line="360" w:lineRule="auto"/>
        <w:jc w:val="both"/>
        <w:rPr>
          <w:rFonts w:ascii="Cambria Math" w:hAnsi="Cambria Math"/>
        </w:rPr>
      </w:pPr>
      <m:oMathPara>
        <m:oMath>
          <m:r>
            <w:rPr>
              <w:rFonts w:ascii="Cambria Math" w:hAnsi="Cambria Math"/>
            </w:rPr>
            <m:t xml:space="preserve">x = </m:t>
          </m:r>
          <m:sSub>
            <m:sSubPr>
              <m:ctrlPr>
                <w:rPr>
                  <w:rFonts w:ascii="Cambria Math" w:hAnsi="Cambria Math"/>
                  <w:i/>
                </w:rPr>
              </m:ctrlPr>
            </m:sSubPr>
            <m:e>
              <m:r>
                <w:rPr>
                  <w:rFonts w:ascii="Cambria Math" w:hAnsi="Cambria Math"/>
                </w:rPr>
                <m:t>Λ</m:t>
              </m:r>
            </m:e>
            <m:sub>
              <m:r>
                <w:rPr>
                  <w:rFonts w:ascii="Cambria Math" w:hAnsi="Cambria Math"/>
                  <w:vertAlign w:val="subscript"/>
                </w:rPr>
                <m:t>x</m:t>
              </m:r>
            </m:sub>
          </m:sSub>
          <m:r>
            <w:rPr>
              <w:rFonts w:ascii="Cambria Math" w:hAnsi="Cambria Math"/>
            </w:rPr>
            <m:t xml:space="preserve"> ξ + δ</m:t>
          </m:r>
        </m:oMath>
      </m:oMathPara>
    </w:p>
    <w:p w:rsidR="00104A12" w:rsidRPr="004D55DA" w:rsidRDefault="00104A12" w:rsidP="007F7964">
      <w:pPr>
        <w:spacing w:line="360" w:lineRule="auto"/>
        <w:jc w:val="both"/>
      </w:pPr>
      <w:r w:rsidRPr="004D55DA">
        <w:t>onde:</w:t>
      </w:r>
    </w:p>
    <w:p w:rsidR="00104A12" w:rsidRPr="004D55DA" w:rsidRDefault="00104A12" w:rsidP="007F7964">
      <w:pPr>
        <w:spacing w:line="360" w:lineRule="auto"/>
        <w:jc w:val="both"/>
      </w:pPr>
      <w:r w:rsidRPr="004D55DA">
        <w:t xml:space="preserve">x é o vetor </w:t>
      </w:r>
      <m:oMath>
        <m:r>
          <w:rPr>
            <w:rFonts w:ascii="Cambria Math" w:hAnsi="Cambria Math"/>
          </w:rPr>
          <m:t>(q×1)</m:t>
        </m:r>
      </m:oMath>
      <w:r w:rsidRPr="004D55DA">
        <w:t xml:space="preserve"> das p variáveis independentes manifestas;</w:t>
      </w:r>
    </w:p>
    <w:p w:rsidR="00104A12" w:rsidRPr="004D55DA" w:rsidRDefault="00104A12" w:rsidP="007F7964">
      <w:pPr>
        <w:spacing w:line="360" w:lineRule="auto"/>
        <w:jc w:val="both"/>
      </w:pPr>
      <w:r w:rsidRPr="004D55DA">
        <w:t>Λ</w:t>
      </w:r>
      <w:r w:rsidRPr="004D55DA">
        <w:rPr>
          <w:vertAlign w:val="subscript"/>
        </w:rPr>
        <w:t xml:space="preserve">x </w:t>
      </w:r>
      <w:r w:rsidRPr="004D55DA">
        <w:t xml:space="preserve">é a matriz </w:t>
      </w:r>
      <m:oMath>
        <m:r>
          <w:rPr>
            <w:rFonts w:ascii="Cambria Math" w:hAnsi="Cambria Math"/>
          </w:rPr>
          <m:t>(q×s)</m:t>
        </m:r>
      </m:oMath>
      <w:r w:rsidRPr="004D55DA">
        <w:t xml:space="preserve"> dos pesos fatoriais de </w:t>
      </w:r>
      <w:r w:rsidRPr="004D55DA">
        <w:rPr>
          <w:i/>
        </w:rPr>
        <w:t>ξ</w:t>
      </w:r>
      <w:r w:rsidRPr="004D55DA">
        <w:t xml:space="preserve"> em x;</w:t>
      </w:r>
    </w:p>
    <w:p w:rsidR="00104A12" w:rsidRPr="004D55DA" w:rsidRDefault="00104A12" w:rsidP="007F7964">
      <w:pPr>
        <w:spacing w:line="360" w:lineRule="auto"/>
        <w:jc w:val="both"/>
      </w:pPr>
      <w:r w:rsidRPr="004D55DA">
        <w:rPr>
          <w:i/>
        </w:rPr>
        <w:t xml:space="preserve">ξ </w:t>
      </w:r>
      <w:r w:rsidRPr="004D55DA">
        <w:t xml:space="preserve">é o vetor </w:t>
      </w:r>
      <m:oMath>
        <m:r>
          <w:rPr>
            <w:rFonts w:ascii="Cambria Math" w:hAnsi="Cambria Math"/>
          </w:rPr>
          <m:t>(s×1)</m:t>
        </m:r>
      </m:oMath>
      <w:r w:rsidRPr="004D55DA">
        <w:t xml:space="preserve"> das s variáveis latentes independentes;</w:t>
      </w:r>
    </w:p>
    <w:p w:rsidR="00104A12" w:rsidRPr="004D55DA" w:rsidRDefault="00104A12" w:rsidP="007F7964">
      <w:pPr>
        <w:spacing w:line="360" w:lineRule="auto"/>
        <w:jc w:val="both"/>
      </w:pPr>
      <w:r w:rsidRPr="004D55DA">
        <w:t xml:space="preserve">δ é o vetor </w:t>
      </w:r>
      <m:oMath>
        <m:r>
          <w:rPr>
            <w:rFonts w:ascii="Cambria Math" w:hAnsi="Cambria Math"/>
          </w:rPr>
          <m:t>(q×1)</m:t>
        </m:r>
      </m:oMath>
      <w:r w:rsidRPr="004D55DA">
        <w:t xml:space="preserve"> dos erros de medida de x.</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O modelo estrutural define as relações causais entre as variáveis latentes, podendo definir-se da seguinte forma:</w:t>
      </w:r>
    </w:p>
    <w:p w:rsidR="00104A12" w:rsidRPr="004D55DA" w:rsidRDefault="00104A12" w:rsidP="007F7964">
      <w:pPr>
        <w:spacing w:line="360" w:lineRule="auto"/>
        <w:jc w:val="both"/>
      </w:pPr>
    </w:p>
    <w:p w:rsidR="00104A12" w:rsidRPr="004D55DA" w:rsidRDefault="00BF31C8" w:rsidP="007F7964">
      <w:pPr>
        <w:spacing w:line="360" w:lineRule="auto"/>
        <w:jc w:val="both"/>
        <w:rPr>
          <w:rFonts w:ascii="Cambria Math" w:hAnsi="Cambria Math"/>
        </w:rPr>
      </w:pPr>
      <m:oMathPara>
        <m:oMath>
          <m:r>
            <w:rPr>
              <w:rFonts w:ascii="Cambria Math" w:hAnsi="Cambria Math"/>
            </w:rPr>
            <m:t>η = B η + Γξ + ς</m:t>
          </m:r>
        </m:oMath>
      </m:oMathPara>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onde:</w:t>
      </w:r>
    </w:p>
    <w:p w:rsidR="00104A12" w:rsidRPr="004D55DA" w:rsidRDefault="00104A12" w:rsidP="007F7964">
      <w:pPr>
        <w:spacing w:line="360" w:lineRule="auto"/>
        <w:jc w:val="both"/>
        <w:rPr>
          <w:i/>
        </w:rPr>
      </w:pPr>
      <w:r w:rsidRPr="004D55DA">
        <w:t xml:space="preserve">B é a matriz </w:t>
      </w:r>
      <m:oMath>
        <m:r>
          <w:rPr>
            <w:rFonts w:ascii="Cambria Math" w:hAnsi="Cambria Math"/>
          </w:rPr>
          <m:t>(r×r)</m:t>
        </m:r>
      </m:oMath>
      <w:r w:rsidRPr="004D55DA">
        <w:t xml:space="preserve"> dos coeficientes de </w:t>
      </w:r>
      <w:r w:rsidRPr="004D55DA">
        <w:rPr>
          <w:i/>
        </w:rPr>
        <w:t xml:space="preserve">η </w:t>
      </w:r>
      <w:r w:rsidRPr="004D55DA">
        <w:t>do modelo estrutural com βii=0</w:t>
      </w:r>
      <w:r w:rsidRPr="004D55DA">
        <w:rPr>
          <w:i/>
        </w:rPr>
        <w:t>;</w:t>
      </w:r>
    </w:p>
    <w:p w:rsidR="00104A12" w:rsidRPr="004D55DA" w:rsidRDefault="00104A12" w:rsidP="007F7964">
      <w:pPr>
        <w:spacing w:line="360" w:lineRule="auto"/>
        <w:jc w:val="both"/>
        <w:rPr>
          <w:i/>
        </w:rPr>
      </w:pPr>
      <w:r w:rsidRPr="004D55DA">
        <w:rPr>
          <w:i/>
        </w:rPr>
        <w:t xml:space="preserve">Γ </w:t>
      </w:r>
      <w:r w:rsidRPr="004D55DA">
        <w:t xml:space="preserve">é a matriz </w:t>
      </w:r>
      <m:oMath>
        <m:r>
          <w:rPr>
            <w:rFonts w:ascii="Cambria Math" w:hAnsi="Cambria Math"/>
          </w:rPr>
          <m:t>(r×s)</m:t>
        </m:r>
      </m:oMath>
      <w:r w:rsidRPr="004D55DA">
        <w:t xml:space="preserve"> dos coeficientes de x no modelo estrutural;</w:t>
      </w:r>
    </w:p>
    <w:p w:rsidR="00104A12" w:rsidRPr="004D55DA" w:rsidRDefault="00104A12" w:rsidP="007F7964">
      <w:pPr>
        <w:spacing w:line="360" w:lineRule="auto"/>
        <w:jc w:val="both"/>
        <w:rPr>
          <w:i/>
        </w:rPr>
      </w:pPr>
      <w:r w:rsidRPr="004D55DA">
        <w:rPr>
          <w:i/>
        </w:rPr>
        <w:t xml:space="preserve">ς </w:t>
      </w:r>
      <w:r w:rsidRPr="004D55DA">
        <w:t xml:space="preserve">é o vetor </w:t>
      </w:r>
      <m:oMath>
        <m:r>
          <w:rPr>
            <w:rFonts w:ascii="Cambria Math" w:hAnsi="Cambria Math"/>
          </w:rPr>
          <m:t>(r×1)</m:t>
        </m:r>
      </m:oMath>
      <w:r w:rsidRPr="004D55DA">
        <w:t xml:space="preserve"> dos r resíduos do modelo.</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400" w:lineRule="atLeast"/>
        <w:jc w:val="both"/>
      </w:pPr>
      <w:r w:rsidRPr="004D55DA">
        <w:t>Neste estudo, a técnica foi</w:t>
      </w:r>
      <w:r w:rsidR="001A0B71">
        <w:t xml:space="preserve"> utilizada para avaliar os fa</w:t>
      </w:r>
      <w:r w:rsidRPr="004D55DA">
        <w:t xml:space="preserve">tores latentes reflexivos e as relações causais com as variáveis manifestas ou indicadores, bem como para testar as relações causais entre as variáveis exógenas e endógenas no modelo estrutural, tendo-se recorrido ao </w:t>
      </w:r>
      <w:r w:rsidR="00136906">
        <w:t>“</w:t>
      </w:r>
      <w:r w:rsidRPr="004D55DA">
        <w:t>software</w:t>
      </w:r>
      <w:r w:rsidR="00136906">
        <w:t>”</w:t>
      </w:r>
      <w:r w:rsidRPr="004D55DA">
        <w:t xml:space="preserve"> AMOS18.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Em síntese, neste trabalho recorre-se às metodologias data envelopment analysis, </w:t>
      </w:r>
      <w:r w:rsidR="00D36A58">
        <w:t>análise de componentes principais</w:t>
      </w:r>
      <w:r w:rsidRPr="004D55DA">
        <w:t xml:space="preserve">, regressão linear e sistemas de equações estruturais. Os métodos são apresentados neste capítulo de forma breve, visto o contributo da tese não se cingir ao desenvolvimento destes modelos, mas sim à aplicação dos mesmos </w:t>
      </w:r>
      <w:r w:rsidR="00136906">
        <w:t>à</w:t>
      </w:r>
      <w:r w:rsidRPr="004D55DA">
        <w:t xml:space="preserve"> realidade específica do desempenho dos terminais de contentores.</w:t>
      </w:r>
    </w:p>
    <w:p w:rsidR="00104A12" w:rsidRPr="004D55DA" w:rsidRDefault="00104A12" w:rsidP="007F7964">
      <w:pPr>
        <w:spacing w:line="360" w:lineRule="auto"/>
        <w:jc w:val="both"/>
      </w:pPr>
      <w:r w:rsidRPr="004D55DA">
        <w:br w:type="page"/>
      </w:r>
    </w:p>
    <w:p w:rsidR="00104A12" w:rsidRPr="004D55DA" w:rsidRDefault="00104A12" w:rsidP="00F72F59">
      <w:pPr>
        <w:pStyle w:val="Cabealho1"/>
        <w:rPr>
          <w:lang w:eastAsia="en-US"/>
        </w:rPr>
      </w:pPr>
      <w:bookmarkStart w:id="102" w:name="_Toc326569857"/>
      <w:bookmarkStart w:id="103" w:name="_Toc326569890"/>
      <w:bookmarkStart w:id="104" w:name="_Toc326569942"/>
      <w:bookmarkStart w:id="105" w:name="_Toc326569972"/>
      <w:bookmarkStart w:id="106" w:name="_Toc326600596"/>
      <w:bookmarkStart w:id="107" w:name="_Toc326687056"/>
      <w:bookmarkStart w:id="108" w:name="_Toc332359606"/>
      <w:bookmarkStart w:id="109" w:name="_Toc332359669"/>
      <w:bookmarkStart w:id="110" w:name="_Toc332710663"/>
      <w:bookmarkStart w:id="111" w:name="_Toc333589351"/>
      <w:bookmarkStart w:id="112" w:name="_Toc333594905"/>
      <w:bookmarkStart w:id="113" w:name="_Toc333594965"/>
      <w:bookmarkStart w:id="114" w:name="_Toc333595024"/>
      <w:bookmarkStart w:id="115" w:name="_Toc337927951"/>
      <w:bookmarkStart w:id="116" w:name="_Toc348607076"/>
      <w:bookmarkStart w:id="117" w:name="_Toc364934210"/>
      <w:bookmarkStart w:id="118" w:name="_Toc364959846"/>
      <w:bookmarkStart w:id="119" w:name="_Toc364959901"/>
      <w:bookmarkStart w:id="120" w:name="_Toc364959954"/>
      <w:bookmarkStart w:id="121" w:name="_Toc364960006"/>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rsidR="00104A12" w:rsidRPr="00F72F59" w:rsidRDefault="00104A12" w:rsidP="00F72F59">
      <w:pPr>
        <w:pStyle w:val="Cabealho1"/>
        <w:numPr>
          <w:ilvl w:val="0"/>
          <w:numId w:val="1"/>
        </w:numPr>
        <w:rPr>
          <w:rFonts w:ascii="Times New Roman" w:hAnsi="Times New Roman"/>
          <w:sz w:val="24"/>
          <w:szCs w:val="24"/>
          <w:lang w:eastAsia="en-US"/>
        </w:rPr>
      </w:pPr>
      <w:bookmarkStart w:id="122" w:name="_Toc395730147"/>
      <w:r w:rsidRPr="00F72F59">
        <w:rPr>
          <w:rFonts w:ascii="Times New Roman" w:hAnsi="Times New Roman"/>
          <w:sz w:val="24"/>
          <w:szCs w:val="24"/>
        </w:rPr>
        <w:t>Resultados</w:t>
      </w:r>
      <w:bookmarkEnd w:id="122"/>
    </w:p>
    <w:p w:rsidR="00840612" w:rsidRDefault="00840612" w:rsidP="007F7964">
      <w:pPr>
        <w:spacing w:line="360" w:lineRule="auto"/>
        <w:jc w:val="both"/>
      </w:pPr>
    </w:p>
    <w:p w:rsidR="00840612" w:rsidRDefault="00104A12" w:rsidP="007F7964">
      <w:pPr>
        <w:spacing w:line="360" w:lineRule="auto"/>
        <w:jc w:val="both"/>
      </w:pPr>
      <w:r w:rsidRPr="004D55DA">
        <w:t>Neste capítulo são apresentados os resultados</w:t>
      </w:r>
      <w:r w:rsidR="00FC05CE">
        <w:fldChar w:fldCharType="begin"/>
      </w:r>
      <w:r w:rsidR="00FC05CE">
        <w:instrText xml:space="preserve"> XE "</w:instrText>
      </w:r>
      <w:r w:rsidR="00FC05CE" w:rsidRPr="004E586C">
        <w:instrText>resultados</w:instrText>
      </w:r>
      <w:r w:rsidR="00FC05CE">
        <w:instrText xml:space="preserve">" </w:instrText>
      </w:r>
      <w:r w:rsidR="00FC05CE">
        <w:fldChar w:fldCharType="end"/>
      </w:r>
      <w:r w:rsidRPr="004D55DA">
        <w:t xml:space="preserve"> da análise descritiva e da aplicação de métodos estatísticos aos resultados dos dois inquéritos realizados. </w:t>
      </w:r>
      <w:r w:rsidR="008B562A">
        <w:t>A</w:t>
      </w:r>
      <w:r w:rsidR="001A0B71">
        <w:t>presenta</w:t>
      </w:r>
      <w:r w:rsidR="00F01235">
        <w:t>m</w:t>
      </w:r>
      <w:r w:rsidR="001A0B71">
        <w:t xml:space="preserve">-se </w:t>
      </w:r>
      <w:r w:rsidR="008B562A">
        <w:t>os resultados d</w:t>
      </w:r>
      <w:r w:rsidR="001A0B71">
        <w:t xml:space="preserve">o </w:t>
      </w:r>
      <w:r w:rsidRPr="004D55DA">
        <w:t>primeiro inquérito</w:t>
      </w:r>
      <w:r w:rsidR="00840612">
        <w:t>,</w:t>
      </w:r>
      <w:r w:rsidR="001A0B71">
        <w:t xml:space="preserve"> </w:t>
      </w:r>
      <w:r w:rsidRPr="004D55DA">
        <w:t>segundo inquérito</w:t>
      </w:r>
      <w:r w:rsidR="004E39C3" w:rsidRPr="004D55DA">
        <w:t xml:space="preserve"> </w:t>
      </w:r>
      <w:r w:rsidR="001A0B71">
        <w:t xml:space="preserve">em </w:t>
      </w:r>
      <w:r w:rsidRPr="004D55DA">
        <w:t>Portugal e Espanha e</w:t>
      </w:r>
      <w:r w:rsidR="001A0B71">
        <w:t xml:space="preserve"> </w:t>
      </w:r>
      <w:r w:rsidR="00840612">
        <w:t xml:space="preserve">segundo inquérito </w:t>
      </w:r>
      <w:r w:rsidR="001A0B71">
        <w:t xml:space="preserve">na </w:t>
      </w:r>
      <w:r w:rsidRPr="004D55DA">
        <w:t>Europa</w:t>
      </w:r>
      <w:r w:rsidR="00F01235">
        <w:t>.</w:t>
      </w:r>
    </w:p>
    <w:p w:rsidR="00F01235" w:rsidRDefault="0050397D" w:rsidP="0050397D">
      <w:r>
        <w:br w:type="page"/>
      </w:r>
    </w:p>
    <w:p w:rsidR="00104A12" w:rsidRPr="00BE6593" w:rsidRDefault="00104A12" w:rsidP="00D216EA">
      <w:pPr>
        <w:pStyle w:val="Cabealho2"/>
        <w:ind w:left="0" w:firstLine="0"/>
        <w:rPr>
          <w:sz w:val="24"/>
          <w:szCs w:val="24"/>
          <w:lang w:val="pt-PT"/>
        </w:rPr>
      </w:pPr>
      <w:bookmarkStart w:id="123" w:name="_Toc395730148"/>
      <w:r w:rsidRPr="00BE6593">
        <w:rPr>
          <w:sz w:val="24"/>
          <w:szCs w:val="24"/>
          <w:lang w:val="pt-PT"/>
        </w:rPr>
        <w:lastRenderedPageBreak/>
        <w:t>Primeiro inquérito</w:t>
      </w:r>
      <w:r w:rsidR="001606DE">
        <w:rPr>
          <w:sz w:val="24"/>
          <w:szCs w:val="24"/>
          <w:lang w:val="pt-PT"/>
        </w:rPr>
        <w:t xml:space="preserve"> (pré-teste)</w:t>
      </w:r>
      <w:r w:rsidRPr="00BE6593">
        <w:rPr>
          <w:sz w:val="24"/>
          <w:szCs w:val="24"/>
          <w:lang w:val="pt-PT"/>
        </w:rPr>
        <w:t xml:space="preserve"> – </w:t>
      </w:r>
      <w:r w:rsidR="00136906" w:rsidRPr="00BE6593">
        <w:rPr>
          <w:sz w:val="24"/>
          <w:szCs w:val="24"/>
          <w:lang w:val="pt-PT"/>
        </w:rPr>
        <w:t>perceção</w:t>
      </w:r>
      <w:r w:rsidRPr="00BE6593">
        <w:rPr>
          <w:sz w:val="24"/>
          <w:szCs w:val="24"/>
          <w:lang w:val="pt-PT"/>
        </w:rPr>
        <w:t xml:space="preserve"> dos utilizadores do termina</w:t>
      </w:r>
      <w:r w:rsidR="00780322">
        <w:rPr>
          <w:sz w:val="24"/>
          <w:szCs w:val="24"/>
          <w:lang w:val="pt-PT"/>
        </w:rPr>
        <w:t>l</w:t>
      </w:r>
      <w:bookmarkEnd w:id="123"/>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do primeiro inquérito</w:t>
      </w:r>
      <w:r w:rsidR="001606DE">
        <w:t xml:space="preserve"> </w:t>
      </w:r>
      <w:r w:rsidR="00FC05CE">
        <w:fldChar w:fldCharType="begin"/>
      </w:r>
      <w:r w:rsidR="00FC05CE">
        <w:instrText xml:space="preserve"> XE "</w:instrText>
      </w:r>
      <w:r w:rsidR="00FC05CE" w:rsidRPr="00F66A27">
        <w:instrText>primeiro inquérito</w:instrText>
      </w:r>
      <w:r w:rsidR="00FC05CE">
        <w:instrText xml:space="preserve">" </w:instrText>
      </w:r>
      <w:r w:rsidR="00FC05CE">
        <w:fldChar w:fldCharType="end"/>
      </w:r>
      <w:r w:rsidR="001606DE">
        <w:t>não permitem rejeitar</w:t>
      </w:r>
      <w:r w:rsidRPr="004D55DA">
        <w:t xml:space="preserve"> a relação entre as características do porto e do terminal e o desempenho do terminal de contentores no que diz respeito à atividade, eficiência e produtividade e satisfação do cliente. </w:t>
      </w:r>
      <w:r w:rsidR="001606DE">
        <w:t>Nem permitem rejeitar</w:t>
      </w:r>
      <w:r w:rsidRPr="004D55DA">
        <w:t xml:space="preserve"> que a localização continental e regional, acessibilidades terrestres e marítimas, dinamismo do porto, serviços marítimos e organização logística do terminal, são características com influência no desempenho.</w:t>
      </w:r>
    </w:p>
    <w:p w:rsidR="00104A12" w:rsidRPr="004D55DA" w:rsidRDefault="00104A12" w:rsidP="007F7964">
      <w:pPr>
        <w:spacing w:line="360" w:lineRule="auto"/>
        <w:jc w:val="both"/>
      </w:pPr>
    </w:p>
    <w:p w:rsidR="00104A12" w:rsidRPr="00D713C2" w:rsidRDefault="00104A12" w:rsidP="00D216EA">
      <w:pPr>
        <w:pStyle w:val="Cabealho3"/>
        <w:ind w:left="0" w:firstLine="0"/>
        <w:rPr>
          <w:rStyle w:val="nfase"/>
          <w:i w:val="0"/>
          <w:iCs/>
          <w:sz w:val="24"/>
          <w:szCs w:val="24"/>
          <w:u w:val="none"/>
        </w:rPr>
      </w:pPr>
      <w:bookmarkStart w:id="124" w:name="_Toc374297030"/>
      <w:bookmarkStart w:id="125" w:name="_Toc395292659"/>
      <w:bookmarkStart w:id="126" w:name="_Toc395730149"/>
      <w:r w:rsidRPr="00D713C2">
        <w:rPr>
          <w:rStyle w:val="nfase"/>
          <w:i w:val="0"/>
          <w:iCs/>
          <w:sz w:val="24"/>
          <w:szCs w:val="24"/>
          <w:u w:val="none"/>
        </w:rPr>
        <w:t>Análise descritiva</w:t>
      </w:r>
      <w:bookmarkEnd w:id="124"/>
      <w:bookmarkEnd w:id="125"/>
      <w:bookmarkEnd w:id="126"/>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aspetos analisados incluíram a importância das características do porto e do terminal de contentores para o desempenho e a importância das medidas de desempenho do terminal de contentores, em termos gerais.</w:t>
      </w:r>
    </w:p>
    <w:p w:rsidR="00104A12" w:rsidRPr="004D55DA" w:rsidRDefault="00104A12" w:rsidP="007F7964">
      <w:pPr>
        <w:spacing w:line="360" w:lineRule="auto"/>
        <w:jc w:val="both"/>
      </w:pPr>
      <w:r w:rsidRPr="004D55DA">
        <w:t xml:space="preserve">Na Tabela 8, referem-se os resultados do primeiro inquérito relativos à </w:t>
      </w:r>
      <w:r w:rsidR="00136906" w:rsidRPr="004D55DA">
        <w:t>perceção</w:t>
      </w:r>
      <w:r w:rsidRPr="004D55DA">
        <w:t xml:space="preserve"> dos utilizadores do porto sobre a importância das medidas de desempenho e as características do porto e do terminal de contentores, classificados em termos qualitativos de 1 a 5, dos quais se destacam as seguintes variáveis com maiores valores médios:</w:t>
      </w:r>
    </w:p>
    <w:p w:rsidR="00104A12" w:rsidRPr="004D55DA" w:rsidRDefault="00104A12" w:rsidP="007F7964">
      <w:pPr>
        <w:spacing w:line="360" w:lineRule="auto"/>
        <w:jc w:val="both"/>
      </w:pPr>
    </w:p>
    <w:p w:rsidR="00104A12" w:rsidRPr="004D55DA" w:rsidRDefault="00104A12" w:rsidP="00D216EA">
      <w:pPr>
        <w:numPr>
          <w:ilvl w:val="0"/>
          <w:numId w:val="24"/>
        </w:numPr>
        <w:spacing w:line="360" w:lineRule="auto"/>
        <w:ind w:left="0" w:firstLine="0"/>
        <w:jc w:val="both"/>
        <w:rPr>
          <w:i/>
        </w:rPr>
      </w:pPr>
      <w:r w:rsidRPr="004D55DA">
        <w:rPr>
          <w:i/>
        </w:rPr>
        <w:t>produtividade do terminal;</w:t>
      </w:r>
    </w:p>
    <w:p w:rsidR="00104A12" w:rsidRPr="004D55DA" w:rsidRDefault="00104A12" w:rsidP="00D216EA">
      <w:pPr>
        <w:numPr>
          <w:ilvl w:val="0"/>
          <w:numId w:val="24"/>
        </w:numPr>
        <w:spacing w:line="360" w:lineRule="auto"/>
        <w:ind w:left="0" w:firstLine="0"/>
        <w:jc w:val="both"/>
        <w:rPr>
          <w:i/>
        </w:rPr>
      </w:pPr>
      <w:r w:rsidRPr="004D55DA">
        <w:rPr>
          <w:i/>
        </w:rPr>
        <w:t>eficiência;</w:t>
      </w:r>
    </w:p>
    <w:p w:rsidR="00104A12" w:rsidRPr="004D55DA" w:rsidRDefault="00104A12" w:rsidP="00D216EA">
      <w:pPr>
        <w:numPr>
          <w:ilvl w:val="0"/>
          <w:numId w:val="24"/>
        </w:numPr>
        <w:spacing w:line="360" w:lineRule="auto"/>
        <w:ind w:left="0" w:firstLine="0"/>
        <w:jc w:val="both"/>
        <w:rPr>
          <w:i/>
        </w:rPr>
      </w:pPr>
      <w:r w:rsidRPr="004D55DA">
        <w:rPr>
          <w:i/>
        </w:rPr>
        <w:t>equipamento de cais e de parque do terminal;</w:t>
      </w:r>
    </w:p>
    <w:p w:rsidR="00104A12" w:rsidRPr="004D55DA" w:rsidRDefault="00104A12" w:rsidP="00D216EA">
      <w:pPr>
        <w:numPr>
          <w:ilvl w:val="0"/>
          <w:numId w:val="24"/>
        </w:numPr>
        <w:spacing w:line="360" w:lineRule="auto"/>
        <w:ind w:left="0" w:firstLine="0"/>
        <w:jc w:val="both"/>
        <w:rPr>
          <w:i/>
        </w:rPr>
      </w:pPr>
      <w:r w:rsidRPr="004D55DA">
        <w:rPr>
          <w:i/>
        </w:rPr>
        <w:t>acessibilidades rodoviárias;</w:t>
      </w:r>
    </w:p>
    <w:p w:rsidR="00104A12" w:rsidRPr="004D55DA" w:rsidRDefault="00104A12" w:rsidP="00D216EA">
      <w:pPr>
        <w:numPr>
          <w:ilvl w:val="0"/>
          <w:numId w:val="24"/>
        </w:numPr>
        <w:spacing w:line="360" w:lineRule="auto"/>
        <w:ind w:left="0" w:firstLine="0"/>
        <w:jc w:val="both"/>
        <w:rPr>
          <w:i/>
        </w:rPr>
      </w:pPr>
      <w:r w:rsidRPr="004D55DA">
        <w:rPr>
          <w:i/>
        </w:rPr>
        <w:t>fiabilidade do terminal de contentores;</w:t>
      </w:r>
    </w:p>
    <w:p w:rsidR="00104A12" w:rsidRPr="004D55DA" w:rsidRDefault="00104A12" w:rsidP="00D216EA">
      <w:pPr>
        <w:numPr>
          <w:ilvl w:val="0"/>
          <w:numId w:val="24"/>
        </w:numPr>
        <w:spacing w:line="360" w:lineRule="auto"/>
        <w:ind w:left="0" w:firstLine="0"/>
        <w:jc w:val="both"/>
        <w:rPr>
          <w:i/>
        </w:rPr>
      </w:pPr>
      <w:r w:rsidRPr="004D55DA">
        <w:rPr>
          <w:i/>
        </w:rPr>
        <w:t>flexibilidade operacional e comercial;</w:t>
      </w:r>
    </w:p>
    <w:p w:rsidR="00104A12" w:rsidRPr="004D55DA" w:rsidRDefault="00104A12" w:rsidP="00D216EA">
      <w:pPr>
        <w:numPr>
          <w:ilvl w:val="0"/>
          <w:numId w:val="24"/>
        </w:numPr>
        <w:spacing w:line="360" w:lineRule="auto"/>
        <w:ind w:left="0" w:firstLine="0"/>
        <w:jc w:val="both"/>
        <w:rPr>
          <w:i/>
        </w:rPr>
      </w:pPr>
      <w:r w:rsidRPr="004D55DA">
        <w:rPr>
          <w:i/>
        </w:rPr>
        <w:t>integração do terminal nas cadeias logísticas;</w:t>
      </w:r>
    </w:p>
    <w:p w:rsidR="00104A12" w:rsidRPr="004D55DA" w:rsidRDefault="00104A12" w:rsidP="00D216EA">
      <w:pPr>
        <w:numPr>
          <w:ilvl w:val="0"/>
          <w:numId w:val="24"/>
        </w:numPr>
        <w:spacing w:line="360" w:lineRule="auto"/>
        <w:ind w:left="0" w:firstLine="0"/>
        <w:jc w:val="both"/>
        <w:rPr>
          <w:i/>
        </w:rPr>
      </w:pPr>
      <w:r w:rsidRPr="004D55DA">
        <w:rPr>
          <w:i/>
        </w:rPr>
        <w:t>qualidade geral dos serviços do terminal;</w:t>
      </w:r>
    </w:p>
    <w:p w:rsidR="00104A12" w:rsidRPr="004D55DA" w:rsidRDefault="00104A12" w:rsidP="00D216EA">
      <w:pPr>
        <w:numPr>
          <w:ilvl w:val="0"/>
          <w:numId w:val="24"/>
        </w:numPr>
        <w:spacing w:line="360" w:lineRule="auto"/>
        <w:ind w:left="0" w:firstLine="0"/>
        <w:jc w:val="both"/>
        <w:rPr>
          <w:i/>
        </w:rPr>
      </w:pPr>
      <w:r w:rsidRPr="004D55DA">
        <w:rPr>
          <w:i/>
        </w:rPr>
        <w:t>tempo de espera do navio;</w:t>
      </w:r>
    </w:p>
    <w:p w:rsidR="00104A12" w:rsidRPr="004D55DA" w:rsidRDefault="00104A12" w:rsidP="00D216EA">
      <w:pPr>
        <w:numPr>
          <w:ilvl w:val="0"/>
          <w:numId w:val="24"/>
        </w:numPr>
        <w:spacing w:line="360" w:lineRule="auto"/>
        <w:ind w:left="0" w:firstLine="0"/>
        <w:jc w:val="both"/>
        <w:rPr>
          <w:i/>
        </w:rPr>
      </w:pPr>
      <w:r w:rsidRPr="004D55DA">
        <w:rPr>
          <w:i/>
        </w:rPr>
        <w:t>sistema de informações do terminal;</w:t>
      </w:r>
    </w:p>
    <w:p w:rsidR="00104A12" w:rsidRPr="004D55DA" w:rsidRDefault="00104A12" w:rsidP="00D216EA">
      <w:pPr>
        <w:numPr>
          <w:ilvl w:val="0"/>
          <w:numId w:val="24"/>
        </w:numPr>
        <w:spacing w:line="360" w:lineRule="auto"/>
        <w:ind w:left="0" w:firstLine="0"/>
        <w:jc w:val="both"/>
        <w:rPr>
          <w:i/>
        </w:rPr>
      </w:pPr>
      <w:r w:rsidRPr="004D55DA">
        <w:rPr>
          <w:i/>
        </w:rPr>
        <w:t>produtividade do cais do terminal;</w:t>
      </w:r>
    </w:p>
    <w:p w:rsidR="00104A12" w:rsidRPr="004D55DA" w:rsidRDefault="00104A12" w:rsidP="00D216EA">
      <w:pPr>
        <w:numPr>
          <w:ilvl w:val="0"/>
          <w:numId w:val="24"/>
        </w:numPr>
        <w:spacing w:line="360" w:lineRule="auto"/>
        <w:ind w:left="0" w:firstLine="0"/>
        <w:jc w:val="both"/>
        <w:rPr>
          <w:i/>
        </w:rPr>
      </w:pPr>
      <w:r w:rsidRPr="004D55DA">
        <w:rPr>
          <w:i/>
        </w:rPr>
        <w:t>orientação do terminal para o cliente;</w:t>
      </w:r>
    </w:p>
    <w:p w:rsidR="00104A12" w:rsidRPr="004D55DA" w:rsidRDefault="00104A12" w:rsidP="00D216EA">
      <w:pPr>
        <w:numPr>
          <w:ilvl w:val="0"/>
          <w:numId w:val="24"/>
        </w:numPr>
        <w:spacing w:line="360" w:lineRule="auto"/>
        <w:ind w:left="0" w:firstLine="0"/>
        <w:jc w:val="both"/>
        <w:rPr>
          <w:i/>
        </w:rPr>
      </w:pPr>
      <w:r w:rsidRPr="004D55DA">
        <w:rPr>
          <w:i/>
        </w:rPr>
        <w:t>fundos do cais do terminal de contentores;</w:t>
      </w:r>
    </w:p>
    <w:p w:rsidR="00104A12" w:rsidRPr="004D55DA" w:rsidRDefault="00104A12" w:rsidP="00D216EA">
      <w:pPr>
        <w:numPr>
          <w:ilvl w:val="0"/>
          <w:numId w:val="24"/>
        </w:numPr>
        <w:spacing w:line="360" w:lineRule="auto"/>
        <w:ind w:left="0" w:firstLine="0"/>
        <w:jc w:val="both"/>
        <w:rPr>
          <w:i/>
        </w:rPr>
      </w:pPr>
      <w:r w:rsidRPr="004D55DA">
        <w:rPr>
          <w:i/>
        </w:rPr>
        <w:t>modelo de organização do terminal.</w:t>
      </w:r>
    </w:p>
    <w:p w:rsidR="00104A12" w:rsidRPr="004D55DA" w:rsidRDefault="00104A12" w:rsidP="007F7964"/>
    <w:p w:rsidR="00104A12" w:rsidRPr="004D55DA" w:rsidRDefault="00104A12" w:rsidP="007F7964">
      <w:pPr>
        <w:spacing w:line="360" w:lineRule="auto"/>
        <w:jc w:val="both"/>
      </w:pPr>
      <w:r w:rsidRPr="004D55DA">
        <w:t xml:space="preserve">Com exceção da variável </w:t>
      </w:r>
      <w:r w:rsidRPr="004D55DA">
        <w:rPr>
          <w:i/>
        </w:rPr>
        <w:t>especialização do porto em graneis</w:t>
      </w:r>
      <w:r w:rsidRPr="004D55DA">
        <w:t xml:space="preserve">, todas as variáveis apresentam bons valores de média, superiores a 3,34, o que demonstra a importância dos </w:t>
      </w:r>
      <w:r w:rsidR="00136906" w:rsidRPr="004D55DA">
        <w:t>fatores</w:t>
      </w:r>
      <w:r w:rsidRPr="004D55DA">
        <w:t xml:space="preserve"> escolhidos. As variáveis com maior desvio-padrão são a </w:t>
      </w:r>
      <w:r w:rsidRPr="004D55DA">
        <w:rPr>
          <w:i/>
        </w:rPr>
        <w:t>especialização do porto em graneis</w:t>
      </w:r>
      <w:r w:rsidRPr="004D55DA">
        <w:t xml:space="preserve"> e a </w:t>
      </w:r>
      <w:r w:rsidRPr="004D55DA">
        <w:rPr>
          <w:i/>
        </w:rPr>
        <w:t>movimentação do porto em “transhipment”</w:t>
      </w:r>
      <w:r w:rsidRPr="004D55DA">
        <w:t xml:space="preserve">, sendo a </w:t>
      </w:r>
      <w:r w:rsidRPr="004D55DA">
        <w:rPr>
          <w:i/>
        </w:rPr>
        <w:t>produtividade do cais</w:t>
      </w:r>
      <w:r w:rsidRPr="004D55DA">
        <w:t xml:space="preserve">, </w:t>
      </w:r>
      <w:r w:rsidRPr="004D55DA">
        <w:rPr>
          <w:i/>
        </w:rPr>
        <w:t>equipamento de cais e integração do porto na logística terrestre</w:t>
      </w:r>
      <w:r w:rsidRPr="004D55DA">
        <w:t xml:space="preserve"> as variáveis que apresentam menor desvio-padrão. Como já foi referido, as variáveis têm por base a escala de Likert de 1 a 5.</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variáveis que registaram maior frequência do valor 5, como resposta, foram a </w:t>
      </w:r>
      <w:r w:rsidRPr="004D55DA">
        <w:rPr>
          <w:i/>
        </w:rPr>
        <w:t xml:space="preserve">produtividade do cais, equipamento de cais, fiabilidade do terminal e eficiência, </w:t>
      </w:r>
      <w:r w:rsidRPr="004D55DA">
        <w:t xml:space="preserve">o que mostra serem variáveis importantes para o modelo de explicação do desempenho, revelando a grande importância com a produtividade, eficiência e fiabilidade do serviço. As que tiveram menor peso de respostas no valor máximo foram a </w:t>
      </w:r>
      <w:r w:rsidRPr="004D55DA">
        <w:rPr>
          <w:i/>
        </w:rPr>
        <w:t xml:space="preserve">governação do porto, a imagem do porto, a especialização em graneis e a distância a portos concorrentes </w:t>
      </w:r>
      <w:r w:rsidRPr="004D55DA">
        <w:t xml:space="preserve">(Figura 16).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que registou maior frequência do valor mínimo da escala de Likert (1), como resposta, foi a </w:t>
      </w:r>
      <w:r w:rsidRPr="004D55DA">
        <w:rPr>
          <w:i/>
        </w:rPr>
        <w:t xml:space="preserve">especialização em graneis, </w:t>
      </w:r>
      <w:r w:rsidRPr="004D55DA">
        <w:t xml:space="preserve">o que mostra bem que esta variável não é adequada ao modelo explicativo do desempenho dos terminais de contentores. As variáveis com maior frequência de respostas do valor 2 foram a </w:t>
      </w:r>
      <w:r w:rsidRPr="004D55DA">
        <w:rPr>
          <w:i/>
        </w:rPr>
        <w:t>distância à Europa, ao Mediterrâneo e aos portos concorrentes, existência de terminais concorrentes no porto, especialização em graneis, imagem do porto, governação e concessão do porto e desempenho em termos de “transhipment” de contentores</w:t>
      </w:r>
      <w:r w:rsidRPr="004D55DA">
        <w:t xml:space="preserve"> (Tabela 8).</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Tendo em consideração o elevado número de variáveis em análise, o que poderia levar a níveis de complexidade incomportáveis num modelo teórico, considera-se pertinente a redução da dimensão da base de dados (relativamente ao número de variáveis). A análise da correlação entre as variáveis permite verificar existirem níveis elevados de correlação estatisticamente significativos para diversos conjuntos de variáveis, o poderá indiciar possibilidade de utilização das metodologias de redução de </w:t>
      </w:r>
      <w:r w:rsidR="00136906" w:rsidRPr="004D55DA">
        <w:t>fatores</w:t>
      </w:r>
      <w:r w:rsidRPr="004D55DA">
        <w:t xml:space="preserve"> (ver </w:t>
      </w:r>
      <w:r w:rsidR="00BC3DD5">
        <w:t>Apêndice</w:t>
      </w:r>
      <w:r w:rsidRPr="004D55DA">
        <w:t xml:space="preserve"> 3).</w:t>
      </w:r>
    </w:p>
    <w:p w:rsidR="00104A12" w:rsidRPr="004D55DA" w:rsidRDefault="00104A12" w:rsidP="007F7964">
      <w:r w:rsidRPr="004D55DA">
        <w:br w:type="page"/>
      </w:r>
    </w:p>
    <w:p w:rsidR="00104A12" w:rsidRPr="00D713C2" w:rsidRDefault="00104A12" w:rsidP="007F7964">
      <w:pPr>
        <w:pStyle w:val="Legenda"/>
        <w:rPr>
          <w:sz w:val="24"/>
          <w:szCs w:val="24"/>
        </w:rPr>
      </w:pPr>
      <w:bookmarkStart w:id="127" w:name="_Toc396134180"/>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16</w:t>
      </w:r>
      <w:r w:rsidR="00372F0E" w:rsidRPr="00D713C2">
        <w:rPr>
          <w:noProof/>
          <w:sz w:val="24"/>
          <w:szCs w:val="24"/>
        </w:rPr>
        <w:fldChar w:fldCharType="end"/>
      </w:r>
      <w:r w:rsidRPr="00D713C2">
        <w:rPr>
          <w:sz w:val="24"/>
          <w:szCs w:val="24"/>
        </w:rPr>
        <w:t xml:space="preserve"> – Gráfico de frequências</w:t>
      </w:r>
      <w:r w:rsidR="00732E07" w:rsidRPr="00D713C2">
        <w:rPr>
          <w:sz w:val="24"/>
          <w:szCs w:val="24"/>
        </w:rPr>
        <w:t xml:space="preserve"> pela escala de Likert(5)</w:t>
      </w:r>
      <w:r w:rsidRPr="00D713C2">
        <w:rPr>
          <w:sz w:val="24"/>
          <w:szCs w:val="24"/>
        </w:rPr>
        <w:t>, 1º inquérito</w:t>
      </w:r>
      <w:bookmarkEnd w:id="127"/>
    </w:p>
    <w:p w:rsidR="00104A12" w:rsidRPr="004D55DA" w:rsidRDefault="00BF31C8" w:rsidP="007F7964">
      <w:pPr>
        <w:spacing w:line="360" w:lineRule="auto"/>
        <w:jc w:val="both"/>
      </w:pPr>
      <w:r w:rsidRPr="004D55DA">
        <w:rPr>
          <w:noProof/>
        </w:rPr>
        <w:drawing>
          <wp:inline distT="0" distB="0" distL="0" distR="0" wp14:anchorId="286E8037" wp14:editId="323979ED">
            <wp:extent cx="5763895" cy="8221980"/>
            <wp:effectExtent l="0" t="0" r="8255" b="7620"/>
            <wp:docPr id="62"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3895" cy="8221980"/>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28" w:name="_Toc396134131"/>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8</w:t>
      </w:r>
      <w:r w:rsidR="00372F0E" w:rsidRPr="00D713C2">
        <w:rPr>
          <w:noProof/>
          <w:sz w:val="24"/>
          <w:szCs w:val="24"/>
        </w:rPr>
        <w:fldChar w:fldCharType="end"/>
      </w:r>
      <w:r w:rsidRPr="00D713C2">
        <w:rPr>
          <w:sz w:val="24"/>
          <w:szCs w:val="24"/>
        </w:rPr>
        <w:t xml:space="preserve"> – Estatística descritiva, 1º inquérito</w:t>
      </w:r>
      <w:bookmarkEnd w:id="128"/>
    </w:p>
    <w:tbl>
      <w:tblPr>
        <w:tblW w:w="0" w:type="auto"/>
        <w:tblInd w:w="55" w:type="dxa"/>
        <w:tblCellMar>
          <w:left w:w="70" w:type="dxa"/>
          <w:right w:w="70" w:type="dxa"/>
        </w:tblCellMar>
        <w:tblLook w:val="00A0" w:firstRow="1" w:lastRow="0" w:firstColumn="1" w:lastColumn="0" w:noHBand="0" w:noVBand="0"/>
      </w:tblPr>
      <w:tblGrid>
        <w:gridCol w:w="3582"/>
        <w:gridCol w:w="405"/>
        <w:gridCol w:w="426"/>
        <w:gridCol w:w="516"/>
        <w:gridCol w:w="1091"/>
        <w:gridCol w:w="811"/>
        <w:gridCol w:w="717"/>
      </w:tblGrid>
      <w:tr w:rsidR="00104A12" w:rsidRPr="004D55DA" w:rsidTr="00055362">
        <w:trPr>
          <w:trHeight w:val="435"/>
        </w:trPr>
        <w:tc>
          <w:tcPr>
            <w:tcW w:w="0" w:type="auto"/>
            <w:tcBorders>
              <w:top w:val="single" w:sz="4" w:space="0" w:color="auto"/>
              <w:left w:val="nil"/>
              <w:bottom w:val="single" w:sz="4" w:space="0" w:color="auto"/>
              <w:right w:val="nil"/>
            </w:tcBorders>
            <w:shd w:val="clear" w:color="000000" w:fill="FFFFFF"/>
            <w:vAlign w:val="center"/>
          </w:tcPr>
          <w:p w:rsidR="00104A12" w:rsidRPr="004D55DA" w:rsidRDefault="00104A12" w:rsidP="007F7964">
            <w:pPr>
              <w:rPr>
                <w:rFonts w:ascii="Cambria" w:hAnsi="Cambria" w:cs="Arial"/>
                <w:sz w:val="16"/>
                <w:szCs w:val="16"/>
              </w:rPr>
            </w:pPr>
            <w:r w:rsidRPr="004D55DA">
              <w:rPr>
                <w:rFonts w:ascii="Cambria" w:hAnsi="Cambria" w:cs="Arial"/>
                <w:sz w:val="16"/>
                <w:szCs w:val="16"/>
              </w:rPr>
              <w:t xml:space="preserve"> </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Min</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Max</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Mean</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Deviation</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Skewness</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Kurtosis</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Movimento de contentores com o “hinterland”</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,903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,123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Movimento de contentores de transhipment</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3,54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1,005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-,511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,040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Produtividade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-1,332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1,161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Eficiência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,707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-1,325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1,399</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Satisfação do dono da carga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4,04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,991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-,964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Satisfação do cliente armador</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,794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-1,904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4,878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Satisfação dos agentes e transitários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,939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-,890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,888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 xml:space="preserve">Contributo para a economia </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,949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-1,284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1,357</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Distância ao centro da Europa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3,43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,961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-,269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-,061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Distância a portos concorrentes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3,37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,911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-,203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-,355</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Distância ao Eixo Este-Oeste do Mediterrâneo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3,50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,956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-,578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-,164</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Distância aos centros de produção (fábricas)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,761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,028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Distância aos mercados/cidades no “hinterland”</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,756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,104</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 xml:space="preserve">Riqueza económica da região </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,865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-,347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-,545</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Fundos de acesso do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,805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-,987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1,275</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Acessibilidades ferroviárias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,882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-1,194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2,099</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Acessibilidades rodoviárias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,671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-,971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-,230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Dimensão do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,833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,663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Existência de áreas logísticas no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,823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-,693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,688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Existência de terminais concorrentes no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3,35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,890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-,044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-,489</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Tempo de navegação de acesso no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3,72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,795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-,157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-,402</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Especialização do porto em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,989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-,599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-,183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Especialização do porto em granéis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2,99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-,051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-,829</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Qualidade dos serviços de reboque e pilotagem</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3,71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,777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-,311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Imagem do porto onde está 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,825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-,227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-,103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Dinamismo da Autoridade Portuária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,843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Dinamismo da Comunidade Portuária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,823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-,294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-,474</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Nível das taxas portuárias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,820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-,123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 xml:space="preserve">Governo do porto </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3,47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,902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-,519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-,197</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O porto ser maioritariamente concessionado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3,34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,925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-,105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Integração do porto na logística terrestre</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,599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-,452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,710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Fundos do cais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-,773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-,288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Equipamento do cais e do parque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4,61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,567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-1,156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,374</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Dimensão do cais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,816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-,117</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Dimensão do terrapleno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,809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-,221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Dimensão dos navios das linhas marítimas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,786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-,239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-,482</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Ligações ferroviárias a terminais de 2ª linha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,918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-,982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,853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Agilidade face a alterações de última hora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4,13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,760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-,570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-,048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Fiabilidade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4,59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,640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-1,308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,550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Flexibilidade operacional e comercial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,612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-,495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-,620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Imagem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3,66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,849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-,033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-,651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Integração do terminal nas cadeias logísticas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,684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-,803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,148</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6"/>
                <w:szCs w:val="20"/>
              </w:rPr>
            </w:pPr>
            <w:r>
              <w:rPr>
                <w:rFonts w:ascii="Cambria" w:hAnsi="Cambria" w:cs="Arial"/>
                <w:sz w:val="16"/>
                <w:szCs w:val="20"/>
              </w:rPr>
              <w:t>“Layout”</w:t>
            </w:r>
            <w:r w:rsidR="00104A12" w:rsidRPr="004D55DA">
              <w:rPr>
                <w:rFonts w:ascii="Cambria" w:hAnsi="Cambria" w:cs="Arial"/>
                <w:sz w:val="16"/>
                <w:szCs w:val="20"/>
              </w:rPr>
              <w:t xml:space="preserve"> adequado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4,25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-,678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,063</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Modelo de organização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Nº de linhas do TOP10 dos armadores mundiais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3,79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,752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-,396</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Nº de linhas “feeder” e Short-Sea oferecidas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-,028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-,516</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Nº de linhas intercontinentais oferecidas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,738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,095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-,676</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Qualidade geral dos serviços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,605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-,637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-,521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Tempo de espera do navio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4,51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,633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-1,124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1,127</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Serviços de valor acrescentados oferecidos à carga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,838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-,841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,920</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Sistema de informações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4,36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,804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-1,624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3,831</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Tipo de gestor do terminal de contentores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3,94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,893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-,593</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,025</w:t>
            </w:r>
          </w:p>
        </w:tc>
      </w:tr>
      <w:tr w:rsidR="00104A12" w:rsidRPr="004D55DA" w:rsidTr="00055362">
        <w:trPr>
          <w:trHeight w:val="170"/>
        </w:trPr>
        <w:tc>
          <w:tcPr>
            <w:tcW w:w="0" w:type="auto"/>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Produtividade do cais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4,60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,598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-1,447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2,251</w:t>
            </w:r>
          </w:p>
        </w:tc>
      </w:tr>
      <w:tr w:rsidR="00104A12" w:rsidRPr="004D55DA" w:rsidTr="00055362">
        <w:trPr>
          <w:trHeight w:val="170"/>
        </w:trPr>
        <w:tc>
          <w:tcPr>
            <w:tcW w:w="0" w:type="auto"/>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Orientação do terminal para o cliente</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5</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4,48</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,719</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-1,573</w:t>
            </w:r>
          </w:p>
        </w:tc>
        <w:tc>
          <w:tcPr>
            <w:tcW w:w="0" w:type="auto"/>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6"/>
              </w:rPr>
            </w:pPr>
            <w:r w:rsidRPr="004D55DA">
              <w:rPr>
                <w:rFonts w:ascii="Cambria" w:hAnsi="Cambria" w:cs="Arial"/>
                <w:color w:val="000000"/>
                <w:sz w:val="14"/>
                <w:szCs w:val="16"/>
              </w:rPr>
              <w:t>3,538</w:t>
            </w:r>
          </w:p>
        </w:tc>
      </w:tr>
    </w:tbl>
    <w:p w:rsidR="00104A12" w:rsidRPr="004D55DA" w:rsidRDefault="00104A12" w:rsidP="007F7964">
      <w:pPr>
        <w:pStyle w:val="Legenda"/>
        <w:keepNext/>
      </w:pPr>
    </w:p>
    <w:p w:rsidR="00104A12" w:rsidRPr="004D55DA" w:rsidRDefault="00104A12" w:rsidP="007F7964"/>
    <w:p w:rsidR="00104A12" w:rsidRPr="00D713C2" w:rsidRDefault="00104A12" w:rsidP="00D216EA">
      <w:pPr>
        <w:pStyle w:val="Cabealho3"/>
        <w:ind w:left="0" w:firstLine="0"/>
        <w:rPr>
          <w:rStyle w:val="nfase"/>
          <w:i w:val="0"/>
          <w:iCs/>
          <w:sz w:val="24"/>
          <w:szCs w:val="24"/>
          <w:u w:val="none"/>
        </w:rPr>
      </w:pPr>
      <w:bookmarkStart w:id="129" w:name="_Toc374297031"/>
      <w:bookmarkStart w:id="130" w:name="_Toc395292660"/>
      <w:bookmarkStart w:id="131" w:name="_Toc395730150"/>
      <w:r w:rsidRPr="00D713C2">
        <w:rPr>
          <w:rStyle w:val="nfase"/>
          <w:i w:val="0"/>
          <w:iCs/>
          <w:sz w:val="24"/>
          <w:szCs w:val="24"/>
          <w:u w:val="none"/>
        </w:rPr>
        <w:t>Análise exploratória</w:t>
      </w:r>
      <w:bookmarkEnd w:id="129"/>
      <w:bookmarkEnd w:id="130"/>
      <w:bookmarkEnd w:id="131"/>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Face ao elevado número de variáveis e com vista a determinar em termos exploratórios a existência de </w:t>
      </w:r>
      <w:r w:rsidR="00136906" w:rsidRPr="004D55DA">
        <w:t>fatores</w:t>
      </w:r>
      <w:r w:rsidRPr="004D55DA">
        <w:t xml:space="preserve"> que englobem diversas variáveis do estudo, recorreu-se à </w:t>
      </w:r>
      <w:r w:rsidR="00D36A58">
        <w:t xml:space="preserve">análise de </w:t>
      </w:r>
      <w:r w:rsidR="00D36A58">
        <w:lastRenderedPageBreak/>
        <w:t>componentes principais</w:t>
      </w:r>
      <w:r w:rsidRPr="004D55DA">
        <w:t xml:space="preserve">, que permite a redução do número de </w:t>
      </w:r>
      <w:r w:rsidR="00136906" w:rsidRPr="004D55DA">
        <w:t>fatores</w:t>
      </w:r>
      <w:r w:rsidRPr="004D55DA">
        <w:t xml:space="preserve"> para utilização posterior com a técnica de regressão e de modelos de equações estruturais. Foram verificados os pressupostos da inexistência de </w:t>
      </w:r>
      <w:r w:rsidR="00136906">
        <w:t>“</w:t>
      </w:r>
      <w:r w:rsidRPr="004D55DA">
        <w:t>outliers</w:t>
      </w:r>
      <w:r w:rsidR="00136906">
        <w:t>”</w:t>
      </w:r>
      <w:r w:rsidRPr="004D55DA">
        <w:t xml:space="preserve"> e da simetria e achatamento das variáveis para as análises fatoriais efetuadas.</w:t>
      </w:r>
    </w:p>
    <w:p w:rsidR="00104A12" w:rsidRPr="004D55DA" w:rsidRDefault="00104A12" w:rsidP="007F7964">
      <w:pPr>
        <w:spacing w:line="360" w:lineRule="auto"/>
        <w:jc w:val="both"/>
        <w:rPr>
          <w:i/>
        </w:rPr>
      </w:pPr>
      <w:r w:rsidRPr="004D55DA">
        <w:t>Primeiro efetuou</w:t>
      </w:r>
      <w:r w:rsidR="00D36A58">
        <w:t>-se a análise das componentes principais</w:t>
      </w:r>
      <w:r w:rsidRPr="004D55DA">
        <w:t xml:space="preserve"> apenas para as variáveis do constructo desempenho do modelo especificado no ponto 3.1, recorrendo-se ao método das componentes principais.</w:t>
      </w:r>
      <w:r w:rsidRPr="004D55DA">
        <w:rPr>
          <w:i/>
        </w:rPr>
        <w:t xml:space="preserve"> </w:t>
      </w:r>
      <w:r w:rsidRPr="004D55DA">
        <w:t xml:space="preserve">Foi obtido um valor elevado da estatística KMO de 0,701 (Tabela 9), ou seja, os resultados são considerados bons, representando os três </w:t>
      </w:r>
      <w:r w:rsidR="00136906" w:rsidRPr="004D55DA">
        <w:t>fatores</w:t>
      </w:r>
      <w:r w:rsidRPr="004D55DA">
        <w:t xml:space="preserve"> obtidos 69,2% da variância (ver </w:t>
      </w:r>
      <w:r w:rsidR="00BC3DD5">
        <w:t>Apêndice</w:t>
      </w:r>
      <w:r w:rsidRPr="004D55DA">
        <w:t xml:space="preserve"> 4).</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32" w:name="_Toc396134132"/>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9</w:t>
      </w:r>
      <w:r w:rsidR="00372F0E" w:rsidRPr="00D713C2">
        <w:rPr>
          <w:noProof/>
          <w:sz w:val="24"/>
          <w:szCs w:val="24"/>
        </w:rPr>
        <w:fldChar w:fldCharType="end"/>
      </w:r>
      <w:r w:rsidRPr="00D713C2">
        <w:rPr>
          <w:noProof/>
          <w:sz w:val="24"/>
          <w:szCs w:val="24"/>
        </w:rPr>
        <w:t xml:space="preserve"> – KMO, 1º inquérito, PCA, variáveis endógenas</w:t>
      </w:r>
      <w:bookmarkEnd w:id="132"/>
    </w:p>
    <w:tbl>
      <w:tblPr>
        <w:tblW w:w="6380" w:type="dxa"/>
        <w:tblInd w:w="55" w:type="dxa"/>
        <w:tblCellMar>
          <w:left w:w="70" w:type="dxa"/>
          <w:right w:w="70" w:type="dxa"/>
        </w:tblCellMar>
        <w:tblLook w:val="00A0" w:firstRow="1" w:lastRow="0" w:firstColumn="1" w:lastColumn="0" w:noHBand="0" w:noVBand="0"/>
      </w:tblPr>
      <w:tblGrid>
        <w:gridCol w:w="3280"/>
        <w:gridCol w:w="1560"/>
        <w:gridCol w:w="1540"/>
      </w:tblGrid>
      <w:tr w:rsidR="00104A12" w:rsidRPr="004D55DA" w:rsidTr="001269FE">
        <w:trPr>
          <w:trHeight w:val="288"/>
        </w:trPr>
        <w:tc>
          <w:tcPr>
            <w:tcW w:w="4840" w:type="dxa"/>
            <w:gridSpan w:val="2"/>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8"/>
                <w:lang w:val="en-US"/>
              </w:rPr>
            </w:pPr>
            <w:r w:rsidRPr="004D55DA">
              <w:rPr>
                <w:rFonts w:ascii="Cambria" w:hAnsi="Cambria" w:cs="Arial"/>
                <w:color w:val="000000"/>
                <w:sz w:val="16"/>
                <w:szCs w:val="18"/>
                <w:lang w:val="en-US"/>
              </w:rPr>
              <w:t xml:space="preserve">Teste Kaiser-Meyer-Olkin </w:t>
            </w:r>
          </w:p>
        </w:tc>
        <w:tc>
          <w:tcPr>
            <w:tcW w:w="15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0,701</w:t>
            </w:r>
          </w:p>
        </w:tc>
      </w:tr>
      <w:tr w:rsidR="00104A12" w:rsidRPr="004D55DA" w:rsidTr="007B4CC4">
        <w:trPr>
          <w:trHeight w:val="456"/>
        </w:trPr>
        <w:tc>
          <w:tcPr>
            <w:tcW w:w="3280" w:type="dxa"/>
            <w:vMerge w:val="restart"/>
            <w:tcBorders>
              <w:top w:val="nil"/>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Teste Bartlett</w:t>
            </w:r>
          </w:p>
        </w:tc>
        <w:tc>
          <w:tcPr>
            <w:tcW w:w="1560" w:type="dxa"/>
            <w:tcBorders>
              <w:top w:val="nil"/>
              <w:left w:val="nil"/>
              <w:bottom w:val="nil"/>
              <w:right w:val="nil"/>
            </w:tcBorders>
            <w:shd w:val="clear" w:color="000000" w:fill="FFFFFF"/>
          </w:tcPr>
          <w:p w:rsidR="00104A12" w:rsidRPr="004D55DA" w:rsidRDefault="00136906" w:rsidP="007F7964">
            <w:pPr>
              <w:rPr>
                <w:rFonts w:ascii="Cambria" w:hAnsi="Cambria" w:cs="Arial"/>
                <w:color w:val="000000"/>
                <w:sz w:val="16"/>
                <w:szCs w:val="18"/>
              </w:rPr>
            </w:pPr>
            <w:r>
              <w:rPr>
                <w:rFonts w:ascii="Cambria" w:hAnsi="Cambria" w:cs="Arial"/>
                <w:color w:val="000000"/>
                <w:sz w:val="16"/>
                <w:szCs w:val="18"/>
              </w:rPr>
              <w:t>chi-qua</w:t>
            </w:r>
            <w:r w:rsidR="00104A12" w:rsidRPr="004D55DA">
              <w:rPr>
                <w:rFonts w:ascii="Cambria" w:hAnsi="Cambria" w:cs="Arial"/>
                <w:color w:val="000000"/>
                <w:sz w:val="16"/>
                <w:szCs w:val="18"/>
              </w:rPr>
              <w:t>drado</w:t>
            </w:r>
          </w:p>
        </w:tc>
        <w:tc>
          <w:tcPr>
            <w:tcW w:w="15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281,041</w:t>
            </w:r>
          </w:p>
        </w:tc>
      </w:tr>
      <w:tr w:rsidR="00104A12" w:rsidRPr="004D55DA" w:rsidTr="007B4CC4">
        <w:trPr>
          <w:trHeight w:val="288"/>
        </w:trPr>
        <w:tc>
          <w:tcPr>
            <w:tcW w:w="328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8"/>
              </w:rPr>
            </w:pPr>
          </w:p>
        </w:tc>
        <w:tc>
          <w:tcPr>
            <w:tcW w:w="15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graus de liberdade</w:t>
            </w:r>
          </w:p>
        </w:tc>
        <w:tc>
          <w:tcPr>
            <w:tcW w:w="15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28</w:t>
            </w:r>
          </w:p>
        </w:tc>
      </w:tr>
      <w:tr w:rsidR="00104A12" w:rsidRPr="004D55DA" w:rsidTr="007B4CC4">
        <w:trPr>
          <w:trHeight w:val="288"/>
        </w:trPr>
        <w:tc>
          <w:tcPr>
            <w:tcW w:w="328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8"/>
              </w:rPr>
            </w:pPr>
          </w:p>
        </w:tc>
        <w:tc>
          <w:tcPr>
            <w:tcW w:w="15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p-value</w:t>
            </w:r>
          </w:p>
        </w:tc>
        <w:tc>
          <w:tcPr>
            <w:tcW w:w="15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solução rodada</w:t>
      </w:r>
      <w:r w:rsidR="00732E07">
        <w:t xml:space="preserve"> </w:t>
      </w:r>
      <w:r w:rsidRPr="004D55DA">
        <w:t xml:space="preserve">permitiu encontrar as variáveis latentes </w:t>
      </w:r>
      <w:r w:rsidRPr="004D55DA">
        <w:rPr>
          <w:b/>
          <w:i/>
        </w:rPr>
        <w:t>satisfação do cliente</w:t>
      </w:r>
      <w:r w:rsidRPr="004D55DA">
        <w:t xml:space="preserve"> – que inclui a satisfação dos agentes, dos donos das cargas e dos armadores, bem como o contributo na economia, que os utilizadores associaram à satisfação dos clientes finais -, </w:t>
      </w:r>
      <w:r w:rsidRPr="004D55DA">
        <w:rPr>
          <w:b/>
          <w:i/>
        </w:rPr>
        <w:t>eficiência</w:t>
      </w:r>
      <w:r w:rsidRPr="004D55DA">
        <w:t xml:space="preserve"> – que inclui a eficiência e a produtividade, variáveis que os utilizadores associaram - e </w:t>
      </w:r>
      <w:r w:rsidRPr="004D55DA">
        <w:rPr>
          <w:b/>
          <w:i/>
        </w:rPr>
        <w:t>atividade</w:t>
      </w:r>
      <w:r w:rsidRPr="004D55DA">
        <w:rPr>
          <w:b/>
        </w:rPr>
        <w:t xml:space="preserve"> </w:t>
      </w:r>
      <w:r w:rsidRPr="004D55DA">
        <w:t xml:space="preserve">– que inclui o movimento de contentores com o “hinterland” e em “transhipment” -, como se pode verificar na Tabela 10, </w:t>
      </w:r>
      <w:r w:rsidR="00732E07">
        <w:t>não permitindo rejeitar</w:t>
      </w:r>
      <w:r w:rsidRPr="004D55DA">
        <w:t xml:space="preserve"> o modelo teórico de investigação, exceto na questão do contributo económico que não era esperado estar associado à satisfação do cliente, à partida.</w:t>
      </w:r>
    </w:p>
    <w:p w:rsidR="00104A12" w:rsidRPr="004D55DA" w:rsidRDefault="00104A12" w:rsidP="007F7964">
      <w:pPr>
        <w:spacing w:line="360" w:lineRule="auto"/>
        <w:jc w:val="both"/>
      </w:pPr>
    </w:p>
    <w:p w:rsidR="00104A12" w:rsidRPr="00D713C2" w:rsidRDefault="00104A12" w:rsidP="007F7964">
      <w:pPr>
        <w:pStyle w:val="Legenda"/>
        <w:keepNext/>
        <w:rPr>
          <w:noProof/>
          <w:sz w:val="24"/>
          <w:szCs w:val="24"/>
        </w:rPr>
      </w:pPr>
      <w:bookmarkStart w:id="133" w:name="_Toc396134133"/>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10</w:t>
      </w:r>
      <w:r w:rsidR="00372F0E" w:rsidRPr="00D713C2">
        <w:rPr>
          <w:noProof/>
          <w:sz w:val="24"/>
          <w:szCs w:val="24"/>
        </w:rPr>
        <w:fldChar w:fldCharType="end"/>
      </w:r>
      <w:r w:rsidRPr="00D713C2">
        <w:rPr>
          <w:noProof/>
          <w:sz w:val="24"/>
          <w:szCs w:val="24"/>
        </w:rPr>
        <w:t xml:space="preserve"> - </w:t>
      </w:r>
      <w:r w:rsidRPr="00D713C2">
        <w:rPr>
          <w:color w:val="000000"/>
          <w:sz w:val="24"/>
          <w:szCs w:val="24"/>
        </w:rPr>
        <w:t>Rotated Factor Matrix, 1º inquérito, PCA</w:t>
      </w:r>
      <w:r w:rsidR="00732E07" w:rsidRPr="00D713C2">
        <w:rPr>
          <w:color w:val="000000"/>
          <w:sz w:val="24"/>
          <w:szCs w:val="24"/>
        </w:rPr>
        <w:t>/varimax</w:t>
      </w:r>
      <w:r w:rsidRPr="00D713C2">
        <w:rPr>
          <w:color w:val="000000"/>
          <w:sz w:val="24"/>
          <w:szCs w:val="24"/>
        </w:rPr>
        <w:t xml:space="preserve">, </w:t>
      </w:r>
      <w:r w:rsidRPr="00D713C2">
        <w:rPr>
          <w:noProof/>
          <w:sz w:val="24"/>
          <w:szCs w:val="24"/>
        </w:rPr>
        <w:t>variáveis endógenas</w:t>
      </w:r>
      <w:bookmarkEnd w:id="133"/>
    </w:p>
    <w:tbl>
      <w:tblPr>
        <w:tblW w:w="8320" w:type="dxa"/>
        <w:tblInd w:w="55" w:type="dxa"/>
        <w:tblCellMar>
          <w:left w:w="70" w:type="dxa"/>
          <w:right w:w="70" w:type="dxa"/>
        </w:tblCellMar>
        <w:tblLook w:val="00A0" w:firstRow="1" w:lastRow="0" w:firstColumn="1" w:lastColumn="0" w:noHBand="0" w:noVBand="0"/>
      </w:tblPr>
      <w:tblGrid>
        <w:gridCol w:w="3280"/>
        <w:gridCol w:w="1100"/>
        <w:gridCol w:w="940"/>
        <w:gridCol w:w="940"/>
        <w:gridCol w:w="2060"/>
      </w:tblGrid>
      <w:tr w:rsidR="00104A12" w:rsidRPr="004D55DA" w:rsidTr="007B4CC4">
        <w:trPr>
          <w:trHeight w:val="288"/>
        </w:trPr>
        <w:tc>
          <w:tcPr>
            <w:tcW w:w="3280" w:type="dxa"/>
            <w:vMerge w:val="restart"/>
            <w:tcBorders>
              <w:top w:val="single" w:sz="4" w:space="0" w:color="auto"/>
              <w:left w:val="nil"/>
              <w:bottom w:val="single" w:sz="4" w:space="0" w:color="000000"/>
              <w:right w:val="nil"/>
            </w:tcBorders>
            <w:shd w:val="clear" w:color="000000" w:fill="FFFFFF"/>
            <w:vAlign w:val="center"/>
          </w:tcPr>
          <w:p w:rsidR="00104A12" w:rsidRPr="004D55DA" w:rsidRDefault="00104A12" w:rsidP="007F7964">
            <w:pPr>
              <w:jc w:val="center"/>
              <w:rPr>
                <w:rFonts w:ascii="Cambria" w:hAnsi="Cambria" w:cs="Arial"/>
                <w:sz w:val="16"/>
                <w:szCs w:val="20"/>
              </w:rPr>
            </w:pPr>
            <w:r w:rsidRPr="004D55DA">
              <w:rPr>
                <w:rFonts w:ascii="Cambria" w:hAnsi="Cambria" w:cs="Arial"/>
                <w:sz w:val="16"/>
                <w:szCs w:val="20"/>
              </w:rPr>
              <w:t>Variáveis</w:t>
            </w:r>
          </w:p>
        </w:tc>
        <w:tc>
          <w:tcPr>
            <w:tcW w:w="2980"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Componente</w:t>
            </w:r>
          </w:p>
        </w:tc>
        <w:tc>
          <w:tcPr>
            <w:tcW w:w="2060"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sz w:val="16"/>
                <w:szCs w:val="20"/>
              </w:rPr>
            </w:pPr>
            <w:r w:rsidRPr="004D55DA">
              <w:rPr>
                <w:rFonts w:ascii="Cambria" w:hAnsi="Cambria" w:cs="Arial"/>
                <w:sz w:val="16"/>
                <w:szCs w:val="20"/>
              </w:rPr>
              <w:t> </w:t>
            </w:r>
          </w:p>
        </w:tc>
      </w:tr>
      <w:tr w:rsidR="00104A12" w:rsidRPr="004D55DA" w:rsidTr="007B4CC4">
        <w:trPr>
          <w:trHeight w:val="288"/>
        </w:trPr>
        <w:tc>
          <w:tcPr>
            <w:tcW w:w="328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sz w:val="16"/>
                <w:szCs w:val="20"/>
              </w:rPr>
            </w:pPr>
          </w:p>
        </w:tc>
        <w:tc>
          <w:tcPr>
            <w:tcW w:w="110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1</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2</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3</w:t>
            </w:r>
          </w:p>
        </w:tc>
        <w:tc>
          <w:tcPr>
            <w:tcW w:w="20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6"/>
                <w:szCs w:val="20"/>
              </w:rPr>
              <w:t>Variável latente</w:t>
            </w:r>
          </w:p>
        </w:tc>
      </w:tr>
      <w:tr w:rsidR="00104A12" w:rsidRPr="004D55DA" w:rsidTr="007B4CC4">
        <w:trPr>
          <w:trHeight w:val="288"/>
        </w:trPr>
        <w:tc>
          <w:tcPr>
            <w:tcW w:w="32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Satisfação dos agentes e transitários</w:t>
            </w:r>
          </w:p>
        </w:tc>
        <w:tc>
          <w:tcPr>
            <w:tcW w:w="11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,844</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20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20"/>
              </w:rPr>
            </w:pPr>
          </w:p>
        </w:tc>
      </w:tr>
      <w:tr w:rsidR="00104A12" w:rsidRPr="004D55DA" w:rsidTr="007B4CC4">
        <w:trPr>
          <w:trHeight w:val="288"/>
        </w:trPr>
        <w:tc>
          <w:tcPr>
            <w:tcW w:w="32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Satisfação do cliente armador</w:t>
            </w:r>
          </w:p>
        </w:tc>
        <w:tc>
          <w:tcPr>
            <w:tcW w:w="11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,792</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20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6"/>
                <w:szCs w:val="20"/>
              </w:rPr>
              <w:t>Satisfação do cliente</w:t>
            </w:r>
          </w:p>
        </w:tc>
      </w:tr>
      <w:tr w:rsidR="00104A12" w:rsidRPr="004D55DA" w:rsidTr="007B4CC4">
        <w:trPr>
          <w:trHeight w:val="288"/>
        </w:trPr>
        <w:tc>
          <w:tcPr>
            <w:tcW w:w="32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Satisfação do dono da carga</w:t>
            </w:r>
          </w:p>
        </w:tc>
        <w:tc>
          <w:tcPr>
            <w:tcW w:w="11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,773</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20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8"/>
                <w:szCs w:val="20"/>
              </w:rPr>
              <w:t>α =0,751</w:t>
            </w:r>
          </w:p>
        </w:tc>
      </w:tr>
      <w:tr w:rsidR="00104A12" w:rsidRPr="004D55DA" w:rsidTr="00B107E2">
        <w:trPr>
          <w:trHeight w:val="288"/>
        </w:trPr>
        <w:tc>
          <w:tcPr>
            <w:tcW w:w="32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Contributo para a economia</w:t>
            </w:r>
          </w:p>
        </w:tc>
        <w:tc>
          <w:tcPr>
            <w:tcW w:w="110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,464</w:t>
            </w:r>
          </w:p>
        </w:tc>
        <w:tc>
          <w:tcPr>
            <w:tcW w:w="94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w:t>
            </w:r>
          </w:p>
        </w:tc>
        <w:tc>
          <w:tcPr>
            <w:tcW w:w="20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20"/>
              </w:rPr>
            </w:pPr>
          </w:p>
        </w:tc>
      </w:tr>
      <w:tr w:rsidR="00104A12" w:rsidRPr="004D55DA" w:rsidTr="00B107E2">
        <w:trPr>
          <w:trHeight w:val="288"/>
        </w:trPr>
        <w:tc>
          <w:tcPr>
            <w:tcW w:w="32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Produtividade do terminal</w:t>
            </w:r>
          </w:p>
        </w:tc>
        <w:tc>
          <w:tcPr>
            <w:tcW w:w="1100" w:type="dxa"/>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single" w:sz="4" w:space="0" w:color="auto"/>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,885</w:t>
            </w:r>
          </w:p>
        </w:tc>
        <w:tc>
          <w:tcPr>
            <w:tcW w:w="940" w:type="dxa"/>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206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6"/>
                <w:szCs w:val="20"/>
              </w:rPr>
              <w:t>Eficiência</w:t>
            </w:r>
          </w:p>
        </w:tc>
      </w:tr>
      <w:tr w:rsidR="00104A12" w:rsidRPr="004D55DA" w:rsidTr="00B107E2">
        <w:trPr>
          <w:trHeight w:val="288"/>
        </w:trPr>
        <w:tc>
          <w:tcPr>
            <w:tcW w:w="32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Eficiência</w:t>
            </w:r>
          </w:p>
        </w:tc>
        <w:tc>
          <w:tcPr>
            <w:tcW w:w="110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,845</w:t>
            </w:r>
          </w:p>
        </w:tc>
        <w:tc>
          <w:tcPr>
            <w:tcW w:w="94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2060" w:type="dxa"/>
            <w:tcBorders>
              <w:top w:val="nil"/>
              <w:left w:val="nil"/>
              <w:bottom w:val="single" w:sz="4" w:space="0" w:color="auto"/>
              <w:right w:val="nil"/>
            </w:tcBorders>
            <w:shd w:val="clear" w:color="000000" w:fill="FFFFFF"/>
            <w:noWrap/>
            <w:vAlign w:val="bottom"/>
          </w:tcPr>
          <w:p w:rsidR="00104A12" w:rsidRPr="004D55DA" w:rsidRDefault="00104A12" w:rsidP="007F7964">
            <w:pPr>
              <w:spacing w:after="120"/>
              <w:jc w:val="center"/>
              <w:rPr>
                <w:rFonts w:ascii="Cambria" w:hAnsi="Cambria" w:cs="Arial"/>
                <w:sz w:val="16"/>
                <w:szCs w:val="20"/>
              </w:rPr>
            </w:pPr>
            <w:r w:rsidRPr="004D55DA">
              <w:rPr>
                <w:rFonts w:ascii="Cambria" w:hAnsi="Cambria" w:cs="Arial"/>
                <w:sz w:val="18"/>
                <w:szCs w:val="20"/>
              </w:rPr>
              <w:t>α =0,762</w:t>
            </w:r>
          </w:p>
        </w:tc>
      </w:tr>
      <w:tr w:rsidR="00104A12" w:rsidRPr="004D55DA" w:rsidTr="00B107E2">
        <w:trPr>
          <w:trHeight w:val="280"/>
        </w:trPr>
        <w:tc>
          <w:tcPr>
            <w:tcW w:w="32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Movimento de contentores de transhipment</w:t>
            </w:r>
          </w:p>
        </w:tc>
        <w:tc>
          <w:tcPr>
            <w:tcW w:w="1100" w:type="dxa"/>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single" w:sz="4" w:space="0" w:color="auto"/>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,830</w:t>
            </w:r>
          </w:p>
        </w:tc>
        <w:tc>
          <w:tcPr>
            <w:tcW w:w="206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6"/>
                <w:szCs w:val="20"/>
              </w:rPr>
              <w:t>Atividade</w:t>
            </w:r>
          </w:p>
        </w:tc>
      </w:tr>
      <w:tr w:rsidR="00104A12" w:rsidRPr="004D55DA" w:rsidTr="007B4CC4">
        <w:trPr>
          <w:trHeight w:val="288"/>
        </w:trPr>
        <w:tc>
          <w:tcPr>
            <w:tcW w:w="32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sz w:val="16"/>
                <w:szCs w:val="20"/>
              </w:rPr>
              <w:t>Movimento de contentores com o “hinterland”</w:t>
            </w:r>
          </w:p>
        </w:tc>
        <w:tc>
          <w:tcPr>
            <w:tcW w:w="110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 xml:space="preserve"> </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8"/>
              </w:rPr>
            </w:pPr>
            <w:r w:rsidRPr="004D55DA">
              <w:rPr>
                <w:rFonts w:ascii="Cambria" w:hAnsi="Cambria" w:cs="Arial"/>
                <w:color w:val="000000"/>
                <w:sz w:val="16"/>
                <w:szCs w:val="18"/>
              </w:rPr>
              <w:t>,817</w:t>
            </w:r>
          </w:p>
        </w:tc>
        <w:tc>
          <w:tcPr>
            <w:tcW w:w="20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20"/>
              </w:rPr>
            </w:pPr>
            <w:r w:rsidRPr="004D55DA">
              <w:rPr>
                <w:rFonts w:ascii="Cambria" w:hAnsi="Cambria" w:cs="Arial"/>
                <w:sz w:val="18"/>
                <w:szCs w:val="20"/>
              </w:rPr>
              <w:t>α =0,618</w:t>
            </w:r>
          </w:p>
        </w:tc>
      </w:tr>
    </w:tbl>
    <w:p w:rsidR="00104A12" w:rsidRPr="004D55DA" w:rsidRDefault="00104A12" w:rsidP="007F7964">
      <w:pPr>
        <w:spacing w:line="360" w:lineRule="auto"/>
        <w:jc w:val="both"/>
      </w:pPr>
    </w:p>
    <w:p w:rsidR="00104A12" w:rsidRPr="004D55DA" w:rsidRDefault="00104A12" w:rsidP="007F7964">
      <w:pPr>
        <w:spacing w:line="360" w:lineRule="auto"/>
        <w:jc w:val="both"/>
        <w:rPr>
          <w:i/>
        </w:rPr>
      </w:pPr>
      <w:r w:rsidRPr="004D55DA">
        <w:lastRenderedPageBreak/>
        <w:t xml:space="preserve">Seguidamente, efetuou-se a </w:t>
      </w:r>
      <w:r w:rsidR="00D36A58">
        <w:t>análise de componentes principais</w:t>
      </w:r>
      <w:r w:rsidRPr="004D55DA">
        <w:t xml:space="preserve"> para as variáveis das características do porto e do terminal, recorrendo-se à análise das componentes principais</w:t>
      </w:r>
      <w:r w:rsidRPr="004D55DA">
        <w:rPr>
          <w:rStyle w:val="nfase"/>
          <w:i w:val="0"/>
          <w:iCs/>
        </w:rPr>
        <w:t>, tendo-se eliminado algumas variáveis com piores classificações no sentido de apurar melhor as componentes e a respetiva interpretação de acordo com a teoria</w:t>
      </w:r>
      <w:r w:rsidRPr="004D55DA">
        <w:rPr>
          <w:rStyle w:val="st"/>
        </w:rPr>
        <w:t>.</w:t>
      </w:r>
    </w:p>
    <w:p w:rsidR="00104A12" w:rsidRPr="004D55DA" w:rsidRDefault="00104A12" w:rsidP="007F7964">
      <w:pPr>
        <w:spacing w:line="360" w:lineRule="auto"/>
        <w:jc w:val="both"/>
      </w:pPr>
      <w:r w:rsidRPr="004D55DA">
        <w:t xml:space="preserve">A estatística KMO obtida é elevada, mais concretamente 0,814, ou seja, os resultados são considerados muito bons, representando os primeiros sete fatores 71,6% da variância (ver </w:t>
      </w:r>
      <w:r w:rsidR="00BC3DD5">
        <w:t>Apêndice</w:t>
      </w:r>
      <w:r w:rsidRPr="004D55DA">
        <w:t xml:space="preserve"> 5).</w:t>
      </w:r>
    </w:p>
    <w:p w:rsidR="00104A12" w:rsidRPr="004D55DA" w:rsidRDefault="00104A12" w:rsidP="007F7964">
      <w:pPr>
        <w:spacing w:line="360" w:lineRule="auto"/>
        <w:jc w:val="both"/>
      </w:pPr>
    </w:p>
    <w:p w:rsidR="00104A12" w:rsidRPr="00D713C2" w:rsidRDefault="00104A12" w:rsidP="0050397D">
      <w:pPr>
        <w:pStyle w:val="Legenda"/>
        <w:keepNext/>
        <w:ind w:right="4252"/>
        <w:rPr>
          <w:sz w:val="24"/>
          <w:szCs w:val="24"/>
        </w:rPr>
      </w:pPr>
      <w:bookmarkStart w:id="134" w:name="_Toc396134134"/>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11</w:t>
      </w:r>
      <w:r w:rsidR="00372F0E" w:rsidRPr="00D713C2">
        <w:rPr>
          <w:noProof/>
          <w:sz w:val="24"/>
          <w:szCs w:val="24"/>
        </w:rPr>
        <w:fldChar w:fldCharType="end"/>
      </w:r>
      <w:r w:rsidRPr="00D713C2">
        <w:rPr>
          <w:noProof/>
          <w:sz w:val="24"/>
          <w:szCs w:val="24"/>
        </w:rPr>
        <w:t xml:space="preserve"> - KMO, 1º inquérito, PCA, variáveis exógenas</w:t>
      </w:r>
      <w:bookmarkEnd w:id="134"/>
    </w:p>
    <w:tbl>
      <w:tblPr>
        <w:tblW w:w="4800" w:type="dxa"/>
        <w:tblInd w:w="55" w:type="dxa"/>
        <w:tblCellMar>
          <w:left w:w="70" w:type="dxa"/>
          <w:right w:w="70" w:type="dxa"/>
        </w:tblCellMar>
        <w:tblLook w:val="00A0" w:firstRow="1" w:lastRow="0" w:firstColumn="1" w:lastColumn="0" w:noHBand="0" w:noVBand="0"/>
      </w:tblPr>
      <w:tblGrid>
        <w:gridCol w:w="2660"/>
        <w:gridCol w:w="1180"/>
        <w:gridCol w:w="960"/>
      </w:tblGrid>
      <w:tr w:rsidR="00104A12" w:rsidRPr="004D55DA" w:rsidTr="001269FE">
        <w:trPr>
          <w:trHeight w:val="288"/>
        </w:trPr>
        <w:tc>
          <w:tcPr>
            <w:tcW w:w="3840" w:type="dxa"/>
            <w:gridSpan w:val="2"/>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8"/>
                <w:lang w:val="en-US"/>
              </w:rPr>
            </w:pPr>
            <w:r w:rsidRPr="004D55DA">
              <w:rPr>
                <w:rFonts w:ascii="Cambria" w:hAnsi="Cambria" w:cs="Arial"/>
                <w:color w:val="000000"/>
                <w:sz w:val="16"/>
                <w:szCs w:val="18"/>
                <w:lang w:val="en-US"/>
              </w:rPr>
              <w:t>Teste Kaiser-Meyer-Olkin</w:t>
            </w:r>
          </w:p>
        </w:tc>
        <w:tc>
          <w:tcPr>
            <w:tcW w:w="96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0,814</w:t>
            </w:r>
          </w:p>
        </w:tc>
      </w:tr>
      <w:tr w:rsidR="00104A12" w:rsidRPr="004D55DA" w:rsidTr="007B4CC4">
        <w:trPr>
          <w:trHeight w:val="456"/>
        </w:trPr>
        <w:tc>
          <w:tcPr>
            <w:tcW w:w="2660" w:type="dxa"/>
            <w:vMerge w:val="restart"/>
            <w:tcBorders>
              <w:top w:val="nil"/>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Teste Bartlett</w:t>
            </w:r>
          </w:p>
        </w:tc>
        <w:tc>
          <w:tcPr>
            <w:tcW w:w="11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chi-quadrado</w:t>
            </w:r>
          </w:p>
        </w:tc>
        <w:tc>
          <w:tcPr>
            <w:tcW w:w="9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1617,998</w:t>
            </w:r>
          </w:p>
        </w:tc>
      </w:tr>
      <w:tr w:rsidR="00104A12" w:rsidRPr="004D55DA" w:rsidTr="007B4CC4">
        <w:trPr>
          <w:trHeight w:val="288"/>
        </w:trPr>
        <w:tc>
          <w:tcPr>
            <w:tcW w:w="266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8"/>
              </w:rPr>
            </w:pPr>
          </w:p>
        </w:tc>
        <w:tc>
          <w:tcPr>
            <w:tcW w:w="11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graus de liberdade</w:t>
            </w:r>
          </w:p>
        </w:tc>
        <w:tc>
          <w:tcPr>
            <w:tcW w:w="9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300</w:t>
            </w:r>
          </w:p>
        </w:tc>
      </w:tr>
      <w:tr w:rsidR="00104A12" w:rsidRPr="004D55DA" w:rsidTr="007B4CC4">
        <w:trPr>
          <w:trHeight w:val="288"/>
        </w:trPr>
        <w:tc>
          <w:tcPr>
            <w:tcW w:w="266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8"/>
              </w:rPr>
            </w:pPr>
          </w:p>
        </w:tc>
        <w:tc>
          <w:tcPr>
            <w:tcW w:w="11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8"/>
              </w:rPr>
            </w:pPr>
            <w:r w:rsidRPr="004D55DA">
              <w:rPr>
                <w:rFonts w:ascii="Cambria" w:hAnsi="Cambria" w:cs="Arial"/>
                <w:color w:val="000000"/>
                <w:sz w:val="16"/>
                <w:szCs w:val="18"/>
              </w:rPr>
              <w:t>p-value</w:t>
            </w:r>
          </w:p>
        </w:tc>
        <w:tc>
          <w:tcPr>
            <w:tcW w:w="9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8"/>
              </w:rPr>
            </w:pPr>
            <w:r w:rsidRPr="004D55DA">
              <w:rPr>
                <w:rFonts w:ascii="Cambria" w:hAnsi="Cambria" w:cs="Arial"/>
                <w:color w:val="000000"/>
                <w:sz w:val="16"/>
                <w:szCs w:val="18"/>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solução rodada permitiu encontrar as seguintes variáveis latentes, que possuem significado tendo em consideração os resultados da revisão da literatura (Tabela 12):</w:t>
      </w:r>
    </w:p>
    <w:p w:rsidR="00104A12" w:rsidRPr="004D55DA" w:rsidRDefault="00136906" w:rsidP="00D216EA">
      <w:pPr>
        <w:numPr>
          <w:ilvl w:val="0"/>
          <w:numId w:val="26"/>
        </w:numPr>
        <w:spacing w:line="360" w:lineRule="auto"/>
        <w:ind w:left="0" w:firstLine="0"/>
        <w:jc w:val="both"/>
      </w:pPr>
      <w:r w:rsidRPr="004D55DA">
        <w:rPr>
          <w:b/>
          <w:i/>
        </w:rPr>
        <w:t>integração logística e organização do terminal (“softlogis-terminal/softorg-terminal”)</w:t>
      </w:r>
      <w:r w:rsidRPr="004D55DA">
        <w:t xml:space="preserve"> – que inclui variáveis relacionadas com a qualidade do serviço ao cliente, sistemas de informação, organização do terminal, tipo de gestão, foco no cliente e </w:t>
      </w:r>
      <w:r>
        <w:t>"layout"</w:t>
      </w:r>
      <w:r w:rsidRPr="004D55DA">
        <w:t xml:space="preserve"> do terminal. </w:t>
      </w:r>
      <w:r w:rsidR="00104A12" w:rsidRPr="004D55DA">
        <w:t>Esta variável latente resume e reúne as componentes do constructo teórico “soft-terminal”, na vertente logística e organização do terminal, correspondente aos subcontructos “softlogis-terminal” e “softorg-terminal” do modelo, reunidos numa só latente;</w:t>
      </w:r>
    </w:p>
    <w:p w:rsidR="00104A12" w:rsidRPr="004D55DA" w:rsidRDefault="00104A12" w:rsidP="00D216EA">
      <w:pPr>
        <w:numPr>
          <w:ilvl w:val="0"/>
          <w:numId w:val="26"/>
        </w:numPr>
        <w:spacing w:line="360" w:lineRule="auto"/>
        <w:ind w:left="0" w:firstLine="0"/>
        <w:jc w:val="both"/>
      </w:pPr>
      <w:r w:rsidRPr="004D55DA">
        <w:rPr>
          <w:b/>
          <w:i/>
        </w:rPr>
        <w:t>acessibilidades terrestres (</w:t>
      </w:r>
      <w:r w:rsidR="004E39C3" w:rsidRPr="004D55DA">
        <w:rPr>
          <w:b/>
          <w:i/>
        </w:rPr>
        <w:t>“h</w:t>
      </w:r>
      <w:r w:rsidRPr="004D55DA">
        <w:rPr>
          <w:b/>
          <w:i/>
        </w:rPr>
        <w:t>ard-port</w:t>
      </w:r>
      <w:r w:rsidR="004E39C3" w:rsidRPr="004D55DA">
        <w:rPr>
          <w:b/>
          <w:i/>
        </w:rPr>
        <w:t>”</w:t>
      </w:r>
      <w:r w:rsidRPr="004D55DA">
        <w:rPr>
          <w:b/>
          <w:i/>
        </w:rPr>
        <w:t>)</w:t>
      </w:r>
      <w:r w:rsidRPr="004D55DA">
        <w:t xml:space="preserve"> – que inclui as acessibilidades terrestres do porto e do terminal, bem como a integração logística do porto. Esta variável resume as questões do constructo “hard-port” incluído no modelo, na vertente terrestre;</w:t>
      </w:r>
    </w:p>
    <w:p w:rsidR="00104A12" w:rsidRPr="004D55DA" w:rsidRDefault="00104A12" w:rsidP="00D216EA">
      <w:pPr>
        <w:numPr>
          <w:ilvl w:val="0"/>
          <w:numId w:val="26"/>
        </w:numPr>
        <w:spacing w:line="360" w:lineRule="auto"/>
        <w:ind w:left="0" w:firstLine="0"/>
        <w:jc w:val="both"/>
      </w:pPr>
      <w:r w:rsidRPr="004D55DA">
        <w:rPr>
          <w:b/>
          <w:i/>
        </w:rPr>
        <w:t>dinamismo do porto (</w:t>
      </w:r>
      <w:r w:rsidR="004E39C3" w:rsidRPr="004D55DA">
        <w:rPr>
          <w:b/>
          <w:i/>
        </w:rPr>
        <w:t>“s</w:t>
      </w:r>
      <w:r w:rsidRPr="004D55DA">
        <w:rPr>
          <w:b/>
          <w:i/>
        </w:rPr>
        <w:t>oft-port</w:t>
      </w:r>
      <w:r w:rsidR="004E39C3" w:rsidRPr="004D55DA">
        <w:rPr>
          <w:b/>
          <w:i/>
        </w:rPr>
        <w:t>”</w:t>
      </w:r>
      <w:r w:rsidRPr="004D55DA">
        <w:rPr>
          <w:b/>
          <w:i/>
        </w:rPr>
        <w:t>)</w:t>
      </w:r>
      <w:r w:rsidRPr="004D55DA">
        <w:rPr>
          <w:i/>
        </w:rPr>
        <w:t xml:space="preserve"> </w:t>
      </w:r>
      <w:r w:rsidRPr="004D55DA">
        <w:t>– que se relaciona com a imagem do porto e do terminal, bem como com o dinamismo da comunidade e da autoridade portuária. Esta latente resume as características “soft-port” do modelo teórico;</w:t>
      </w:r>
    </w:p>
    <w:p w:rsidR="00104A12" w:rsidRPr="004D55DA" w:rsidRDefault="00104A12" w:rsidP="00D216EA">
      <w:pPr>
        <w:numPr>
          <w:ilvl w:val="0"/>
          <w:numId w:val="26"/>
        </w:numPr>
        <w:spacing w:line="360" w:lineRule="auto"/>
        <w:ind w:left="0" w:firstLine="0"/>
        <w:jc w:val="both"/>
      </w:pPr>
      <w:r w:rsidRPr="004D55DA">
        <w:rPr>
          <w:b/>
          <w:i/>
        </w:rPr>
        <w:t>serviços marítimos do terminal</w:t>
      </w:r>
      <w:r w:rsidR="004E39C3" w:rsidRPr="004D55DA">
        <w:rPr>
          <w:b/>
          <w:i/>
        </w:rPr>
        <w:t xml:space="preserve"> (“s</w:t>
      </w:r>
      <w:r w:rsidRPr="004D55DA">
        <w:rPr>
          <w:b/>
          <w:i/>
        </w:rPr>
        <w:t>oftsea-terminal</w:t>
      </w:r>
      <w:r w:rsidR="004E39C3" w:rsidRPr="004D55DA">
        <w:rPr>
          <w:b/>
          <w:i/>
        </w:rPr>
        <w:t>”</w:t>
      </w:r>
      <w:r w:rsidRPr="004D55DA">
        <w:rPr>
          <w:b/>
          <w:i/>
        </w:rPr>
        <w:t>)</w:t>
      </w:r>
      <w:r w:rsidRPr="004D55DA">
        <w:t xml:space="preserve"> – que incluem os serviços marítimos regulares intercontinentais e de curta distância, bem como a participação dos armadores na gestão/concessão do terminal. Esta variável latente inclui os aspetos relacionados com os serviços marítimos oferecidos pelo terminal do constructo “soft-terminal”, correspondente ao subconstructo “softsea-terminal”;</w:t>
      </w:r>
    </w:p>
    <w:p w:rsidR="00104A12" w:rsidRPr="004D55DA" w:rsidRDefault="00104A12" w:rsidP="00D216EA">
      <w:pPr>
        <w:numPr>
          <w:ilvl w:val="0"/>
          <w:numId w:val="26"/>
        </w:numPr>
        <w:spacing w:line="360" w:lineRule="auto"/>
        <w:ind w:left="0" w:firstLine="0"/>
        <w:jc w:val="both"/>
      </w:pPr>
      <w:r w:rsidRPr="004D55DA">
        <w:rPr>
          <w:b/>
          <w:i/>
        </w:rPr>
        <w:lastRenderedPageBreak/>
        <w:t>importância da região</w:t>
      </w:r>
      <w:r w:rsidR="004E39C3" w:rsidRPr="004D55DA">
        <w:rPr>
          <w:b/>
          <w:i/>
        </w:rPr>
        <w:t xml:space="preserve"> (“l</w:t>
      </w:r>
      <w:r w:rsidRPr="004D55DA">
        <w:rPr>
          <w:b/>
          <w:i/>
        </w:rPr>
        <w:t>ocal position-port</w:t>
      </w:r>
      <w:r w:rsidR="004E39C3" w:rsidRPr="004D55DA">
        <w:rPr>
          <w:b/>
          <w:i/>
        </w:rPr>
        <w:t>”</w:t>
      </w:r>
      <w:r w:rsidRPr="004D55DA">
        <w:rPr>
          <w:b/>
          <w:i/>
        </w:rPr>
        <w:t>)</w:t>
      </w:r>
      <w:r w:rsidRPr="004D55DA">
        <w:t xml:space="preserve"> – ou seja a distância aos locais de produção e consumo e a importância económica da região. Esta variável latente inclui a componente do constructo do modelo “local position-port”, de localização na vertente local;</w:t>
      </w:r>
    </w:p>
    <w:p w:rsidR="00104A12" w:rsidRPr="004D55DA" w:rsidRDefault="00104A12" w:rsidP="00D216EA">
      <w:pPr>
        <w:numPr>
          <w:ilvl w:val="0"/>
          <w:numId w:val="26"/>
        </w:numPr>
        <w:spacing w:line="360" w:lineRule="auto"/>
        <w:ind w:left="0" w:firstLine="0"/>
        <w:jc w:val="both"/>
      </w:pPr>
      <w:r w:rsidRPr="004D55DA">
        <w:rPr>
          <w:b/>
          <w:i/>
        </w:rPr>
        <w:t>localização na Europa</w:t>
      </w:r>
      <w:r w:rsidR="004E39C3" w:rsidRPr="004D55DA">
        <w:rPr>
          <w:b/>
          <w:i/>
        </w:rPr>
        <w:t xml:space="preserve"> (“c</w:t>
      </w:r>
      <w:r w:rsidRPr="004D55DA">
        <w:rPr>
          <w:b/>
          <w:i/>
        </w:rPr>
        <w:t>ontinent position-port</w:t>
      </w:r>
      <w:r w:rsidR="004E39C3" w:rsidRPr="004D55DA">
        <w:rPr>
          <w:b/>
          <w:i/>
        </w:rPr>
        <w:t>”</w:t>
      </w:r>
      <w:r w:rsidRPr="004D55DA">
        <w:rPr>
          <w:b/>
          <w:i/>
        </w:rPr>
        <w:t>)</w:t>
      </w:r>
      <w:r w:rsidRPr="004D55DA">
        <w:rPr>
          <w:i/>
        </w:rPr>
        <w:t xml:space="preserve"> </w:t>
      </w:r>
      <w:r w:rsidRPr="004D55DA">
        <w:t>– que inclui a distância ao centro económico e logístico da Europa e a distância ao eixo de tráfego marítimo “round-the-world” do Mediterrâneo. Estra variável inclui a componente do constructo do modelo “continental position-port”, localização na vertente continental;</w:t>
      </w:r>
    </w:p>
    <w:p w:rsidR="00104A12" w:rsidRPr="004D55DA" w:rsidRDefault="00104A12" w:rsidP="00D216EA">
      <w:pPr>
        <w:numPr>
          <w:ilvl w:val="0"/>
          <w:numId w:val="26"/>
        </w:numPr>
        <w:spacing w:line="360" w:lineRule="auto"/>
        <w:ind w:left="0" w:firstLine="0"/>
        <w:jc w:val="both"/>
      </w:pPr>
      <w:r w:rsidRPr="004D55DA">
        <w:rPr>
          <w:b/>
          <w:i/>
        </w:rPr>
        <w:t>acesso marítimo</w:t>
      </w:r>
      <w:r w:rsidR="004E39C3" w:rsidRPr="004D55DA">
        <w:rPr>
          <w:b/>
          <w:i/>
        </w:rPr>
        <w:t xml:space="preserve"> (“h</w:t>
      </w:r>
      <w:r w:rsidRPr="004D55DA">
        <w:rPr>
          <w:b/>
          <w:i/>
        </w:rPr>
        <w:t>ard-terminal</w:t>
      </w:r>
      <w:r w:rsidR="004E39C3" w:rsidRPr="004D55DA">
        <w:rPr>
          <w:b/>
          <w:i/>
        </w:rPr>
        <w:t>”</w:t>
      </w:r>
      <w:r w:rsidRPr="004D55DA">
        <w:rPr>
          <w:b/>
          <w:i/>
        </w:rPr>
        <w:t>)</w:t>
      </w:r>
      <w:r w:rsidRPr="004D55DA">
        <w:rPr>
          <w:i/>
        </w:rPr>
        <w:t xml:space="preserve"> – </w:t>
      </w:r>
      <w:r w:rsidRPr="004D55DA">
        <w:t>correspondente aos fundos de acesso marítimo do porto e do terminal. Esta variável resume as características “hard-terminal” do modelo teórico e a vertente marítima do constructo “hard-port”.</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35" w:name="_Toc396134135"/>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12</w:t>
      </w:r>
      <w:r w:rsidR="00372F0E" w:rsidRPr="00D713C2">
        <w:rPr>
          <w:noProof/>
          <w:sz w:val="24"/>
          <w:szCs w:val="24"/>
        </w:rPr>
        <w:fldChar w:fldCharType="end"/>
      </w:r>
      <w:r w:rsidRPr="00D713C2">
        <w:rPr>
          <w:noProof/>
          <w:sz w:val="24"/>
          <w:szCs w:val="24"/>
        </w:rPr>
        <w:t xml:space="preserve"> - </w:t>
      </w:r>
      <w:r w:rsidRPr="00D713C2">
        <w:rPr>
          <w:color w:val="000000"/>
          <w:sz w:val="24"/>
          <w:szCs w:val="24"/>
        </w:rPr>
        <w:t>Rotated Factor Matrix, 1º inquérito, PCA</w:t>
      </w:r>
      <w:r w:rsidR="00732E07" w:rsidRPr="00D713C2">
        <w:rPr>
          <w:color w:val="000000"/>
          <w:sz w:val="24"/>
          <w:szCs w:val="24"/>
        </w:rPr>
        <w:t>/varimax</w:t>
      </w:r>
      <w:r w:rsidRPr="00D713C2">
        <w:rPr>
          <w:color w:val="000000"/>
          <w:sz w:val="24"/>
          <w:szCs w:val="24"/>
        </w:rPr>
        <w:t xml:space="preserve">, </w:t>
      </w:r>
      <w:r w:rsidRPr="00D713C2">
        <w:rPr>
          <w:noProof/>
          <w:sz w:val="24"/>
          <w:szCs w:val="24"/>
        </w:rPr>
        <w:t>variáveis exógenas</w:t>
      </w:r>
      <w:bookmarkEnd w:id="135"/>
    </w:p>
    <w:tbl>
      <w:tblPr>
        <w:tblW w:w="9498" w:type="dxa"/>
        <w:tblInd w:w="55" w:type="dxa"/>
        <w:tblLayout w:type="fixed"/>
        <w:tblCellMar>
          <w:left w:w="70" w:type="dxa"/>
          <w:right w:w="70" w:type="dxa"/>
        </w:tblCellMar>
        <w:tblLook w:val="00A0" w:firstRow="1" w:lastRow="0" w:firstColumn="1" w:lastColumn="0" w:noHBand="0" w:noVBand="0"/>
      </w:tblPr>
      <w:tblGrid>
        <w:gridCol w:w="3458"/>
        <w:gridCol w:w="580"/>
        <w:gridCol w:w="580"/>
        <w:gridCol w:w="580"/>
        <w:gridCol w:w="580"/>
        <w:gridCol w:w="580"/>
        <w:gridCol w:w="580"/>
        <w:gridCol w:w="580"/>
        <w:gridCol w:w="1980"/>
      </w:tblGrid>
      <w:tr w:rsidR="00104A12" w:rsidRPr="004D55DA" w:rsidTr="002921DE">
        <w:trPr>
          <w:trHeight w:val="288"/>
        </w:trPr>
        <w:tc>
          <w:tcPr>
            <w:tcW w:w="3458" w:type="dxa"/>
            <w:vMerge w:val="restart"/>
            <w:tcBorders>
              <w:top w:val="single" w:sz="4" w:space="0" w:color="auto"/>
              <w:left w:val="nil"/>
              <w:bottom w:val="single" w:sz="4" w:space="0" w:color="000000"/>
              <w:right w:val="nil"/>
            </w:tcBorders>
            <w:shd w:val="clear" w:color="000000" w:fill="FFFFFF"/>
            <w:vAlign w:val="center"/>
          </w:tcPr>
          <w:p w:rsidR="00104A12" w:rsidRPr="004D55DA" w:rsidRDefault="00104A12" w:rsidP="007F7964">
            <w:pPr>
              <w:jc w:val="center"/>
              <w:rPr>
                <w:rFonts w:ascii="Arial" w:hAnsi="Arial" w:cs="Arial"/>
                <w:sz w:val="16"/>
                <w:szCs w:val="20"/>
              </w:rPr>
            </w:pPr>
            <w:r w:rsidRPr="004D55DA">
              <w:rPr>
                <w:rFonts w:ascii="Arial" w:hAnsi="Arial" w:cs="Arial"/>
                <w:sz w:val="16"/>
                <w:szCs w:val="20"/>
              </w:rPr>
              <w:t>Variáveis</w:t>
            </w:r>
          </w:p>
        </w:tc>
        <w:tc>
          <w:tcPr>
            <w:tcW w:w="4060" w:type="dxa"/>
            <w:gridSpan w:val="7"/>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Componente</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Arial" w:hAnsi="Arial" w:cs="Arial"/>
                <w:sz w:val="16"/>
                <w:szCs w:val="20"/>
              </w:rPr>
            </w:pPr>
            <w:r w:rsidRPr="004D55DA">
              <w:rPr>
                <w:rFonts w:ascii="Arial" w:hAnsi="Arial" w:cs="Arial"/>
                <w:sz w:val="16"/>
                <w:szCs w:val="20"/>
              </w:rPr>
              <w:t> </w:t>
            </w:r>
          </w:p>
        </w:tc>
      </w:tr>
      <w:tr w:rsidR="00104A12" w:rsidRPr="004D55DA" w:rsidTr="002921DE">
        <w:trPr>
          <w:trHeight w:val="288"/>
        </w:trPr>
        <w:tc>
          <w:tcPr>
            <w:tcW w:w="3458" w:type="dxa"/>
            <w:vMerge/>
            <w:tcBorders>
              <w:top w:val="single" w:sz="4" w:space="0" w:color="auto"/>
              <w:left w:val="nil"/>
              <w:bottom w:val="single" w:sz="4" w:space="0" w:color="000000"/>
              <w:right w:val="nil"/>
            </w:tcBorders>
            <w:vAlign w:val="center"/>
          </w:tcPr>
          <w:p w:rsidR="00104A12" w:rsidRPr="004D55DA" w:rsidRDefault="00104A12" w:rsidP="007F7964">
            <w:pPr>
              <w:rPr>
                <w:rFonts w:ascii="Arial" w:hAnsi="Arial" w:cs="Arial"/>
                <w:sz w:val="16"/>
                <w:szCs w:val="20"/>
              </w:rPr>
            </w:pP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1</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2</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3</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4</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5</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6</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7</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Arial" w:hAnsi="Arial" w:cs="Arial"/>
                <w:sz w:val="16"/>
                <w:szCs w:val="20"/>
              </w:rPr>
            </w:pPr>
            <w:r w:rsidRPr="004D55DA">
              <w:rPr>
                <w:rFonts w:ascii="Arial" w:hAnsi="Arial" w:cs="Arial"/>
                <w:sz w:val="16"/>
                <w:szCs w:val="20"/>
              </w:rPr>
              <w:t>Variável latente</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Sistema de informações do terminal</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,763</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Modelo de organização do terminal</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,746</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Tipo de gestor do terminal de contentores</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,741</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sz w:val="16"/>
                <w:szCs w:val="16"/>
              </w:rPr>
            </w:pPr>
            <w:r w:rsidRPr="004D55DA">
              <w:rPr>
                <w:rFonts w:ascii="Cambria" w:hAnsi="Cambria" w:cs="Arial"/>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Integração logística e organização do terminal</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Orientação do terminal para o cliente</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,686</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“s</w:t>
            </w:r>
            <w:r w:rsidRPr="004D55DA">
              <w:rPr>
                <w:rFonts w:ascii="Cambria" w:hAnsi="Cambria" w:cs="Arial"/>
                <w:sz w:val="16"/>
                <w:szCs w:val="16"/>
              </w:rPr>
              <w:t xml:space="preserve">oftlogis-terminal e </w:t>
            </w:r>
            <w:r w:rsidR="00E56C1B" w:rsidRPr="004D55DA">
              <w:rPr>
                <w:rFonts w:ascii="Cambria" w:hAnsi="Cambria" w:cs="Arial"/>
                <w:sz w:val="16"/>
                <w:szCs w:val="16"/>
              </w:rPr>
              <w:t>s</w:t>
            </w:r>
            <w:r w:rsidRPr="004D55DA">
              <w:rPr>
                <w:rFonts w:ascii="Cambria" w:hAnsi="Cambria" w:cs="Arial"/>
                <w:sz w:val="16"/>
                <w:szCs w:val="16"/>
              </w:rPr>
              <w:t>oftorg-terminal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Qualidade dos serviços de reboque e pilotagem</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,642</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α =0,843 </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36906" w:rsidP="007F7964">
            <w:pPr>
              <w:rPr>
                <w:rFonts w:ascii="Arial" w:hAnsi="Arial" w:cs="Arial"/>
                <w:color w:val="000000"/>
                <w:sz w:val="16"/>
                <w:szCs w:val="18"/>
              </w:rPr>
            </w:pPr>
            <w:r>
              <w:rPr>
                <w:rFonts w:ascii="Cambria" w:hAnsi="Cambria" w:cs="Arial"/>
                <w:sz w:val="16"/>
                <w:szCs w:val="20"/>
              </w:rPr>
              <w:t>Layout</w:t>
            </w:r>
            <w:r w:rsidR="00104A12" w:rsidRPr="004D55DA">
              <w:rPr>
                <w:rFonts w:ascii="Cambria" w:hAnsi="Cambria" w:cs="Arial"/>
                <w:sz w:val="16"/>
                <w:szCs w:val="20"/>
              </w:rPr>
              <w:t xml:space="preserve"> adequado do terminal de contentores</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,639</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Acessibilidades ferroviárias</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,839</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Ligações ferroviárias a terminais de 2ª linha</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,751</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Acessibilidades terrestres</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“h</w:t>
            </w:r>
            <w:r w:rsidRPr="004D55DA">
              <w:rPr>
                <w:rFonts w:ascii="Cambria" w:hAnsi="Cambria" w:cs="Arial"/>
                <w:sz w:val="16"/>
                <w:szCs w:val="16"/>
              </w:rPr>
              <w:t>ard-port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Acessibilidades rodoviárias</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,698</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=0,807</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Integração do porto na logística terrestre</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,607</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Dinamismo da Comunidade Portuária</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,839</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Dinamismo da Autoridade Portuária</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,835</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Dinamismo do porto</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“s</w:t>
            </w:r>
            <w:r w:rsidRPr="004D55DA">
              <w:rPr>
                <w:rFonts w:ascii="Cambria" w:hAnsi="Cambria" w:cs="Arial"/>
                <w:sz w:val="16"/>
                <w:szCs w:val="16"/>
              </w:rPr>
              <w:t>oft-port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Imagem do porto onde está o terminal</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,605</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=0,803</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Imagem do terminal de contentores</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,563</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Nº de linhas do TOP10 dos armadores mundiais</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,868</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Nº de linhas intercontinentais oferecidas</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,852</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Serviços marítimos do terminal</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“s</w:t>
            </w:r>
            <w:r w:rsidRPr="004D55DA">
              <w:rPr>
                <w:rFonts w:ascii="Cambria" w:hAnsi="Cambria" w:cs="Arial"/>
                <w:sz w:val="16"/>
                <w:szCs w:val="16"/>
              </w:rPr>
              <w:t>oftsea-terminal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Nº de linhas “feeder” e Short-Sea oferecidas</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,843</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=0,894</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Riqueza económica da região</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,790</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Distância aos mercados/cidades no “hinterland”</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,617</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Importância da região</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“l</w:t>
            </w:r>
            <w:r w:rsidRPr="004D55DA">
              <w:rPr>
                <w:rFonts w:ascii="Cambria" w:hAnsi="Cambria" w:cs="Arial"/>
                <w:sz w:val="16"/>
                <w:szCs w:val="16"/>
              </w:rPr>
              <w:t>ocal position-port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2921DE">
        <w:trPr>
          <w:trHeight w:val="288"/>
        </w:trPr>
        <w:tc>
          <w:tcPr>
            <w:tcW w:w="345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O porto ser maioritariamente concessionado</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,592</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=0,702</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Distância aos centros de produção (fábricas)</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,557</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Distância ao centro da Europa</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,814</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Localização na Europa</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c</w:t>
            </w:r>
            <w:r w:rsidRPr="004D55DA">
              <w:rPr>
                <w:rFonts w:ascii="Cambria" w:hAnsi="Cambria" w:cs="Arial"/>
                <w:sz w:val="16"/>
                <w:szCs w:val="16"/>
              </w:rPr>
              <w:t>ontinent position-port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B107E2">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Distância ao Eixo Este-Oeste do Mediterrâneo</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,811</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=0,789</w:t>
            </w:r>
          </w:p>
        </w:tc>
      </w:tr>
      <w:tr w:rsidR="00104A12" w:rsidRPr="004D55DA" w:rsidTr="00B107E2">
        <w:trPr>
          <w:trHeight w:val="288"/>
        </w:trPr>
        <w:tc>
          <w:tcPr>
            <w:tcW w:w="345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Fundos do cais do terminal de contentores</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,825</w:t>
            </w:r>
          </w:p>
        </w:tc>
        <w:tc>
          <w:tcPr>
            <w:tcW w:w="19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Acesso marítimo</w:t>
            </w:r>
          </w:p>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“h</w:t>
            </w:r>
            <w:r w:rsidRPr="004D55DA">
              <w:rPr>
                <w:rFonts w:ascii="Cambria" w:hAnsi="Cambria" w:cs="Arial"/>
                <w:sz w:val="16"/>
                <w:szCs w:val="16"/>
              </w:rPr>
              <w:t>ard-terminal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2921DE">
        <w:trPr>
          <w:trHeight w:val="288"/>
        </w:trPr>
        <w:tc>
          <w:tcPr>
            <w:tcW w:w="345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Cambria" w:hAnsi="Cambria" w:cs="Arial"/>
                <w:sz w:val="16"/>
                <w:szCs w:val="20"/>
              </w:rPr>
              <w:t>Fundos de acesso do porto</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,802</w:t>
            </w:r>
          </w:p>
        </w:tc>
        <w:tc>
          <w:tcPr>
            <w:tcW w:w="19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α =0,810</w:t>
            </w:r>
          </w:p>
        </w:tc>
      </w:tr>
    </w:tbl>
    <w:p w:rsidR="00104A12" w:rsidRPr="004D55DA" w:rsidRDefault="00104A12" w:rsidP="007F7964">
      <w:r w:rsidRPr="004D55DA">
        <w:br w:type="page"/>
      </w:r>
    </w:p>
    <w:p w:rsidR="00104A12" w:rsidRPr="00D713C2" w:rsidRDefault="00104A12" w:rsidP="00D216EA">
      <w:pPr>
        <w:pStyle w:val="Cabealho3"/>
        <w:ind w:left="0" w:firstLine="0"/>
        <w:rPr>
          <w:sz w:val="24"/>
          <w:szCs w:val="24"/>
          <w:u w:val="none"/>
          <w:lang w:val="pt-PT"/>
        </w:rPr>
      </w:pPr>
      <w:bookmarkStart w:id="136" w:name="_Toc374297032"/>
      <w:bookmarkStart w:id="137" w:name="_Toc395292661"/>
      <w:bookmarkStart w:id="138" w:name="_Toc395730151"/>
      <w:r w:rsidRPr="00D713C2">
        <w:rPr>
          <w:sz w:val="24"/>
          <w:szCs w:val="24"/>
          <w:u w:val="none"/>
          <w:lang w:val="pt-PT"/>
        </w:rPr>
        <w:lastRenderedPageBreak/>
        <w:t>Determinantes latentes do desempenho do terminal</w:t>
      </w:r>
      <w:bookmarkEnd w:id="136"/>
      <w:bookmarkEnd w:id="137"/>
      <w:bookmarkEnd w:id="138"/>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 base nos resultados da </w:t>
      </w:r>
      <w:r w:rsidR="00D36A58">
        <w:t>análise de componentes principais</w:t>
      </w:r>
      <w:r w:rsidRPr="004D55DA">
        <w:t xml:space="preserve"> efetuada e para cada uma das variáveis latentes </w:t>
      </w:r>
      <w:r w:rsidR="00D24F6E">
        <w:t xml:space="preserve">dependentes </w:t>
      </w:r>
      <w:r w:rsidRPr="004D55DA">
        <w:t xml:space="preserve">relativas ao desempenho do terminal de contentores encontradas (satisfação do cliente, eficiência e atividade), procedeu-se à análise da significância e dos coeficientes dos </w:t>
      </w:r>
      <w:r w:rsidR="00136906" w:rsidRPr="004D55DA">
        <w:t>fatores</w:t>
      </w:r>
      <w:r w:rsidRPr="004D55DA">
        <w:t xml:space="preserve"> latentes explicativos, resultantes da </w:t>
      </w:r>
      <w:r w:rsidR="00D36A58">
        <w:t>análise de componentes principais</w:t>
      </w:r>
      <w:r w:rsidRPr="004D55DA">
        <w:t xml:space="preserve">, e que resumem as características do porto e do terminal e determinam ou influenciam o desempenho do terminal de contentores.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Não foi possível utilizar diretamente as variáveis qualitativas/ordinais independentes com a metodologia de regressão ordinal devido à grande quantidades de variáveis com forte correlação entre si, tendo-se verificado existirem problemas de multicolinearidade, tornando a sua aplicação confusa e desprovida de sentido. Não existindo informação na literatura que permita selecionar variáveis representativas dos constructos latentes, eliminando as variáveis correlacionadas, uma vez que se poderia perder informação relevante, optou-se por não utilizar a metodologia da regressão ordinal.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Recorreu-se assim à técnica da regressão linear utilizando os valores dos </w:t>
      </w:r>
      <w:r w:rsidR="00136906" w:rsidRPr="004D55DA">
        <w:t>fatores</w:t>
      </w:r>
      <w:r w:rsidRPr="004D55DA">
        <w:t xml:space="preserve"> ou variáveis latentes determinadas na </w:t>
      </w:r>
      <w:r w:rsidR="00D36A58">
        <w:t>análise de componentes principais</w:t>
      </w:r>
      <w:r w:rsidRPr="004D55DA">
        <w:t>, para cada observação (“scores”), que são representados por variáveis contínuas ortogonais, já não passíveis de utilização da regressão ordinal.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Procedeu-se à análise para cada uma das variáveis dependentes do desempenho do terminal - </w:t>
      </w:r>
      <w:r w:rsidRPr="004D55DA">
        <w:rPr>
          <w:i/>
        </w:rPr>
        <w:t>satisfação do cliente</w:t>
      </w:r>
      <w:r w:rsidRPr="004D55DA">
        <w:t xml:space="preserve">, </w:t>
      </w:r>
      <w:r w:rsidRPr="004D55DA">
        <w:rPr>
          <w:i/>
        </w:rPr>
        <w:t>eficiência</w:t>
      </w:r>
      <w:r w:rsidRPr="004D55DA">
        <w:t xml:space="preserve"> e a</w:t>
      </w:r>
      <w:r w:rsidRPr="004D55DA">
        <w:rPr>
          <w:i/>
        </w:rPr>
        <w:t>tividade -</w:t>
      </w:r>
      <w:r w:rsidRPr="004D55DA">
        <w:t xml:space="preserve"> testando-se a significância e influência dos </w:t>
      </w:r>
      <w:r w:rsidR="00136906" w:rsidRPr="004D55DA">
        <w:t>fatores</w:t>
      </w:r>
      <w:r w:rsidRPr="004D55DA">
        <w:t xml:space="preserve"> latentes explicativos ou independentes encontrados. Verifica-se que é possível explicar parte do comportamento das variáveis de desempenho com base nos </w:t>
      </w:r>
      <w:r w:rsidR="00136906" w:rsidRPr="004D55DA">
        <w:t>fatores</w:t>
      </w:r>
      <w:r w:rsidRPr="004D55DA">
        <w:t xml:space="preserve"> utilizados. Na Tabela 13 encontram-se descritas as variáveis latentes resultantes da </w:t>
      </w:r>
      <w:r w:rsidR="00D36A58">
        <w:t>análise de componentes principais</w:t>
      </w:r>
      <w:r w:rsidRPr="004D55DA">
        <w:t xml:space="preserve"> anterior, utilizadas neste capítulo como variáveis dependentes nas regressões.</w:t>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39" w:name="_Toc396134136"/>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13</w:t>
      </w:r>
      <w:r w:rsidR="00372F0E" w:rsidRPr="00D713C2">
        <w:rPr>
          <w:noProof/>
          <w:sz w:val="24"/>
          <w:szCs w:val="24"/>
        </w:rPr>
        <w:fldChar w:fldCharType="end"/>
      </w:r>
      <w:r w:rsidRPr="00D713C2">
        <w:rPr>
          <w:sz w:val="24"/>
          <w:szCs w:val="24"/>
        </w:rPr>
        <w:t xml:space="preserve"> – Estatística descrita das variáveis latentes, 1º inquérito</w:t>
      </w:r>
      <w:bookmarkEnd w:id="139"/>
    </w:p>
    <w:tbl>
      <w:tblPr>
        <w:tblW w:w="0" w:type="auto"/>
        <w:tblInd w:w="55" w:type="dxa"/>
        <w:tblCellMar>
          <w:left w:w="70" w:type="dxa"/>
          <w:right w:w="70" w:type="dxa"/>
        </w:tblCellMar>
        <w:tblLook w:val="00A0" w:firstRow="1" w:lastRow="0" w:firstColumn="1" w:lastColumn="0" w:noHBand="0" w:noVBand="0"/>
      </w:tblPr>
      <w:tblGrid>
        <w:gridCol w:w="3672"/>
        <w:gridCol w:w="564"/>
        <w:gridCol w:w="581"/>
        <w:gridCol w:w="528"/>
        <w:gridCol w:w="441"/>
        <w:gridCol w:w="516"/>
        <w:gridCol w:w="728"/>
        <w:gridCol w:w="811"/>
        <w:gridCol w:w="717"/>
      </w:tblGrid>
      <w:tr w:rsidR="00104A12" w:rsidRPr="004D55DA" w:rsidTr="00C442F2">
        <w:trPr>
          <w:trHeight w:val="540"/>
        </w:trPr>
        <w:tc>
          <w:tcPr>
            <w:tcW w:w="0" w:type="auto"/>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sz w:val="16"/>
                <w:szCs w:val="16"/>
              </w:rPr>
            </w:pP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Range</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Min</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Max</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Sum</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Skewness</w:t>
            </w:r>
          </w:p>
        </w:tc>
        <w:tc>
          <w:tcPr>
            <w:tcW w:w="0" w:type="auto"/>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Kurtosis</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Integração logística e organização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6,839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-4,862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1,976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-1,355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4,021</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Acessibilidades terrestres</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5,452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-3,506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-,628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,807</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Dinamismo do porto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4,882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-2,510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2,372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-,276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,135</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Importância da região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4,772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-2,497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2,275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-,294</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Serviços marítimos do terminal</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5,571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-3,261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-,546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,631</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Localização na Europa</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5,175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-3,180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1,995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-,620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,393</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Acesso marítimo</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5,614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-3,275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2,339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-,552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,815</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Satisfação do cliente (dependente)</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6,474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-4,407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2,068</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-1,314</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3,429</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Eficiência (dependente)</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5,156</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-3,445</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1,710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-1,107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1,084</w:t>
            </w:r>
          </w:p>
        </w:tc>
      </w:tr>
      <w:tr w:rsidR="00104A12" w:rsidRPr="004D55DA" w:rsidTr="00C442F2">
        <w:trPr>
          <w:trHeight w:val="227"/>
        </w:trPr>
        <w:tc>
          <w:tcPr>
            <w:tcW w:w="0" w:type="auto"/>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Atividade (dependente)</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5,451</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-2,959</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2,492</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-,197</w:t>
            </w:r>
          </w:p>
        </w:tc>
        <w:tc>
          <w:tcPr>
            <w:tcW w:w="0" w:type="auto"/>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,081</w:t>
            </w:r>
          </w:p>
        </w:tc>
      </w:tr>
      <w:tr w:rsidR="00104A12" w:rsidRPr="004D55DA" w:rsidTr="00C442F2">
        <w:trPr>
          <w:trHeight w:val="227"/>
        </w:trPr>
        <w:tc>
          <w:tcPr>
            <w:tcW w:w="0" w:type="auto"/>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8"/>
                <w:szCs w:val="16"/>
              </w:rPr>
            </w:pPr>
            <w:r w:rsidRPr="004D55DA">
              <w:rPr>
                <w:rFonts w:ascii="Cambria" w:hAnsi="Cambria" w:cs="Arial"/>
                <w:color w:val="000000"/>
                <w:sz w:val="18"/>
                <w:szCs w:val="16"/>
              </w:rPr>
              <w:t>Valid N</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0" w:type="auto"/>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 </w:t>
            </w:r>
            <w:r w:rsidRPr="004D55DA">
              <w:rPr>
                <w:rFonts w:ascii="Cambria" w:hAnsi="Cambria" w:cs="Arial"/>
                <w:color w:val="000000"/>
                <w:sz w:val="16"/>
                <w:szCs w:val="16"/>
              </w:rPr>
              <w:t>122</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sz w:val="22"/>
        </w:rPr>
      </w:pPr>
      <w:r w:rsidRPr="004D55DA">
        <w:rPr>
          <w:b/>
          <w:sz w:val="22"/>
        </w:rPr>
        <w:t>Eficiência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Uma vez que a regressão linear apenas permite testar uma variável dependente de cada vez, optou-se por testar cada uma das variáveis dependentes do modelo de cada vez, começando pela variável </w:t>
      </w:r>
      <w:r w:rsidRPr="004D55DA">
        <w:rPr>
          <w:i/>
        </w:rPr>
        <w:t>eficiência</w:t>
      </w:r>
      <w:r w:rsidRPr="004D55DA">
        <w:t xml:space="preserve">. Foi assim testado, através de regressão com o método dos mínimos quadrados, o seguinte modelo explicativo da </w:t>
      </w:r>
      <w:r w:rsidRPr="004D55DA">
        <w:rPr>
          <w:i/>
        </w:rPr>
        <w:t>eficiência</w:t>
      </w:r>
      <w:r w:rsidRPr="004D55DA">
        <w:t xml:space="preserve">, com base nas variáveis latentes resultantes da </w:t>
      </w:r>
      <w:r w:rsidR="00D36A58">
        <w:t>análise de componentes principais</w:t>
      </w:r>
      <w:r w:rsidRPr="004D55DA">
        <w:t>, descritas na tabela 13,</w:t>
      </w:r>
      <w:r w:rsidRPr="004D55DA">
        <w:rPr>
          <w:i/>
        </w:rPr>
        <w:t xml:space="preserve"> integração logística e organização do terminal, acessibilidades terrestres, dinamismo do porto, importância da região, serviços marítimos do terminal, localização na Europa e acesso marítimo.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dependente </w:t>
      </w:r>
      <w:r w:rsidRPr="004D55DA">
        <w:rPr>
          <w:i/>
        </w:rPr>
        <w:t>eficiência</w:t>
      </w:r>
      <w:r w:rsidRPr="004D55DA">
        <w:t xml:space="preserve"> é explicada (R</w:t>
      </w:r>
      <w:r w:rsidRPr="004D55DA">
        <w:rPr>
          <w:vertAlign w:val="superscript"/>
        </w:rPr>
        <w:t>2</w:t>
      </w:r>
      <w:r w:rsidRPr="004D55DA">
        <w:t xml:space="preserve">=0,09) pelas variáveis estatisticamente mais significativas </w:t>
      </w:r>
      <w:r w:rsidRPr="004D55DA">
        <w:rPr>
          <w:i/>
        </w:rPr>
        <w:t>acessibilidades terrestres e acesso marítimo,</w:t>
      </w:r>
      <w:r w:rsidRPr="004D55DA">
        <w:t xml:space="preserve"> com um grau de explicação do modelo muito reduzido. Os testes efetuados permitem assegurar a adequabilidade do modelo estimado (Tabela 14). Ou seja, os utilizadores do terminal consideram que a produtividade/eficiência do terminal são determinadas apenas pela infraestrutura do porto e do terminal na vertente terrestre e marítima, associando esta componente do desempenho do terminal de contentores à parte física do porto e do terminal e à fluidez que a sua infraestrutura de acesso permite. Ou seja, quanto melhor a acessibilidade terrestre do porto e quanto melhor o acesso marítimo do porto, melhor o seu desempenho em termos de </w:t>
      </w:r>
      <w:r w:rsidRPr="004D55DA">
        <w:lastRenderedPageBreak/>
        <w:t xml:space="preserve">produtividade e eficiência, o que está de acordo com a teoria. No entanto, o grau de explicação é muito baixo, pelo que deverão ser encontrados outros </w:t>
      </w:r>
      <w:r w:rsidR="00136906" w:rsidRPr="004D55DA">
        <w:t>fatores</w:t>
      </w:r>
      <w:r w:rsidRPr="004D55DA">
        <w:t xml:space="preserve"> explicativos não incluídos neste estudo, talvez relacionados com o clima laboral ou a formação da mão-de-obra. Provavelmente não existe entre o inquiridos certezas unânimes sobre os </w:t>
      </w:r>
      <w:r w:rsidR="00136906" w:rsidRPr="004D55DA">
        <w:t>fatores</w:t>
      </w:r>
      <w:r w:rsidRPr="004D55DA">
        <w:t xml:space="preserve"> que influenciam a eficiência, sendo necessário aprofundar com dados quantitativos, em vez de qualitativos como é o caso presente.</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40" w:name="_Toc396134137"/>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14</w:t>
      </w:r>
      <w:r w:rsidR="00372F0E" w:rsidRPr="00D713C2">
        <w:rPr>
          <w:noProof/>
          <w:sz w:val="24"/>
          <w:szCs w:val="24"/>
        </w:rPr>
        <w:fldChar w:fldCharType="end"/>
      </w:r>
      <w:r w:rsidRPr="00D713C2">
        <w:rPr>
          <w:sz w:val="24"/>
          <w:szCs w:val="24"/>
        </w:rPr>
        <w:t xml:space="preserve"> – Regressão de Eficiência, 1º inquérito (OLS)</w:t>
      </w:r>
      <w:bookmarkEnd w:id="140"/>
    </w:p>
    <w:tbl>
      <w:tblPr>
        <w:tblW w:w="9027" w:type="dxa"/>
        <w:tblInd w:w="55" w:type="dxa"/>
        <w:tblCellMar>
          <w:left w:w="70" w:type="dxa"/>
          <w:right w:w="70" w:type="dxa"/>
        </w:tblCellMar>
        <w:tblLook w:val="00A0" w:firstRow="1" w:lastRow="0" w:firstColumn="1" w:lastColumn="0" w:noHBand="0" w:noVBand="0"/>
      </w:tblPr>
      <w:tblGrid>
        <w:gridCol w:w="2567"/>
        <w:gridCol w:w="1560"/>
        <w:gridCol w:w="980"/>
        <w:gridCol w:w="980"/>
        <w:gridCol w:w="980"/>
        <w:gridCol w:w="980"/>
        <w:gridCol w:w="980"/>
      </w:tblGrid>
      <w:tr w:rsidR="00104A12" w:rsidRPr="004D55DA" w:rsidTr="00833551">
        <w:trPr>
          <w:trHeight w:val="567"/>
        </w:trPr>
        <w:tc>
          <w:tcPr>
            <w:tcW w:w="2567"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Eficiência</w:t>
            </w:r>
          </w:p>
        </w:tc>
        <w:tc>
          <w:tcPr>
            <w:tcW w:w="15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Coef.</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padrão.</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t</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P value</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right"/>
              <w:rPr>
                <w:rFonts w:ascii="Cambria" w:hAnsi="Cambria" w:cs="Arial"/>
                <w:color w:val="000000"/>
                <w:sz w:val="16"/>
                <w:szCs w:val="16"/>
              </w:rPr>
            </w:pP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833551">
        <w:trPr>
          <w:trHeight w:val="227"/>
        </w:trPr>
        <w:tc>
          <w:tcPr>
            <w:tcW w:w="2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5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0,081</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0,90</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0,368</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-0,096</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0,258</w:t>
            </w:r>
          </w:p>
        </w:tc>
      </w:tr>
      <w:tr w:rsidR="00104A12" w:rsidRPr="004D55DA" w:rsidTr="00833551">
        <w:trPr>
          <w:trHeight w:val="227"/>
        </w:trPr>
        <w:tc>
          <w:tcPr>
            <w:tcW w:w="2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0,220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2,47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0,397</w:t>
            </w:r>
          </w:p>
        </w:tc>
      </w:tr>
      <w:tr w:rsidR="00104A12" w:rsidRPr="004D55DA" w:rsidTr="00833551">
        <w:trPr>
          <w:trHeight w:val="227"/>
        </w:trPr>
        <w:tc>
          <w:tcPr>
            <w:tcW w:w="2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Dinamismo do porto</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0,701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0,211</w:t>
            </w:r>
          </w:p>
        </w:tc>
      </w:tr>
      <w:tr w:rsidR="00104A12" w:rsidRPr="004D55DA" w:rsidTr="00833551">
        <w:trPr>
          <w:trHeight w:val="227"/>
        </w:trPr>
        <w:tc>
          <w:tcPr>
            <w:tcW w:w="2567" w:type="dxa"/>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Importância da região</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0,673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-0,215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0,139</w:t>
            </w:r>
          </w:p>
        </w:tc>
      </w:tr>
      <w:tr w:rsidR="00104A12" w:rsidRPr="004D55DA" w:rsidTr="00833551">
        <w:trPr>
          <w:trHeight w:val="227"/>
        </w:trPr>
        <w:tc>
          <w:tcPr>
            <w:tcW w:w="2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0,650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0,218</w:t>
            </w:r>
          </w:p>
        </w:tc>
      </w:tr>
      <w:tr w:rsidR="00104A12" w:rsidRPr="004D55DA" w:rsidTr="00833551">
        <w:trPr>
          <w:trHeight w:val="227"/>
        </w:trPr>
        <w:tc>
          <w:tcPr>
            <w:tcW w:w="2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Localização na Europa</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0,270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0,276</w:t>
            </w:r>
          </w:p>
        </w:tc>
      </w:tr>
      <w:tr w:rsidR="00104A12" w:rsidRPr="004D55DA" w:rsidTr="00833551">
        <w:trPr>
          <w:trHeight w:val="227"/>
        </w:trPr>
        <w:tc>
          <w:tcPr>
            <w:tcW w:w="2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Acesso marítimo</w:t>
            </w:r>
          </w:p>
        </w:tc>
        <w:tc>
          <w:tcPr>
            <w:tcW w:w="15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1,62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0,322</w:t>
            </w:r>
          </w:p>
        </w:tc>
      </w:tr>
      <w:tr w:rsidR="00104A12" w:rsidRPr="004D55DA" w:rsidTr="00833551">
        <w:trPr>
          <w:trHeight w:val="227"/>
        </w:trPr>
        <w:tc>
          <w:tcPr>
            <w:tcW w:w="2567"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_constante</w:t>
            </w:r>
          </w:p>
        </w:tc>
        <w:tc>
          <w:tcPr>
            <w:tcW w:w="15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-0,176</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0,176</w:t>
            </w:r>
          </w:p>
        </w:tc>
      </w:tr>
      <w:tr w:rsidR="00104A12" w:rsidRPr="004D55DA" w:rsidTr="00833551">
        <w:trPr>
          <w:trHeight w:val="283"/>
        </w:trPr>
        <w:tc>
          <w:tcPr>
            <w:tcW w:w="2567" w:type="dxa"/>
            <w:tcBorders>
              <w:top w:val="single" w:sz="4" w:space="0" w:color="auto"/>
              <w:left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56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(7,114): 1,61</w:t>
            </w:r>
          </w:p>
        </w:tc>
        <w:tc>
          <w:tcPr>
            <w:tcW w:w="98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5,73</w:t>
            </w:r>
          </w:p>
        </w:tc>
        <w:tc>
          <w:tcPr>
            <w:tcW w:w="98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3,12</w:t>
            </w:r>
          </w:p>
        </w:tc>
        <w:tc>
          <w:tcPr>
            <w:tcW w:w="98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46,67</w:t>
            </w:r>
          </w:p>
        </w:tc>
        <w:tc>
          <w:tcPr>
            <w:tcW w:w="98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1.22</w:t>
            </w:r>
          </w:p>
        </w:tc>
        <w:tc>
          <w:tcPr>
            <w:tcW w:w="980" w:type="dxa"/>
            <w:tcBorders>
              <w:top w:val="single" w:sz="4" w:space="0" w:color="auto"/>
              <w:left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y:0,46</w:t>
            </w:r>
          </w:p>
        </w:tc>
      </w:tr>
      <w:tr w:rsidR="00104A12" w:rsidRPr="004D55DA" w:rsidTr="00833551">
        <w:trPr>
          <w:trHeight w:val="283"/>
        </w:trPr>
        <w:tc>
          <w:tcPr>
            <w:tcW w:w="2567"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0,09</w:t>
            </w:r>
          </w:p>
        </w:tc>
        <w:tc>
          <w:tcPr>
            <w:tcW w:w="15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0,1387</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0,5719</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0,0771</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0,0898</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0,2534</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0,7127</w:t>
            </w:r>
          </w:p>
        </w:tc>
      </w:tr>
    </w:tbl>
    <w:p w:rsidR="00104A12" w:rsidRPr="004D55DA" w:rsidRDefault="00104A12" w:rsidP="007F7964">
      <w:pPr>
        <w:spacing w:line="360" w:lineRule="auto"/>
        <w:jc w:val="both"/>
        <w:rPr>
          <w:sz w:val="20"/>
        </w:rPr>
      </w:pPr>
      <w:r w:rsidRPr="004D55DA">
        <w:rPr>
          <w:sz w:val="20"/>
        </w:rPr>
        <w:t>Nota sobre a legenda dos testes: R</w:t>
      </w:r>
      <w:r w:rsidRPr="004D55DA">
        <w:rPr>
          <w:sz w:val="20"/>
          <w:vertAlign w:val="superscript"/>
        </w:rPr>
        <w:t>2</w:t>
      </w:r>
      <w:r w:rsidRPr="004D55DA">
        <w:rPr>
          <w:sz w:val="20"/>
        </w:rPr>
        <w:t xml:space="preserve"> – coeficiente de determinação, F – teste F, BP – teste </w:t>
      </w:r>
      <w:hyperlink r:id="rId43"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Satisfação do Cliente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Foi testado, através de regressão com o método dos mínimos quadrados, o seguinte modelo explicativo da </w:t>
      </w:r>
      <w:r w:rsidRPr="004D55DA">
        <w:rPr>
          <w:i/>
        </w:rPr>
        <w:t>satisfação do cliente</w:t>
      </w:r>
      <w:r w:rsidRPr="004D55DA">
        <w:t xml:space="preserve">, com base nas variáveis latentes resultantes da </w:t>
      </w:r>
      <w:r w:rsidR="00D36A58">
        <w:t>análise de componentes principais</w:t>
      </w:r>
      <w:r w:rsidRPr="004D55DA">
        <w:t>, descritas na tabela 14,</w:t>
      </w:r>
      <w:r w:rsidRPr="004D55DA">
        <w:rPr>
          <w:i/>
        </w:rPr>
        <w:t xml:space="preserve"> integração logística e organização do terminal, acessibilidades terrestres, dinamismo do porto, importância da região, serviços marítimos do terminal, localização na Europa e acesso marítimo.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dependente </w:t>
      </w:r>
      <w:r w:rsidRPr="004D55DA">
        <w:rPr>
          <w:i/>
        </w:rPr>
        <w:t>satisfação do cliente</w:t>
      </w:r>
      <w:r w:rsidRPr="004D55DA">
        <w:t xml:space="preserve"> é explicada (R</w:t>
      </w:r>
      <w:r w:rsidRPr="004D55DA">
        <w:rPr>
          <w:vertAlign w:val="superscript"/>
        </w:rPr>
        <w:t>2</w:t>
      </w:r>
      <w:r w:rsidRPr="004D55DA">
        <w:t xml:space="preserve">=0,2121) pelas variáveis estatisticamente mais significativas </w:t>
      </w:r>
      <w:r w:rsidRPr="004D55DA">
        <w:rPr>
          <w:i/>
        </w:rPr>
        <w:t>integração logística e organização do terminal</w:t>
      </w:r>
      <w:r w:rsidRPr="004D55DA">
        <w:t xml:space="preserve">, </w:t>
      </w:r>
      <w:r w:rsidRPr="004D55DA">
        <w:rPr>
          <w:i/>
        </w:rPr>
        <w:t>dinamismo do porto</w:t>
      </w:r>
      <w:r w:rsidRPr="004D55DA">
        <w:t xml:space="preserve">, </w:t>
      </w:r>
      <w:r w:rsidRPr="004D55DA">
        <w:rPr>
          <w:i/>
        </w:rPr>
        <w:t>serviços marítimos do terminal</w:t>
      </w:r>
      <w:r w:rsidRPr="004D55DA">
        <w:t xml:space="preserve"> e</w:t>
      </w:r>
      <w:r w:rsidRPr="004D55DA">
        <w:rPr>
          <w:i/>
        </w:rPr>
        <w:t xml:space="preserve"> acesso marítimo</w:t>
      </w:r>
      <w:r w:rsidRPr="004D55DA">
        <w:t xml:space="preserve">. Os testes efetuados permitem assegurar a adequabilidade do modelo estimado (Tabela 15). Ou seja, os </w:t>
      </w:r>
      <w:r w:rsidRPr="004D55DA">
        <w:lastRenderedPageBreak/>
        <w:t>utilizadores do terminal consideram que quanto melhor a integração dos terminais nas cadeias logísticas e organização do terminal, quanto mais dinâmico é o porto, quanto melhores são os serviços marítimos do terminal e quanto melhor é o acesso marítimo, melhor será a satisfação dos clientes, o que está de acordo com a teoria.</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41" w:name="_Toc396134138"/>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15</w:t>
      </w:r>
      <w:r w:rsidR="00372F0E" w:rsidRPr="00D713C2">
        <w:rPr>
          <w:noProof/>
          <w:sz w:val="24"/>
          <w:szCs w:val="24"/>
        </w:rPr>
        <w:fldChar w:fldCharType="end"/>
      </w:r>
      <w:r w:rsidRPr="00D713C2">
        <w:rPr>
          <w:sz w:val="24"/>
          <w:szCs w:val="24"/>
        </w:rPr>
        <w:t xml:space="preserve"> - Regressão de Satisfação do Cliente, 1º inquérito, robusta (OLS)</w:t>
      </w:r>
      <w:bookmarkEnd w:id="141"/>
    </w:p>
    <w:tbl>
      <w:tblPr>
        <w:tblW w:w="9026" w:type="dxa"/>
        <w:tblInd w:w="55" w:type="dxa"/>
        <w:tblCellMar>
          <w:left w:w="70" w:type="dxa"/>
          <w:right w:w="70" w:type="dxa"/>
        </w:tblCellMar>
        <w:tblLook w:val="00A0" w:firstRow="1" w:lastRow="0" w:firstColumn="1" w:lastColumn="0" w:noHBand="0" w:noVBand="0"/>
      </w:tblPr>
      <w:tblGrid>
        <w:gridCol w:w="2992"/>
        <w:gridCol w:w="1134"/>
        <w:gridCol w:w="980"/>
        <w:gridCol w:w="980"/>
        <w:gridCol w:w="980"/>
        <w:gridCol w:w="980"/>
        <w:gridCol w:w="980"/>
      </w:tblGrid>
      <w:tr w:rsidR="00104A12" w:rsidRPr="004D55DA" w:rsidTr="00833551">
        <w:trPr>
          <w:trHeight w:val="567"/>
        </w:trPr>
        <w:tc>
          <w:tcPr>
            <w:tcW w:w="2992"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1134"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833551">
        <w:trPr>
          <w:trHeight w:val="227"/>
        </w:trPr>
        <w:tc>
          <w:tcPr>
            <w:tcW w:w="2992"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0.212</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0.073</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2.91</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0.004</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0.068</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0.356</w:t>
            </w:r>
          </w:p>
        </w:tc>
      </w:tr>
      <w:tr w:rsidR="00104A12" w:rsidRPr="004D55DA" w:rsidTr="00833551">
        <w:trPr>
          <w:trHeight w:val="227"/>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0.242</w:t>
            </w:r>
          </w:p>
        </w:tc>
      </w:tr>
      <w:tr w:rsidR="00104A12" w:rsidRPr="004D55DA" w:rsidTr="00833551">
        <w:trPr>
          <w:trHeight w:val="227"/>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Dinamismo do porto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3.16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0.414</w:t>
            </w:r>
          </w:p>
        </w:tc>
      </w:tr>
      <w:tr w:rsidR="00104A12" w:rsidRPr="004D55DA" w:rsidTr="00833551">
        <w:trPr>
          <w:trHeight w:val="227"/>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Importância da região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1.56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0.121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0.332</w:t>
            </w:r>
          </w:p>
        </w:tc>
      </w:tr>
      <w:tr w:rsidR="00104A12" w:rsidRPr="004D55DA" w:rsidTr="00833551">
        <w:trPr>
          <w:trHeight w:val="227"/>
        </w:trPr>
        <w:tc>
          <w:tcPr>
            <w:tcW w:w="2992" w:type="dxa"/>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0.229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0.424</w:t>
            </w:r>
          </w:p>
        </w:tc>
      </w:tr>
      <w:tr w:rsidR="00104A12" w:rsidRPr="004D55DA" w:rsidTr="00833551">
        <w:trPr>
          <w:trHeight w:val="227"/>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Localização na Europa</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0.894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0.206</w:t>
            </w:r>
          </w:p>
        </w:tc>
      </w:tr>
      <w:tr w:rsidR="00104A12" w:rsidRPr="004D55DA" w:rsidTr="00833551">
        <w:trPr>
          <w:trHeight w:val="227"/>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Acesso marítimo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0.149</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0.055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0.300</w:t>
            </w:r>
          </w:p>
        </w:tc>
      </w:tr>
      <w:tr w:rsidR="00104A12" w:rsidRPr="004D55DA" w:rsidTr="00833551">
        <w:trPr>
          <w:trHeight w:val="227"/>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0.083</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-0.164</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0.164</w:t>
            </w:r>
          </w:p>
        </w:tc>
      </w:tr>
      <w:tr w:rsidR="00104A12" w:rsidRPr="004D55DA" w:rsidTr="00833551">
        <w:trPr>
          <w:trHeight w:val="283"/>
        </w:trPr>
        <w:tc>
          <w:tcPr>
            <w:tcW w:w="2992"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(7,114): 4,38</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25,45</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2,66</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46,98</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1.10</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y:2,82</w:t>
            </w:r>
          </w:p>
        </w:tc>
      </w:tr>
      <w:tr w:rsidR="00104A12" w:rsidRPr="004D55DA" w:rsidTr="00833551">
        <w:trPr>
          <w:trHeight w:val="283"/>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0,2121</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0,0002</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0,0006</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0,1031</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0,0849</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0,3590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0,0423</w:t>
            </w:r>
          </w:p>
        </w:tc>
      </w:tr>
    </w:tbl>
    <w:p w:rsidR="00104A12" w:rsidRPr="004D55DA" w:rsidRDefault="00104A12" w:rsidP="007F7964">
      <w:pPr>
        <w:spacing w:line="360" w:lineRule="auto"/>
        <w:jc w:val="both"/>
        <w:rPr>
          <w:sz w:val="18"/>
          <w:szCs w:val="16"/>
        </w:rPr>
      </w:pPr>
      <w:r w:rsidRPr="004D55DA">
        <w:rPr>
          <w:sz w:val="18"/>
          <w:szCs w:val="16"/>
        </w:rPr>
        <w:t>Nota 1: os resultados dos testes referem-se a exercício antes da regressão robusta (após regressão robusta o software não calcula os testes)</w:t>
      </w:r>
    </w:p>
    <w:p w:rsidR="00104A12" w:rsidRPr="004D55DA" w:rsidRDefault="00104A12" w:rsidP="007F7964">
      <w:pPr>
        <w:spacing w:line="360" w:lineRule="auto"/>
        <w:jc w:val="both"/>
        <w:rPr>
          <w:sz w:val="20"/>
        </w:rPr>
      </w:pPr>
      <w:r w:rsidRPr="004D55DA">
        <w:rPr>
          <w:sz w:val="20"/>
        </w:rPr>
        <w:t>Nota 2 sobre a legenda dos testes: R</w:t>
      </w:r>
      <w:r w:rsidRPr="004D55DA">
        <w:rPr>
          <w:sz w:val="20"/>
          <w:vertAlign w:val="superscript"/>
        </w:rPr>
        <w:t>2</w:t>
      </w:r>
      <w:r w:rsidRPr="004D55DA">
        <w:rPr>
          <w:sz w:val="20"/>
        </w:rPr>
        <w:t xml:space="preserve"> – coeficiente de determinação, F – teste F, BP – teste </w:t>
      </w:r>
      <w:hyperlink r:id="rId44"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r w:rsidRPr="004D55DA">
        <w:rPr>
          <w:b/>
        </w:rPr>
        <w:t>Atividade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Foi testado, através de regressão com o método dos mínimos quadrados, o seguinte modelo explicativo da </w:t>
      </w:r>
      <w:r w:rsidRPr="004D55DA">
        <w:rPr>
          <w:i/>
        </w:rPr>
        <w:t>atividade</w:t>
      </w:r>
      <w:r w:rsidRPr="004D55DA">
        <w:t xml:space="preserve">, com base nas variáveis latentes resultantes da </w:t>
      </w:r>
      <w:r w:rsidR="00D36A58">
        <w:t>análise de componentes principais</w:t>
      </w:r>
      <w:r w:rsidRPr="004D55DA">
        <w:t>, descritas na tabela 15,</w:t>
      </w:r>
      <w:r w:rsidRPr="004D55DA">
        <w:rPr>
          <w:i/>
        </w:rPr>
        <w:t xml:space="preserve"> integração logística e organização do terminal, acessibilidades terrestres, dinamismo do porto, importância da região, serviços marítimos do terminal, localização na Europa e acesso marítimo.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dependente </w:t>
      </w:r>
      <w:r w:rsidRPr="004D55DA">
        <w:rPr>
          <w:i/>
        </w:rPr>
        <w:t>atividade</w:t>
      </w:r>
      <w:r w:rsidRPr="004D55DA">
        <w:t xml:space="preserve"> é explicada (R</w:t>
      </w:r>
      <w:r w:rsidRPr="004D55DA">
        <w:rPr>
          <w:vertAlign w:val="superscript"/>
        </w:rPr>
        <w:t>2</w:t>
      </w:r>
      <w:r w:rsidRPr="004D55DA">
        <w:t xml:space="preserve">=0,2167) pelas variáveis estatisticamente mais significativas </w:t>
      </w:r>
      <w:r w:rsidRPr="004D55DA">
        <w:rPr>
          <w:i/>
        </w:rPr>
        <w:t>dinamismo do porto</w:t>
      </w:r>
      <w:r w:rsidRPr="004D55DA">
        <w:t xml:space="preserve">, </w:t>
      </w:r>
      <w:r w:rsidRPr="004D55DA">
        <w:rPr>
          <w:i/>
        </w:rPr>
        <w:t xml:space="preserve">importância da região </w:t>
      </w:r>
      <w:r w:rsidRPr="004D55DA">
        <w:t xml:space="preserve">e </w:t>
      </w:r>
      <w:r w:rsidRPr="004D55DA">
        <w:rPr>
          <w:i/>
        </w:rPr>
        <w:t>localização na Europa</w:t>
      </w:r>
      <w:r w:rsidRPr="004D55DA">
        <w:t xml:space="preserve">. Os testes efetuados permitem assegurar a adequabilidade do modelo estimado (Tabela 16). Ou seja, os utilizadores do terminal consideram que quanto mais dinâmico é o porto, quanto mais </w:t>
      </w:r>
      <w:r w:rsidRPr="004D55DA">
        <w:lastRenderedPageBreak/>
        <w:t>próximo está o terminal das áreas de consumo e produção importantes, quanto maior o desempenho da região onde se insere o terminal e quanto melhor é a localização, mais próxima, do terminal face aos centros de consumo europeus e aos eixos marítimos do Mediterrâneo, maior é o movimento de contentores no terminal, o que está de acordo com a teoria.</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42" w:name="_Toc396134139"/>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16</w:t>
      </w:r>
      <w:r w:rsidR="00372F0E" w:rsidRPr="00D713C2">
        <w:rPr>
          <w:noProof/>
          <w:sz w:val="24"/>
          <w:szCs w:val="24"/>
        </w:rPr>
        <w:fldChar w:fldCharType="end"/>
      </w:r>
      <w:r w:rsidRPr="00D713C2">
        <w:rPr>
          <w:sz w:val="24"/>
          <w:szCs w:val="24"/>
        </w:rPr>
        <w:t xml:space="preserve"> - Regressão de Atividade, 1º inquérito, robusta (OLS)</w:t>
      </w:r>
      <w:bookmarkEnd w:id="142"/>
    </w:p>
    <w:tbl>
      <w:tblPr>
        <w:tblW w:w="9090" w:type="dxa"/>
        <w:tblInd w:w="55" w:type="dxa"/>
        <w:tblCellMar>
          <w:left w:w="70" w:type="dxa"/>
          <w:right w:w="70" w:type="dxa"/>
        </w:tblCellMar>
        <w:tblLook w:val="00A0" w:firstRow="1" w:lastRow="0" w:firstColumn="1" w:lastColumn="0" w:noHBand="0" w:noVBand="0"/>
      </w:tblPr>
      <w:tblGrid>
        <w:gridCol w:w="2850"/>
        <w:gridCol w:w="1220"/>
        <w:gridCol w:w="1000"/>
        <w:gridCol w:w="1000"/>
        <w:gridCol w:w="1100"/>
        <w:gridCol w:w="960"/>
        <w:gridCol w:w="960"/>
      </w:tblGrid>
      <w:tr w:rsidR="00104A12" w:rsidRPr="004D55DA" w:rsidTr="00A73E16">
        <w:trPr>
          <w:trHeight w:val="510"/>
        </w:trPr>
        <w:tc>
          <w:tcPr>
            <w:tcW w:w="285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Atividade</w:t>
            </w:r>
          </w:p>
        </w:tc>
        <w:tc>
          <w:tcPr>
            <w:tcW w:w="122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100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100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110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A73E16">
        <w:trPr>
          <w:trHeight w:val="240"/>
        </w:trPr>
        <w:tc>
          <w:tcPr>
            <w:tcW w:w="285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22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0.016</w:t>
            </w:r>
          </w:p>
        </w:tc>
        <w:tc>
          <w:tcPr>
            <w:tcW w:w="10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0.088</w:t>
            </w:r>
          </w:p>
        </w:tc>
        <w:tc>
          <w:tcPr>
            <w:tcW w:w="10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w:t>
            </w:r>
          </w:p>
        </w:tc>
        <w:tc>
          <w:tcPr>
            <w:tcW w:w="11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0.853</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-0.158</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0.190</w:t>
            </w:r>
          </w:p>
        </w:tc>
      </w:tr>
      <w:tr w:rsidR="00104A12" w:rsidRPr="004D55DA" w:rsidTr="00FD75E9">
        <w:trPr>
          <w:trHeight w:val="240"/>
        </w:trPr>
        <w:tc>
          <w:tcPr>
            <w:tcW w:w="285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0.091</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0.079</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1.15</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0.247</w:t>
            </w:r>
          </w:p>
        </w:tc>
      </w:tr>
      <w:tr w:rsidR="00104A12" w:rsidRPr="004D55DA" w:rsidTr="00FD75E9">
        <w:trPr>
          <w:trHeight w:val="240"/>
        </w:trPr>
        <w:tc>
          <w:tcPr>
            <w:tcW w:w="285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Dinamismo do porto</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0.289</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0.086</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3.36</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0.119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0.460</w:t>
            </w:r>
          </w:p>
        </w:tc>
      </w:tr>
      <w:tr w:rsidR="00104A12" w:rsidRPr="004D55DA" w:rsidTr="00FD75E9">
        <w:trPr>
          <w:trHeight w:val="240"/>
        </w:trPr>
        <w:tc>
          <w:tcPr>
            <w:tcW w:w="285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Importância da região</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0.228</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2.55</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0.051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0.405</w:t>
            </w:r>
          </w:p>
        </w:tc>
      </w:tr>
      <w:tr w:rsidR="00104A12" w:rsidRPr="004D55DA" w:rsidTr="00FD75E9">
        <w:trPr>
          <w:trHeight w:val="240"/>
        </w:trPr>
        <w:tc>
          <w:tcPr>
            <w:tcW w:w="2850" w:type="dxa"/>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0.046</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0.105</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0.44</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0.661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0.254</w:t>
            </w:r>
          </w:p>
        </w:tc>
      </w:tr>
      <w:tr w:rsidR="00104A12" w:rsidRPr="004D55DA" w:rsidTr="00FD75E9">
        <w:trPr>
          <w:trHeight w:val="240"/>
        </w:trPr>
        <w:tc>
          <w:tcPr>
            <w:tcW w:w="285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Localização na Europa</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0.243</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0.111</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2.19</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0.463</w:t>
            </w:r>
          </w:p>
        </w:tc>
      </w:tr>
      <w:tr w:rsidR="00104A12" w:rsidRPr="004D55DA" w:rsidTr="00FD75E9">
        <w:trPr>
          <w:trHeight w:val="240"/>
        </w:trPr>
        <w:tc>
          <w:tcPr>
            <w:tcW w:w="285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Acesso marítimo</w:t>
            </w:r>
          </w:p>
        </w:tc>
        <w:tc>
          <w:tcPr>
            <w:tcW w:w="122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-0.035</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0.077</w:t>
            </w:r>
          </w:p>
        </w:tc>
        <w:tc>
          <w:tcPr>
            <w:tcW w:w="10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-0.46</w:t>
            </w:r>
          </w:p>
        </w:tc>
        <w:tc>
          <w:tcPr>
            <w:tcW w:w="110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0.645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0.117</w:t>
            </w:r>
          </w:p>
        </w:tc>
      </w:tr>
      <w:tr w:rsidR="00104A12" w:rsidRPr="004D55DA" w:rsidTr="00FD75E9">
        <w:trPr>
          <w:trHeight w:val="240"/>
        </w:trPr>
        <w:tc>
          <w:tcPr>
            <w:tcW w:w="2850"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w:t>
            </w:r>
          </w:p>
        </w:tc>
        <w:tc>
          <w:tcPr>
            <w:tcW w:w="122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10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0.083</w:t>
            </w:r>
          </w:p>
        </w:tc>
        <w:tc>
          <w:tcPr>
            <w:tcW w:w="10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11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-0.165</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0.165</w:t>
            </w:r>
          </w:p>
        </w:tc>
      </w:tr>
      <w:tr w:rsidR="00104A12" w:rsidRPr="004D55DA" w:rsidTr="00A73E16">
        <w:trPr>
          <w:trHeight w:val="283"/>
        </w:trPr>
        <w:tc>
          <w:tcPr>
            <w:tcW w:w="2850"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22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(7,114): 4,24</w:t>
            </w:r>
          </w:p>
        </w:tc>
        <w:tc>
          <w:tcPr>
            <w:tcW w:w="10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13,08</w:t>
            </w:r>
          </w:p>
        </w:tc>
        <w:tc>
          <w:tcPr>
            <w:tcW w:w="10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0,03</w:t>
            </w:r>
          </w:p>
        </w:tc>
        <w:tc>
          <w:tcPr>
            <w:tcW w:w="110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51,19</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1.96</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y:1,28</w:t>
            </w:r>
          </w:p>
        </w:tc>
      </w:tr>
      <w:tr w:rsidR="00104A12" w:rsidRPr="004D55DA" w:rsidTr="00A73E16">
        <w:trPr>
          <w:trHeight w:val="283"/>
        </w:trPr>
        <w:tc>
          <w:tcPr>
            <w:tcW w:w="2850"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0,2067</w:t>
            </w:r>
          </w:p>
        </w:tc>
        <w:tc>
          <w:tcPr>
            <w:tcW w:w="122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0,0003</w:t>
            </w:r>
          </w:p>
        </w:tc>
        <w:tc>
          <w:tcPr>
            <w:tcW w:w="10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0,0702</w:t>
            </w:r>
          </w:p>
        </w:tc>
        <w:tc>
          <w:tcPr>
            <w:tcW w:w="10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0,8590</w:t>
            </w:r>
          </w:p>
        </w:tc>
        <w:tc>
          <w:tcPr>
            <w:tcW w:w="110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0,0379</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0,0151</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0,2854</w:t>
            </w:r>
          </w:p>
        </w:tc>
      </w:tr>
    </w:tbl>
    <w:p w:rsidR="00104A12" w:rsidRPr="004D55DA" w:rsidRDefault="00104A12" w:rsidP="007F7964">
      <w:pPr>
        <w:spacing w:line="360" w:lineRule="auto"/>
        <w:jc w:val="both"/>
        <w:rPr>
          <w:sz w:val="18"/>
          <w:szCs w:val="16"/>
        </w:rPr>
      </w:pPr>
      <w:r w:rsidRPr="004D55DA">
        <w:rPr>
          <w:sz w:val="18"/>
          <w:szCs w:val="16"/>
        </w:rPr>
        <w:t>Nota 1: os resultados dos testes referem-se a exercício antes da regressão robusta (após regressão robusta o software não calcula os testes)</w:t>
      </w:r>
    </w:p>
    <w:p w:rsidR="00104A12" w:rsidRPr="004D55DA" w:rsidRDefault="00104A12" w:rsidP="007F7964">
      <w:pPr>
        <w:spacing w:line="360" w:lineRule="auto"/>
        <w:jc w:val="both"/>
        <w:rPr>
          <w:sz w:val="20"/>
        </w:rPr>
      </w:pPr>
      <w:r w:rsidRPr="004D55DA">
        <w:rPr>
          <w:sz w:val="20"/>
        </w:rPr>
        <w:t>Nota 2 sobre a legenda dos testes: R</w:t>
      </w:r>
      <w:r w:rsidRPr="004D55DA">
        <w:rPr>
          <w:sz w:val="20"/>
          <w:vertAlign w:val="superscript"/>
        </w:rPr>
        <w:t>2</w:t>
      </w:r>
      <w:r w:rsidRPr="004D55DA">
        <w:rPr>
          <w:sz w:val="20"/>
        </w:rPr>
        <w:t xml:space="preserve"> – coeficiente de determinação, F – teste F, BP – teste </w:t>
      </w:r>
      <w:hyperlink r:id="rId45"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 xml:space="preserve">“Path </w:t>
      </w:r>
      <w:r w:rsidR="004E39C3" w:rsidRPr="004D55DA">
        <w:rPr>
          <w:b/>
        </w:rPr>
        <w:t>a</w:t>
      </w:r>
      <w:r w:rsidRPr="004D55DA">
        <w:rPr>
          <w:b/>
        </w:rPr>
        <w:t>nalysis” conjunta</w:t>
      </w:r>
    </w:p>
    <w:p w:rsidR="00104A12" w:rsidRPr="004D55DA" w:rsidRDefault="00104A12" w:rsidP="007F7964">
      <w:pPr>
        <w:spacing w:line="360" w:lineRule="auto"/>
        <w:jc w:val="both"/>
        <w:rPr>
          <w:b/>
        </w:rPr>
      </w:pPr>
    </w:p>
    <w:p w:rsidR="00104A12" w:rsidRPr="004D55DA" w:rsidRDefault="00104A12" w:rsidP="007F7964">
      <w:pPr>
        <w:spacing w:line="360" w:lineRule="auto"/>
        <w:jc w:val="both"/>
      </w:pPr>
      <w:r w:rsidRPr="004D55DA">
        <w:t xml:space="preserve">Numa segunda fase, com vista a </w:t>
      </w:r>
      <w:r w:rsidR="00D24F6E">
        <w:t>avaliar</w:t>
      </w:r>
      <w:r w:rsidRPr="004D55DA">
        <w:t xml:space="preserve"> os resultados obtidos com as regressões, relativos aos </w:t>
      </w:r>
      <w:r w:rsidR="00136906" w:rsidRPr="004D55DA">
        <w:t>fatores</w:t>
      </w:r>
      <w:r w:rsidRPr="004D55DA">
        <w:t xml:space="preserve"> latentes independentes determinantes de cada variável latente dependente e seus coeficientes, recorreu-se à metodologia “path analysis” dos modelos de equações estruturais</w:t>
      </w:r>
      <w:r w:rsidR="00D24F6E">
        <w:t xml:space="preserve"> com os “scores” das variáveis latentes resultantes da análise de componentes principais</w:t>
      </w:r>
      <w:r w:rsidRPr="004D55DA">
        <w:t xml:space="preserve">, uma das vertentes do SEM que permite igualmente testar modelos de relações causais simples entre n variáveis independentes e cada uma das variáveis dependentes, embora avaliando os resultados de forma global.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Foram obtidos resultados globais significativos (Figura 17) com os seguintes indicadores de adequação do ajustamento</w:t>
      </w:r>
      <w:r w:rsidR="00136906">
        <w:t xml:space="preserve"> “Goodness-of-fit” </w:t>
      </w:r>
      <w:r w:rsidRPr="004D55DA">
        <w:t xml:space="preserve">(GoF) </w:t>
      </w:r>
      <w:r w:rsidRPr="004D55DA">
        <w:rPr>
          <w:lang w:val="en-GB"/>
        </w:rPr>
        <w:t>χ</w:t>
      </w:r>
      <w:r w:rsidRPr="004D55DA">
        <w:rPr>
          <w:vertAlign w:val="superscript"/>
        </w:rPr>
        <w:t>2</w:t>
      </w:r>
      <w:r w:rsidRPr="004D55DA">
        <w:t xml:space="preserve"> 12,675; </w:t>
      </w:r>
      <w:r w:rsidRPr="004D55DA">
        <w:rPr>
          <w:lang w:val="en-GB"/>
        </w:rPr>
        <w:t>χ</w:t>
      </w:r>
      <w:r w:rsidRPr="004D55DA">
        <w:rPr>
          <w:vertAlign w:val="superscript"/>
        </w:rPr>
        <w:t>2</w:t>
      </w:r>
      <w:r w:rsidRPr="004D55DA">
        <w:t>/df 0,352; IFI: 1,635 (&gt;0,9); CFI: 1,000 (&gt;0,9); RMSEA: 0,0001 (&lt;0,1), indicando um bom ajustamento do modelo.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Ou seja, </w:t>
      </w:r>
      <w:r w:rsidR="00D24F6E">
        <w:t>Não se rejeita</w:t>
      </w:r>
      <w:r w:rsidRPr="004D55DA">
        <w:t xml:space="preserve"> que a </w:t>
      </w:r>
      <w:r w:rsidRPr="004D55DA">
        <w:rPr>
          <w:i/>
        </w:rPr>
        <w:t xml:space="preserve">eficiência </w:t>
      </w:r>
      <w:r w:rsidRPr="004D55DA">
        <w:t>(R</w:t>
      </w:r>
      <w:r w:rsidRPr="004D55DA">
        <w:rPr>
          <w:vertAlign w:val="superscript"/>
        </w:rPr>
        <w:t>2</w:t>
      </w:r>
      <w:r w:rsidRPr="004D55DA">
        <w:t xml:space="preserve">=0,05) é explicada essencialmente pelas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=0,22), embora não se tenha confirmado a significância do factor acessos marítimos, </w:t>
      </w:r>
      <w:r w:rsidR="00732E07">
        <w:t>não permitindo rejeitar</w:t>
      </w:r>
      <w:r w:rsidRPr="004D55DA">
        <w:t xml:space="preserve"> a teoria.</w:t>
      </w:r>
    </w:p>
    <w:p w:rsidR="00104A12" w:rsidRPr="004D55DA" w:rsidRDefault="00104A12" w:rsidP="007F7964">
      <w:pPr>
        <w:spacing w:line="360" w:lineRule="auto"/>
        <w:jc w:val="both"/>
      </w:pPr>
    </w:p>
    <w:p w:rsidR="00104A12" w:rsidRPr="004D55DA" w:rsidRDefault="00D24F6E" w:rsidP="007F7964">
      <w:pPr>
        <w:spacing w:line="360" w:lineRule="auto"/>
        <w:jc w:val="both"/>
      </w:pPr>
      <w:r>
        <w:t>Não se rejeita</w:t>
      </w:r>
      <w:r w:rsidR="00104A12" w:rsidRPr="004D55DA">
        <w:t xml:space="preserve"> que a </w:t>
      </w:r>
      <w:r w:rsidR="00104A12" w:rsidRPr="004D55DA">
        <w:rPr>
          <w:i/>
        </w:rPr>
        <w:t>satisfação do cliente</w:t>
      </w:r>
      <w:r w:rsidR="00104A12" w:rsidRPr="004D55DA">
        <w:t xml:space="preserve"> (R</w:t>
      </w:r>
      <w:r w:rsidR="00104A12" w:rsidRPr="004D55DA">
        <w:rPr>
          <w:vertAlign w:val="superscript"/>
        </w:rPr>
        <w:t>2</w:t>
      </w:r>
      <w:r w:rsidR="00104A12" w:rsidRPr="004D55DA">
        <w:t xml:space="preserve">=0,21) é explicada pela </w:t>
      </w:r>
      <w:r w:rsidR="00104A12" w:rsidRPr="004D55DA">
        <w:rPr>
          <w:i/>
        </w:rPr>
        <w:t>integração logística e organização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=0,21), </w:t>
      </w:r>
      <w:r w:rsidR="00104A12" w:rsidRPr="004D55DA">
        <w:rPr>
          <w:i/>
        </w:rPr>
        <w:t>dinamismo do porto</w:t>
      </w:r>
      <w:r w:rsidR="00104A12" w:rsidRPr="004D55DA">
        <w:t xml:space="preserve"> (β=0,25)</w:t>
      </w:r>
      <w:r w:rsidR="00104A12" w:rsidRPr="004D55DA">
        <w:rPr>
          <w:i/>
        </w:rPr>
        <w:t>, acesso marítimo</w:t>
      </w:r>
      <w:r w:rsidR="00104A12" w:rsidRPr="004D55DA">
        <w:t xml:space="preserve"> (β=0,15)</w:t>
      </w:r>
      <w:r w:rsidR="00104A12" w:rsidRPr="004D55DA">
        <w:rPr>
          <w:i/>
        </w:rPr>
        <w:t xml:space="preserve"> e 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=0,15). Mas verificou-se também a significância do factor </w:t>
      </w:r>
      <w:r w:rsidR="00104A12" w:rsidRPr="004D55DA">
        <w:rPr>
          <w:i/>
        </w:rPr>
        <w:t>importância da região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=0,23), ou seja, quanto mais próximo está o terminal das áreas de consumo e produção e quanto maior o desempenho da região onde se insere o terminal, maior é a satisfação do cliente, </w:t>
      </w:r>
      <w:r w:rsidR="00732E07">
        <w:t>não permitindo rejeitar</w:t>
      </w:r>
      <w:r w:rsidR="00104A12" w:rsidRPr="004D55DA">
        <w:t xml:space="preserve"> a teoria.</w:t>
      </w:r>
    </w:p>
    <w:p w:rsidR="00104A12" w:rsidRPr="004D55DA" w:rsidRDefault="00104A12" w:rsidP="007F7964">
      <w:pPr>
        <w:spacing w:line="360" w:lineRule="auto"/>
        <w:jc w:val="both"/>
      </w:pPr>
    </w:p>
    <w:p w:rsidR="00104A12" w:rsidRPr="004D55DA" w:rsidRDefault="00D24F6E" w:rsidP="007F7964">
      <w:pPr>
        <w:spacing w:line="360" w:lineRule="auto"/>
        <w:jc w:val="both"/>
      </w:pPr>
      <w:r>
        <w:t>Não se rejeita</w:t>
      </w:r>
      <w:r w:rsidR="00104A12" w:rsidRPr="004D55DA">
        <w:t xml:space="preserve"> ainda que a </w:t>
      </w:r>
      <w:r w:rsidR="00104A12" w:rsidRPr="004D55DA">
        <w:rPr>
          <w:i/>
        </w:rPr>
        <w:t xml:space="preserve">atividade </w:t>
      </w:r>
      <w:r w:rsidR="00104A12" w:rsidRPr="004D55DA">
        <w:t>(R</w:t>
      </w:r>
      <w:r w:rsidR="00104A12" w:rsidRPr="004D55DA">
        <w:rPr>
          <w:vertAlign w:val="superscript"/>
        </w:rPr>
        <w:t>2</w:t>
      </w:r>
      <w:r w:rsidR="00104A12" w:rsidRPr="004D55DA">
        <w:t xml:space="preserve">=0,19) é explicada pelo </w:t>
      </w:r>
      <w:r w:rsidR="00104A12" w:rsidRPr="004D55DA">
        <w:rPr>
          <w:i/>
        </w:rPr>
        <w:t>dinamismo do porto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=0,29) e </w:t>
      </w:r>
      <w:r w:rsidR="00104A12" w:rsidRPr="004D55DA">
        <w:rPr>
          <w:i/>
        </w:rPr>
        <w:t>localização na Europa</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=0,24)</w:t>
      </w:r>
      <w:r w:rsidR="00104A12" w:rsidRPr="004D55DA">
        <w:rPr>
          <w:i/>
        </w:rPr>
        <w:t>,</w:t>
      </w:r>
      <w:r w:rsidR="00104A12" w:rsidRPr="004D55DA">
        <w:t xml:space="preserve"> embora não se tenha confirmado a participação da</w:t>
      </w:r>
      <w:r w:rsidR="00104A12" w:rsidRPr="004D55DA">
        <w:rPr>
          <w:i/>
        </w:rPr>
        <w:t xml:space="preserve"> importância da região </w:t>
      </w:r>
      <w:r w:rsidR="00104A12" w:rsidRPr="004D55DA">
        <w:t xml:space="preserve">na explicação da variável dependente. Verificou-se sim que os </w:t>
      </w:r>
      <w:r w:rsidR="00104A12" w:rsidRPr="004D55DA">
        <w:rPr>
          <w:i/>
        </w:rPr>
        <w:t>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=0,23)</w:t>
      </w:r>
      <w:r w:rsidR="00104A12" w:rsidRPr="004D55DA">
        <w:rPr>
          <w:i/>
        </w:rPr>
        <w:t xml:space="preserve"> </w:t>
      </w:r>
      <w:r w:rsidR="00104A12" w:rsidRPr="004D55DA">
        <w:t xml:space="preserve">participam na explicação da </w:t>
      </w:r>
      <w:r w:rsidR="00104A12" w:rsidRPr="004D55DA">
        <w:rPr>
          <w:i/>
        </w:rPr>
        <w:t>atividade</w:t>
      </w:r>
      <w:r w:rsidR="00104A12" w:rsidRPr="004D55DA">
        <w:t xml:space="preserve">, ou seja, quanto mais serviços marítimos intercontinentais e de curta distância e quanto maior é a participação de armadores globais na gestão e concessão dos terminais, maior o seu movimento de contentores, </w:t>
      </w:r>
      <w:r w:rsidR="00732E07">
        <w:t>não permitindo rejeitar</w:t>
      </w:r>
      <w:r w:rsidR="00104A12" w:rsidRPr="004D55DA">
        <w:t xml:space="preserve"> a teoria.</w:t>
      </w:r>
    </w:p>
    <w:p w:rsidR="00104A12" w:rsidRPr="004D55DA" w:rsidRDefault="004E39C3" w:rsidP="007F7964">
      <w:pPr>
        <w:spacing w:line="360" w:lineRule="auto"/>
        <w:jc w:val="both"/>
      </w:pPr>
      <w:r w:rsidRPr="004D55DA">
        <w:br w:type="page"/>
      </w:r>
    </w:p>
    <w:p w:rsidR="00104A12" w:rsidRPr="00D713C2" w:rsidRDefault="00104A12" w:rsidP="007F7964">
      <w:pPr>
        <w:pStyle w:val="Legenda"/>
        <w:rPr>
          <w:sz w:val="24"/>
          <w:szCs w:val="24"/>
        </w:rPr>
      </w:pPr>
      <w:bookmarkStart w:id="143" w:name="_Toc396134181"/>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17</w:t>
      </w:r>
      <w:r w:rsidR="00372F0E" w:rsidRPr="00D713C2">
        <w:rPr>
          <w:noProof/>
          <w:sz w:val="24"/>
          <w:szCs w:val="24"/>
        </w:rPr>
        <w:fldChar w:fldCharType="end"/>
      </w:r>
      <w:r w:rsidRPr="00D713C2">
        <w:rPr>
          <w:sz w:val="24"/>
          <w:szCs w:val="24"/>
        </w:rPr>
        <w:t xml:space="preserve"> – Path </w:t>
      </w:r>
      <w:r w:rsidR="004E39C3" w:rsidRPr="00D713C2">
        <w:rPr>
          <w:sz w:val="24"/>
          <w:szCs w:val="24"/>
        </w:rPr>
        <w:t>a</w:t>
      </w:r>
      <w:r w:rsidRPr="00D713C2">
        <w:rPr>
          <w:sz w:val="24"/>
          <w:szCs w:val="24"/>
        </w:rPr>
        <w:t>nalysis do 1º inquérito</w:t>
      </w:r>
      <w:r w:rsidR="00D24F6E" w:rsidRPr="00D713C2">
        <w:rPr>
          <w:sz w:val="24"/>
          <w:szCs w:val="24"/>
        </w:rPr>
        <w:t xml:space="preserve"> (estimativas estandardizadas)</w:t>
      </w:r>
      <w:bookmarkEnd w:id="143"/>
    </w:p>
    <w:p w:rsidR="00104A12" w:rsidRPr="004D55DA" w:rsidRDefault="00BF31C8" w:rsidP="007F7964">
      <w:r w:rsidRPr="004D55DA">
        <w:rPr>
          <w:noProof/>
        </w:rPr>
        <w:drawing>
          <wp:inline distT="0" distB="0" distL="0" distR="0" wp14:anchorId="6207388F" wp14:editId="4A11C062">
            <wp:extent cx="5864040" cy="4169228"/>
            <wp:effectExtent l="0" t="0" r="3810" b="3175"/>
            <wp:docPr id="77"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rotWithShape="1">
                    <a:blip r:embed="rId46">
                      <a:extLst>
                        <a:ext uri="{28A0092B-C50C-407E-A947-70E740481C1C}">
                          <a14:useLocalDpi xmlns:a14="http://schemas.microsoft.com/office/drawing/2010/main" val="0"/>
                        </a:ext>
                      </a:extLst>
                    </a:blip>
                    <a:srcRect l="4080"/>
                    <a:stretch/>
                  </pic:blipFill>
                  <pic:spPr bwMode="auto">
                    <a:xfrm>
                      <a:off x="0" y="0"/>
                      <a:ext cx="5861953" cy="4167744"/>
                    </a:xfrm>
                    <a:prstGeom prst="rect">
                      <a:avLst/>
                    </a:prstGeom>
                    <a:noFill/>
                    <a:ln>
                      <a:noFill/>
                    </a:ln>
                    <a:extLst>
                      <a:ext uri="{53640926-AAD7-44D8-BBD7-CCE9431645EC}">
                        <a14:shadowObscured xmlns:a14="http://schemas.microsoft.com/office/drawing/2010/main"/>
                      </a:ext>
                    </a:extLst>
                  </pic:spPr>
                </pic:pic>
              </a:graphicData>
            </a:graphic>
          </wp:inline>
        </w:drawing>
      </w:r>
    </w:p>
    <w:p w:rsidR="00104A12" w:rsidRPr="004D55DA" w:rsidRDefault="00104A12" w:rsidP="007F7964"/>
    <w:p w:rsidR="00104A12" w:rsidRPr="004D55DA" w:rsidRDefault="00104A12" w:rsidP="007F7964">
      <w:pPr>
        <w:spacing w:line="360" w:lineRule="auto"/>
        <w:jc w:val="both"/>
      </w:pPr>
      <w:r w:rsidRPr="004D55DA">
        <w:br w:type="page"/>
      </w:r>
    </w:p>
    <w:p w:rsidR="00104A12" w:rsidRPr="00D713C2" w:rsidRDefault="00B17A60" w:rsidP="00D216EA">
      <w:pPr>
        <w:pStyle w:val="Cabealho3"/>
        <w:ind w:left="0" w:firstLine="0"/>
        <w:rPr>
          <w:sz w:val="24"/>
          <w:szCs w:val="24"/>
          <w:u w:val="none"/>
          <w:lang w:val="pt-PT"/>
        </w:rPr>
      </w:pPr>
      <w:bookmarkStart w:id="144" w:name="_Toc395292662"/>
      <w:bookmarkStart w:id="145" w:name="_Toc395730152"/>
      <w:r w:rsidRPr="00D713C2">
        <w:rPr>
          <w:sz w:val="24"/>
          <w:szCs w:val="24"/>
          <w:u w:val="none"/>
          <w:lang w:val="pt-PT"/>
        </w:rPr>
        <w:lastRenderedPageBreak/>
        <w:t>Modelo de Equações Estruturais</w:t>
      </w:r>
      <w:bookmarkEnd w:id="144"/>
      <w:bookmarkEnd w:id="145"/>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Tendo por base o modelo de investigação inicial definido no capítulo 3.1, o conhecimento das variáveis latentes determinadas na análise exploratória </w:t>
      </w:r>
      <w:r w:rsidR="00136906" w:rsidRPr="004D55DA">
        <w:t>fatorial</w:t>
      </w:r>
      <w:r w:rsidRPr="004D55DA">
        <w:t xml:space="preserve"> anterior e os resultados relativos à significância dos </w:t>
      </w:r>
      <w:r w:rsidR="00136906" w:rsidRPr="004D55DA">
        <w:t>fatores</w:t>
      </w:r>
      <w:r w:rsidRPr="004D55DA">
        <w:t xml:space="preserve"> explicativos do desempenho dos terminais de contentores com recurso às regressões e “path analysis”, foi possível aplicar a metodologia dos modelos de equações estruturais tendo em vista permitir a análise do modelo de investigação e as respetivas hipóteses numa perspetiva holística das relações. Foram utilizadas as variáveis base recolhidas para determinar as latentes no próprio modelo de medida SEM e não as latentes resultantes da </w:t>
      </w:r>
      <w:r w:rsidR="00D36A58">
        <w:t>análise de componentes principais</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modelo resultante não corresponde exatamente ao modelo de investigação inicial, tendo sido eliminadas diversas variáveis não significativas para a determinação das variáveis latentes no modelo de medida. As latentes encontradas vão ao encontro dos resultados da </w:t>
      </w:r>
      <w:r w:rsidR="00D36A58">
        <w:t>análise de componentes principais</w:t>
      </w:r>
      <w:r w:rsidRPr="004D55DA">
        <w:t xml:space="preserve">, mas não correspondem exatamente ao modelo de investigação inicial, sendo sim uma aproximação a essas variáveis, mas com alguns ajustamentos. Ainda assim, os resultados </w:t>
      </w:r>
      <w:r w:rsidR="008C6D33">
        <w:t>não permitem rejeitar</w:t>
      </w:r>
      <w:r w:rsidRPr="004D55DA">
        <w:t xml:space="preserve"> a estrutura base teórica do modelo, com ajustamentos. Considera-se que o modelo resultante poderá ser o mais adequado, uma vez que tem por base a opinião dos especialistas.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Começando com o modelo de medida</w:t>
      </w:r>
      <w:r w:rsidR="00B17A60">
        <w:t xml:space="preserve"> para as variáveis latentes de primeiro nível da Figura 18</w:t>
      </w:r>
      <w:r w:rsidRPr="004D55DA">
        <w:t xml:space="preserve">, obtiveram coeficientes significativos das relações das latentes com as variáveis indicadoras ou observadas (&gt;0,5), verificando-se a validade de convergência do modelo (Anderson et al., 1987; Garver &amp; Mantzer, 1999), garantindo a adequação do modelo aos dados de </w:t>
      </w:r>
      <w:r w:rsidR="00136906">
        <w:t>“</w:t>
      </w:r>
      <w:r w:rsidRPr="004D55DA">
        <w:t>input</w:t>
      </w:r>
      <w:r w:rsidR="00136906">
        <w:t>”</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Verifica-se também a existência de validade do conteúdo (“face validity”) das variáveis latentes, uma vez que cada variável latente determinada possui de facto consistência com os conceitos e definições existentes na literatura e com o modelo teórico. O modelo de medida tem como finalidade constituir variáveis latentes distintas e robustas. Os coeficientes R</w:t>
      </w:r>
      <w:r w:rsidRPr="004D55DA">
        <w:rPr>
          <w:vertAlign w:val="superscript"/>
        </w:rPr>
        <w:t>2</w:t>
      </w:r>
      <w:r w:rsidRPr="004D55DA">
        <w:t xml:space="preserve"> das variáveis latentes do modelo são elevados, o que indica igualmente a robustez do modelo.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Na Tabela 17 verifica-se que a correlação entre as variáveis latentes é inferior a 0,85 e é inferior aos valores da raiz quadrada de variância média explicada (VME ou AVE) das latentes, que está na diagonal da Tabela, indicando que são variáveis latentes distintas entre si. Ou seja, não se confundem, nem estão fortemente correlacionadas.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valores de AVE das variáveis latentes de primeiro nível, indicador de consistência interna das latentes, de potência superior ao Alpha de Cronbach, são sempre superiores a 0,5. Estes resultados indiciam a robustez do modelo de equações estruturais, das variáveis latentes, ou seja a validade discriminante do modelo (Fornell &amp; Larcker, 1981; Kline, 2005).</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rPr>
          <w:color w:val="000000"/>
          <w:sz w:val="24"/>
          <w:szCs w:val="24"/>
        </w:rPr>
      </w:pPr>
      <w:bookmarkStart w:id="146" w:name="_Toc396134140"/>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17</w:t>
      </w:r>
      <w:r w:rsidR="00372F0E" w:rsidRPr="00D713C2">
        <w:rPr>
          <w:noProof/>
          <w:sz w:val="24"/>
          <w:szCs w:val="24"/>
        </w:rPr>
        <w:fldChar w:fldCharType="end"/>
      </w:r>
      <w:r w:rsidRPr="00D713C2">
        <w:rPr>
          <w:sz w:val="24"/>
          <w:szCs w:val="24"/>
        </w:rPr>
        <w:t xml:space="preserve"> – </w:t>
      </w:r>
      <w:r w:rsidRPr="00D713C2">
        <w:rPr>
          <w:color w:val="000000"/>
          <w:sz w:val="24"/>
          <w:szCs w:val="24"/>
        </w:rPr>
        <w:t>Consistência das latentes, modelo de medida, 1º inquérito</w:t>
      </w:r>
      <w:bookmarkEnd w:id="146"/>
    </w:p>
    <w:p w:rsidR="00104A12" w:rsidRPr="004D55DA" w:rsidRDefault="00104A12" w:rsidP="007F7964"/>
    <w:tbl>
      <w:tblPr>
        <w:tblW w:w="5145" w:type="pct"/>
        <w:tblCellMar>
          <w:left w:w="70" w:type="dxa"/>
          <w:right w:w="70" w:type="dxa"/>
        </w:tblCellMar>
        <w:tblLook w:val="00A0" w:firstRow="1" w:lastRow="0" w:firstColumn="1" w:lastColumn="0" w:noHBand="0" w:noVBand="0"/>
      </w:tblPr>
      <w:tblGrid>
        <w:gridCol w:w="2194"/>
        <w:gridCol w:w="574"/>
        <w:gridCol w:w="546"/>
        <w:gridCol w:w="720"/>
        <w:gridCol w:w="546"/>
        <w:gridCol w:w="546"/>
        <w:gridCol w:w="546"/>
        <w:gridCol w:w="546"/>
        <w:gridCol w:w="546"/>
        <w:gridCol w:w="546"/>
        <w:gridCol w:w="546"/>
        <w:gridCol w:w="546"/>
        <w:gridCol w:w="546"/>
        <w:gridCol w:w="531"/>
      </w:tblGrid>
      <w:tr w:rsidR="00104A12" w:rsidRPr="004D55DA" w:rsidTr="00E11326">
        <w:trPr>
          <w:trHeight w:val="408"/>
        </w:trPr>
        <w:tc>
          <w:tcPr>
            <w:tcW w:w="115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Latent correlation</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Var</w:t>
            </w:r>
            <w:r w:rsidR="000B49EE">
              <w:rPr>
                <w:rFonts w:ascii="Arial" w:hAnsi="Arial" w:cs="Arial"/>
                <w:color w:val="000000"/>
                <w:sz w:val="12"/>
                <w:szCs w:val="16"/>
              </w:rPr>
              <w:t>iável</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AVE</w:t>
            </w:r>
          </w:p>
        </w:tc>
        <w:tc>
          <w:tcPr>
            <w:tcW w:w="381" w:type="pct"/>
            <w:tcBorders>
              <w:top w:val="single" w:sz="4" w:space="0" w:color="auto"/>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 (2ºnivel)</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2</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3</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4</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5</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6</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7</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8</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9</w:t>
            </w:r>
          </w:p>
        </w:tc>
        <w:tc>
          <w:tcPr>
            <w:tcW w:w="28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10</w:t>
            </w:r>
          </w:p>
        </w:tc>
        <w:tc>
          <w:tcPr>
            <w:tcW w:w="286"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11</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Características do terminal (2º nível)</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0,56</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0,75</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Atividade (dependente)</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2</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0,58</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0,55</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0,76</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Integração logística e organização do terminal</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3</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0,61</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0,78</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Acessibilidade terrestre</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4</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0,66</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0,64</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0,35</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0,38</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0,81</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Acesso marítimo</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5</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0,82</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0,67</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0,37</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0,42</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0,91</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Localização na Europa</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6</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0,76</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0,66</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0,36</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0,39</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0,42</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0,44</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0,87</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Dinamismo do porto</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7</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0,56</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0,75</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0,44</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0,48</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0,52</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0,75</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Serviços marítimos do terminal</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8</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0,84</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0,36</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0,38</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0,39</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0,47</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0,92</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Importância da Região</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9</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0,69</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0,68</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0,37</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0,41</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0,45</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0,44</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0,83</w:t>
            </w:r>
          </w:p>
        </w:tc>
        <w:tc>
          <w:tcPr>
            <w:tcW w:w="28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nil"/>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Satisfação do cliente (dependente)</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10</w:t>
            </w:r>
          </w:p>
        </w:tc>
        <w:tc>
          <w:tcPr>
            <w:tcW w:w="289" w:type="pct"/>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0,70</w:t>
            </w:r>
          </w:p>
        </w:tc>
        <w:tc>
          <w:tcPr>
            <w:tcW w:w="381" w:type="pct"/>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0,59</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0,33</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0,36</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0,38</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0,39</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0,47</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0,35</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0,40</w:t>
            </w:r>
          </w:p>
        </w:tc>
        <w:tc>
          <w:tcPr>
            <w:tcW w:w="289" w:type="pct"/>
            <w:tcBorders>
              <w:top w:val="nil"/>
              <w:left w:val="nil"/>
              <w:bottom w:val="nil"/>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0,84</w:t>
            </w:r>
          </w:p>
        </w:tc>
        <w:tc>
          <w:tcPr>
            <w:tcW w:w="286"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 </w:t>
            </w:r>
          </w:p>
        </w:tc>
      </w:tr>
      <w:tr w:rsidR="00104A12" w:rsidRPr="004D55DA" w:rsidTr="00E11326">
        <w:trPr>
          <w:trHeight w:val="240"/>
        </w:trPr>
        <w:tc>
          <w:tcPr>
            <w:tcW w:w="1159" w:type="pct"/>
            <w:tcBorders>
              <w:top w:val="nil"/>
              <w:left w:val="nil"/>
              <w:bottom w:val="single" w:sz="4" w:space="0" w:color="auto"/>
              <w:right w:val="nil"/>
            </w:tcBorders>
            <w:shd w:val="clear" w:color="000000" w:fill="FFFFFF"/>
            <w:vAlign w:val="bottom"/>
          </w:tcPr>
          <w:p w:rsidR="00104A12" w:rsidRPr="004D55DA" w:rsidRDefault="00104A12" w:rsidP="007F7964">
            <w:pPr>
              <w:rPr>
                <w:rFonts w:ascii="Arial" w:hAnsi="Arial" w:cs="Arial"/>
                <w:color w:val="000000"/>
                <w:sz w:val="12"/>
                <w:szCs w:val="16"/>
              </w:rPr>
            </w:pPr>
            <w:r w:rsidRPr="004D55DA">
              <w:rPr>
                <w:rFonts w:ascii="Arial" w:hAnsi="Arial" w:cs="Arial"/>
                <w:color w:val="000000"/>
                <w:sz w:val="12"/>
                <w:szCs w:val="16"/>
              </w:rPr>
              <w:t>Produtividade (dependente)</w:t>
            </w:r>
          </w:p>
        </w:tc>
        <w:tc>
          <w:tcPr>
            <w:tcW w:w="289" w:type="pct"/>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11</w:t>
            </w:r>
          </w:p>
        </w:tc>
        <w:tc>
          <w:tcPr>
            <w:tcW w:w="289" w:type="pct"/>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2"/>
                <w:szCs w:val="16"/>
              </w:rPr>
            </w:pPr>
            <w:r w:rsidRPr="004D55DA">
              <w:rPr>
                <w:rFonts w:ascii="Arial" w:hAnsi="Arial" w:cs="Arial"/>
                <w:color w:val="000000"/>
                <w:sz w:val="12"/>
                <w:szCs w:val="16"/>
              </w:rPr>
              <w:t>0,72</w:t>
            </w:r>
          </w:p>
        </w:tc>
        <w:tc>
          <w:tcPr>
            <w:tcW w:w="381" w:type="pct"/>
            <w:tcBorders>
              <w:top w:val="nil"/>
              <w:left w:val="single" w:sz="4" w:space="0" w:color="auto"/>
              <w:bottom w:val="single" w:sz="4" w:space="0" w:color="auto"/>
              <w:right w:val="single" w:sz="4" w:space="0" w:color="auto"/>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0,47</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0,26</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0,29</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0,30</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0,32</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0,31</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0,37</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0,28</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0,32</w:t>
            </w:r>
          </w:p>
        </w:tc>
        <w:tc>
          <w:tcPr>
            <w:tcW w:w="289"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0,28</w:t>
            </w:r>
          </w:p>
        </w:tc>
        <w:tc>
          <w:tcPr>
            <w:tcW w:w="286" w:type="pct"/>
            <w:tcBorders>
              <w:top w:val="nil"/>
              <w:left w:val="nil"/>
              <w:bottom w:val="single" w:sz="4" w:space="0" w:color="auto"/>
              <w:right w:val="nil"/>
            </w:tcBorders>
            <w:shd w:val="clear" w:color="000000" w:fill="FFFFFF"/>
            <w:vAlign w:val="bottom"/>
          </w:tcPr>
          <w:p w:rsidR="00104A12" w:rsidRPr="004D55DA" w:rsidRDefault="00104A12" w:rsidP="007F7964">
            <w:pPr>
              <w:ind w:firstLineChars="100" w:firstLine="120"/>
              <w:jc w:val="right"/>
              <w:rPr>
                <w:rFonts w:ascii="Arial" w:hAnsi="Arial" w:cs="Arial"/>
                <w:color w:val="000000"/>
                <w:sz w:val="12"/>
                <w:szCs w:val="16"/>
              </w:rPr>
            </w:pPr>
            <w:r w:rsidRPr="004D55DA">
              <w:rPr>
                <w:rFonts w:ascii="Arial" w:hAnsi="Arial" w:cs="Arial"/>
                <w:color w:val="000000"/>
                <w:sz w:val="12"/>
                <w:szCs w:val="16"/>
              </w:rPr>
              <w:t>0,85</w:t>
            </w:r>
          </w:p>
        </w:tc>
      </w:tr>
      <w:tr w:rsidR="00104A12" w:rsidRPr="004D55DA" w:rsidTr="00E11326">
        <w:trPr>
          <w:trHeight w:val="240"/>
        </w:trPr>
        <w:tc>
          <w:tcPr>
            <w:tcW w:w="115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4"/>
                <w:szCs w:val="16"/>
              </w:rPr>
            </w:pPr>
            <w:r w:rsidRPr="004D55DA">
              <w:rPr>
                <w:rFonts w:ascii="Arial" w:hAnsi="Arial" w:cs="Arial"/>
                <w:color w:val="000000"/>
                <w:sz w:val="14"/>
                <w:szCs w:val="16"/>
              </w:rPr>
              <w:t>Nota: Raiz(AVE) na diagonal</w:t>
            </w: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4"/>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381"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c>
          <w:tcPr>
            <w:tcW w:w="286"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rPr>
            </w:pP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apontam ainda para a validade da unidimensionalidade do modelo de equações estruturais (Hair et al., 1998; Tabachnick &amp; Fidell, 2001), com os seguintes indicadores de adequação do ajustamento ou</w:t>
      </w:r>
      <w:r w:rsidR="00136906">
        <w:t xml:space="preserve"> “Goodness-of-fit” </w:t>
      </w:r>
      <w:r w:rsidRPr="004D55DA">
        <w:t xml:space="preserve">(GoF) do modelo de medida do primeiro inquérito, </w:t>
      </w:r>
      <w:r w:rsidRPr="004D55DA">
        <w:rPr>
          <w:lang w:val="en-GB"/>
        </w:rPr>
        <w:t>χ</w:t>
      </w:r>
      <w:r w:rsidRPr="004D55DA">
        <w:rPr>
          <w:vertAlign w:val="superscript"/>
        </w:rPr>
        <w:t>2</w:t>
      </w:r>
      <w:r w:rsidRPr="004D55DA">
        <w:t xml:space="preserve"> 545,673; </w:t>
      </w:r>
      <w:r w:rsidRPr="004D55DA">
        <w:rPr>
          <w:lang w:val="en-GB"/>
        </w:rPr>
        <w:t>χ</w:t>
      </w:r>
      <w:r w:rsidRPr="004D55DA">
        <w:rPr>
          <w:vertAlign w:val="superscript"/>
        </w:rPr>
        <w:t>2</w:t>
      </w:r>
      <w:r w:rsidRPr="004D55DA">
        <w:t>/df 1,444; IFI: 0,909 (&gt;0,9); CFI: 0,904 (&gt;0,9); RMSEA: 0,061 (&lt;0,1), indicando um bom ajustamento do modelo de medida das variáveis latentes.</w:t>
      </w:r>
    </w:p>
    <w:p w:rsidR="00104A12" w:rsidRPr="004D55DA" w:rsidRDefault="00104A12" w:rsidP="007F7964">
      <w:pPr>
        <w:spacing w:line="360" w:lineRule="auto"/>
        <w:jc w:val="both"/>
      </w:pPr>
    </w:p>
    <w:p w:rsidR="00104A12" w:rsidRPr="004D55DA" w:rsidRDefault="000B49EE" w:rsidP="007F7964">
      <w:pPr>
        <w:spacing w:line="360" w:lineRule="auto"/>
        <w:jc w:val="both"/>
      </w:pPr>
      <w:r>
        <w:t>Os resultados não permitem rejeitar hipótese d</w:t>
      </w:r>
      <w:r w:rsidR="00104A12" w:rsidRPr="004D55DA">
        <w:t xml:space="preserve">a existência de três variáveis latentes dependentes do desempenho do terminal de contentores: </w:t>
      </w:r>
      <w:r w:rsidR="00104A12" w:rsidRPr="004D55DA">
        <w:rPr>
          <w:i/>
        </w:rPr>
        <w:t>atividade</w:t>
      </w:r>
      <w:r w:rsidR="00104A12" w:rsidRPr="004D55DA">
        <w:t xml:space="preserve">, </w:t>
      </w:r>
      <w:r w:rsidR="00104A12" w:rsidRPr="004D55DA">
        <w:rPr>
          <w:i/>
        </w:rPr>
        <w:t>eficiência</w:t>
      </w:r>
      <w:r w:rsidR="00104A12" w:rsidRPr="004D55DA">
        <w:t xml:space="preserve"> e </w:t>
      </w:r>
      <w:r w:rsidR="00104A12" w:rsidRPr="004D55DA">
        <w:rPr>
          <w:i/>
        </w:rPr>
        <w:t>satisfação do cliente</w:t>
      </w:r>
      <w:r w:rsidR="00104A12" w:rsidRPr="004D55DA">
        <w:t xml:space="preserve">, </w:t>
      </w:r>
      <w:r>
        <w:t>nem</w:t>
      </w:r>
      <w:r w:rsidR="00104A12" w:rsidRPr="004D55DA">
        <w:t xml:space="preserve"> a existência de sete variáveis latentes exógenas ou </w:t>
      </w:r>
      <w:r w:rsidR="00136906" w:rsidRPr="004D55DA">
        <w:t>fatores</w:t>
      </w:r>
      <w:r w:rsidR="00104A12" w:rsidRPr="004D55DA">
        <w:t xml:space="preserve"> independentes/explicativos do desempenho: </w:t>
      </w:r>
      <w:r w:rsidR="00104A12" w:rsidRPr="004D55DA">
        <w:rPr>
          <w:i/>
        </w:rPr>
        <w:t xml:space="preserve">integração logística e organização do terminal </w:t>
      </w:r>
      <w:r w:rsidR="00104A12" w:rsidRPr="004D55DA">
        <w:t xml:space="preserve">(que junta os constructos teóricos “softlogis-terminal” e “softorg-terminal”), </w:t>
      </w:r>
      <w:r w:rsidR="00104A12" w:rsidRPr="004D55DA">
        <w:rPr>
          <w:i/>
        </w:rPr>
        <w:t xml:space="preserve">dinamismo do porto </w:t>
      </w:r>
      <w:r w:rsidR="00104A12" w:rsidRPr="004D55DA">
        <w:t xml:space="preserve">(que resume o constructo teórico” soft-port”), </w:t>
      </w:r>
      <w:r w:rsidR="00104A12" w:rsidRPr="004D55DA">
        <w:rPr>
          <w:i/>
        </w:rPr>
        <w:t xml:space="preserve">serviços marítimos do terminal </w:t>
      </w:r>
      <w:r w:rsidR="00104A12" w:rsidRPr="004D55DA">
        <w:t xml:space="preserve">(que </w:t>
      </w:r>
      <w:r w:rsidR="00104A12" w:rsidRPr="004D55DA">
        <w:lastRenderedPageBreak/>
        <w:t xml:space="preserve">corresponde ao constructo teórico softsea-terminal), </w:t>
      </w:r>
      <w:r w:rsidR="00104A12" w:rsidRPr="004D55DA">
        <w:rPr>
          <w:i/>
        </w:rPr>
        <w:t>importância da região (que representa a parte local do constructo teórico “position-port”)</w:t>
      </w:r>
      <w:r w:rsidR="00104A12" w:rsidRPr="004D55DA">
        <w:t xml:space="preserve">, </w:t>
      </w:r>
      <w:r w:rsidR="00104A12" w:rsidRPr="004D55DA">
        <w:rPr>
          <w:i/>
        </w:rPr>
        <w:t xml:space="preserve">acessibilidades terrestres </w:t>
      </w:r>
      <w:r w:rsidR="00104A12" w:rsidRPr="004D55DA">
        <w:t xml:space="preserve">(que representa o constructo teórico “hard-port”), </w:t>
      </w:r>
      <w:r w:rsidR="00104A12" w:rsidRPr="004D55DA">
        <w:rPr>
          <w:i/>
        </w:rPr>
        <w:t xml:space="preserve">localização na Europa </w:t>
      </w:r>
      <w:r w:rsidR="00104A12" w:rsidRPr="004D55DA">
        <w:t xml:space="preserve">(que representa a parte continental do constructo teórico “position-port”) e </w:t>
      </w:r>
      <w:r w:rsidR="00104A12" w:rsidRPr="004D55DA">
        <w:rPr>
          <w:i/>
        </w:rPr>
        <w:t xml:space="preserve">acesso marítimo </w:t>
      </w:r>
      <w:r w:rsidR="00104A12" w:rsidRPr="004D55DA">
        <w:t xml:space="preserve">(que resume o constructo teórico “hard-terminal”).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Este resultado </w:t>
      </w:r>
      <w:r w:rsidR="000B49EE">
        <w:t xml:space="preserve">não </w:t>
      </w:r>
      <w:r w:rsidRPr="004D55DA">
        <w:t xml:space="preserve">permite </w:t>
      </w:r>
      <w:r w:rsidR="000B49EE">
        <w:t>rejeitar</w:t>
      </w:r>
      <w:r w:rsidRPr="004D55DA">
        <w:t xml:space="preserve"> o modelo teórico de investigação inicial, embora com ligeiros ajustamentos que fazem sentido em termos económicos, tendo em consideração que se trata, nesta fase da </w:t>
      </w:r>
      <w:r w:rsidR="00136906" w:rsidRPr="004D55DA">
        <w:t>perceção</w:t>
      </w:r>
      <w:r w:rsidRPr="004D55DA">
        <w:t xml:space="preserve"> geral dos utilizadores de terminais da Península Ibérica, em especial no que respeita à diferenciação entre localização local e continental.</w:t>
      </w:r>
    </w:p>
    <w:p w:rsidR="00104A12" w:rsidRPr="004D55DA" w:rsidRDefault="00104A12" w:rsidP="007F7964">
      <w:pPr>
        <w:spacing w:line="360" w:lineRule="auto"/>
        <w:jc w:val="both"/>
        <w:rPr>
          <w:noProof/>
        </w:rPr>
      </w:pPr>
    </w:p>
    <w:p w:rsidR="00104A12" w:rsidRPr="004D55DA" w:rsidRDefault="00104A12" w:rsidP="007F7964">
      <w:pPr>
        <w:spacing w:line="360" w:lineRule="auto"/>
        <w:jc w:val="both"/>
      </w:pPr>
      <w:r w:rsidRPr="004D55DA">
        <w:t>A partir do modelo de medida de equações estruturais, passou-se ao modelo estrutural com relações causais entre as variáveis latentes</w:t>
      </w:r>
      <w:r w:rsidR="000B49EE">
        <w:t xml:space="preserve"> obtidas da análise exploratória, tendo em vista o quadro de referência geral do modelo e das hipóteses a testar</w:t>
      </w:r>
      <w:r w:rsidRPr="004D55DA">
        <w:t xml:space="preserve">, com uma latente de segundo nível relativa às </w:t>
      </w:r>
      <w:r w:rsidRPr="004D55DA">
        <w:rPr>
          <w:i/>
        </w:rPr>
        <w:t>características do terminal</w:t>
      </w:r>
      <w:r w:rsidRPr="004D55DA">
        <w:t>, explicativa das variáveis dependentes do modelo, com o qual se obtiveram coeficientes explicativos das latentes dependentes com significado (Figura 18).</w:t>
      </w:r>
    </w:p>
    <w:p w:rsidR="00104A12" w:rsidRPr="004D55DA" w:rsidRDefault="00104A12" w:rsidP="007F7964">
      <w:pPr>
        <w:spacing w:line="360" w:lineRule="auto"/>
        <w:jc w:val="both"/>
      </w:pPr>
      <w:r w:rsidRPr="004D55DA">
        <w:t>Os resultados do modelo estrutural apontam também para o cumprimento dos critérios de unidimensionalidade (Hair et al., 1998; Tabachnick &amp; Fidell, 2001), com os seguintes indicadores de ajustamento</w:t>
      </w:r>
      <w:r w:rsidR="00136906">
        <w:t xml:space="preserve"> “Goodness-of-fit” </w:t>
      </w:r>
      <w:r w:rsidRPr="004D55DA">
        <w:t xml:space="preserve">(GoF) sofrível, </w:t>
      </w:r>
      <w:r w:rsidRPr="004D55DA">
        <w:rPr>
          <w:lang w:val="en-GB"/>
        </w:rPr>
        <w:t>χ</w:t>
      </w:r>
      <w:r w:rsidRPr="004D55DA">
        <w:rPr>
          <w:vertAlign w:val="superscript"/>
        </w:rPr>
        <w:t>2</w:t>
      </w:r>
      <w:r w:rsidRPr="004D55DA">
        <w:t xml:space="preserve"> 608,597; </w:t>
      </w:r>
      <w:r w:rsidRPr="004D55DA">
        <w:rPr>
          <w:lang w:val="en-GB"/>
        </w:rPr>
        <w:t>χ</w:t>
      </w:r>
      <w:r w:rsidRPr="004D55DA">
        <w:rPr>
          <w:vertAlign w:val="superscript"/>
        </w:rPr>
        <w:t>2</w:t>
      </w:r>
      <w:r w:rsidRPr="004D55DA">
        <w:t>/df 1,477; IFI: 0,881 (&gt;0,9); CFI: 0,888 (&gt;0,9); RMSEA: 0,052 (&lt;0,1), indicando um bom ajustamento do modelo de medida das variáveis latentes.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Refira-se como nota, que o </w:t>
      </w:r>
      <w:r w:rsidRPr="004D55DA">
        <w:rPr>
          <w:lang w:val="en-GB"/>
        </w:rPr>
        <w:t>χ</w:t>
      </w:r>
      <w:r w:rsidRPr="004D55DA">
        <w:rPr>
          <w:vertAlign w:val="superscript"/>
        </w:rPr>
        <w:t xml:space="preserve">2 </w:t>
      </w:r>
      <w:r w:rsidRPr="004D55DA">
        <w:t xml:space="preserve">é um teste de ajustamento à significância da função discrepância minimizada durante o ajustamento do modelo (Maroco, 2010), permitindo comparar modelos e quanto menor melhor o ajustamento. O índice </w:t>
      </w:r>
      <w:r w:rsidRPr="004D55DA">
        <w:rPr>
          <w:lang w:val="en-GB"/>
        </w:rPr>
        <w:t>χ</w:t>
      </w:r>
      <w:r w:rsidRPr="004D55DA">
        <w:rPr>
          <w:vertAlign w:val="superscript"/>
        </w:rPr>
        <w:t>2</w:t>
      </w:r>
      <w:r w:rsidRPr="004D55DA">
        <w:t xml:space="preserve">/df refere-se ao rácio entre o resultado do teste </w:t>
      </w:r>
      <w:r w:rsidRPr="004D55DA">
        <w:rPr>
          <w:lang w:val="en-GB"/>
        </w:rPr>
        <w:t>χ</w:t>
      </w:r>
      <w:r w:rsidRPr="004D55DA">
        <w:rPr>
          <w:vertAlign w:val="superscript"/>
        </w:rPr>
        <w:t xml:space="preserve">2 </w:t>
      </w:r>
      <w:r w:rsidRPr="004D55DA">
        <w:t xml:space="preserve">e o valor esperado dos graus de liberdade do modelo, e avalia a qualidade do ajustamento do modelo per si, sendo o ajustamento mau se o valor for superior a 5 e bom se for inferior a 2. Os índices relativos IFI (Incremental Fit Index) e CFI (Comparative Fit Index) avaliam a qualidade do modelo face ao modelo com pior ajustamento possível e ao modelo com melhor ajustamento possível, considerando-se um bom ajustamento valores acima de 0,9 em qualquer um destes índices. O RMSEA (Root Mean Square Error of Aproximation) é um índice de discrepância populacional que compara o ajustamento do modelo obtido com os momentos amostrais (médias e variâncias amostrais) relativamente ao ajustamento que se </w:t>
      </w:r>
      <w:r w:rsidRPr="004D55DA">
        <w:lastRenderedPageBreak/>
        <w:t>obteria com os momentos populacionais. O ajustamento é considerado bom se o valor do índice RMSEA for inferior a 0,1 (Maroco, 2010). Maroco (2010) e Hair et al. (1998) recomendam verificar e reportar vários destes índices (3 a 5 índices), obtendo valores adequados em todos, por forma a avaliar o ajustamento de várias perspetivas.</w:t>
      </w:r>
    </w:p>
    <w:p w:rsidR="00104A12" w:rsidRPr="004D55DA" w:rsidRDefault="00104A12" w:rsidP="007F7964">
      <w:pPr>
        <w:spacing w:line="360" w:lineRule="auto"/>
        <w:jc w:val="both"/>
      </w:pPr>
    </w:p>
    <w:p w:rsidR="00104A12" w:rsidRDefault="00104A12" w:rsidP="007F7964">
      <w:pPr>
        <w:spacing w:line="360" w:lineRule="auto"/>
        <w:jc w:val="both"/>
      </w:pPr>
      <w:r w:rsidRPr="004D55DA">
        <w:t xml:space="preserve">O sentido das relações entre a variável latente de segundo nível </w:t>
      </w:r>
      <w:r w:rsidRPr="004D55DA">
        <w:rPr>
          <w:i/>
        </w:rPr>
        <w:t>Características do Terminal</w:t>
      </w:r>
      <w:r w:rsidRPr="004D55DA">
        <w:t xml:space="preserve"> e as latentes exógenas de primeiro nível do modelo reflexivo corresponde a afirmar que as segundas são apenas o reflexo na realidade de uma variável superior que é a primeira, sendo que os coeficientes elevados nas relações (&gt;0,5) não contribuem para a rejeição desta hipótese.</w:t>
      </w:r>
    </w:p>
    <w:p w:rsidR="000B49EE" w:rsidRPr="004D55DA" w:rsidRDefault="000B49EE" w:rsidP="007F7964">
      <w:pPr>
        <w:spacing w:line="360" w:lineRule="auto"/>
        <w:jc w:val="both"/>
      </w:pPr>
    </w:p>
    <w:p w:rsidR="00104A12" w:rsidRPr="004D55DA" w:rsidRDefault="000B49EE" w:rsidP="007F7964">
      <w:pPr>
        <w:spacing w:line="360" w:lineRule="auto"/>
        <w:jc w:val="both"/>
      </w:pPr>
      <w:r>
        <w:t>Apesar de o modelo holístico</w:t>
      </w:r>
      <w:r w:rsidR="001D78F5">
        <w:t xml:space="preserve"> com todas as variáveis observadas de cada latente incluídas ter uma elevado valor para a análise, u</w:t>
      </w:r>
      <w:r w:rsidR="00104A12" w:rsidRPr="004D55DA">
        <w:t>ma das limitações deste modelo é a reduzida dimensão da amostra, constituída por 122 elementos, face ao elevado número de variáveis, quando nos modelos SEM é considerado adequado um número de observações que seja cerca de 10 vezes o número de variáveis observadas, ou seja, apenas poderíamos ter 12/13 variáveis observadas, quando temos 31 variáveis.</w:t>
      </w:r>
      <w:r>
        <w:t xml:space="preserve"> </w:t>
      </w:r>
      <w:r w:rsidR="00104A12" w:rsidRPr="004D55DA">
        <w:t xml:space="preserve">Com vista a </w:t>
      </w:r>
      <w:r>
        <w:t>analisar</w:t>
      </w:r>
      <w:r w:rsidR="00104A12" w:rsidRPr="004D55DA">
        <w:t xml:space="preserve"> os resultados respeitando este critério, foi simplificado o modelo, ficando apenas com as melhores 18 variáveis observadas, ou seja, aquelas que possuem maiores valores de relação β com cada variável latente, sendo o número mínimo que permitia manter as latentes explicativas inalteradas</w:t>
      </w:r>
      <w:r w:rsidR="001D78F5">
        <w:t>. No caso das variáveis dependentes, deixou-se apenas as três variáveis observadas mais representativas, eliminando-se as latentes dependentes</w:t>
      </w:r>
      <w:r w:rsidR="00104A12" w:rsidRPr="004D55DA">
        <w:t xml:space="preserve">. Os resultados da Figura 19 </w:t>
      </w:r>
      <w:r w:rsidR="001D78F5">
        <w:t>são semelhantes aos resultados</w:t>
      </w:r>
      <w:r w:rsidR="00104A12" w:rsidRPr="004D55DA">
        <w:t xml:space="preserve"> do primeiro modelo, com os seguintes indicadores de bom ajustamento</w:t>
      </w:r>
      <w:r w:rsidR="00136906">
        <w:t xml:space="preserve"> “Goodness-of-fit” </w:t>
      </w:r>
      <w:r w:rsidR="00104A12" w:rsidRPr="004D55DA">
        <w:t xml:space="preserve">(GoF), </w:t>
      </w:r>
      <w:r w:rsidR="00104A12" w:rsidRPr="004D55DA">
        <w:rPr>
          <w:lang w:val="en-GB"/>
        </w:rPr>
        <w:t>χ</w:t>
      </w:r>
      <w:r w:rsidR="00104A12" w:rsidRPr="004D55DA">
        <w:rPr>
          <w:vertAlign w:val="superscript"/>
        </w:rPr>
        <w:t>2</w:t>
      </w:r>
      <w:r w:rsidR="00104A12" w:rsidRPr="004D55DA">
        <w:t xml:space="preserve"> 177,944; </w:t>
      </w:r>
      <w:r w:rsidR="00104A12" w:rsidRPr="004D55DA">
        <w:rPr>
          <w:lang w:val="en-GB"/>
        </w:rPr>
        <w:t>χ</w:t>
      </w:r>
      <w:r w:rsidR="00104A12" w:rsidRPr="004D55DA">
        <w:rPr>
          <w:vertAlign w:val="superscript"/>
        </w:rPr>
        <w:t>2</w:t>
      </w:r>
      <w:r w:rsidR="00104A12" w:rsidRPr="004D55DA">
        <w:t>/df 1,412; IFI: 0,939 (&gt;0,9); CFI: 0,937 (&gt;0,9); RMSEA: 0,058 (&lt;0,1).</w:t>
      </w:r>
    </w:p>
    <w:p w:rsidR="00104A12" w:rsidRPr="004D55DA" w:rsidRDefault="00104A12" w:rsidP="007F7964">
      <w:pPr>
        <w:spacing w:line="360" w:lineRule="auto"/>
        <w:jc w:val="both"/>
      </w:pPr>
      <w:r w:rsidRPr="004D55DA">
        <w:t xml:space="preserve"> </w:t>
      </w:r>
    </w:p>
    <w:p w:rsidR="00104A12" w:rsidRPr="004D55DA" w:rsidRDefault="00104A12" w:rsidP="007F7964">
      <w:pPr>
        <w:spacing w:line="360" w:lineRule="auto"/>
        <w:jc w:val="both"/>
        <w:sectPr w:rsidR="00104A12" w:rsidRPr="004D55DA" w:rsidSect="007F7964">
          <w:pgSz w:w="11906" w:h="16838"/>
          <w:pgMar w:top="1417" w:right="1133" w:bottom="1417" w:left="1701" w:header="708" w:footer="708" w:gutter="0"/>
          <w:cols w:space="708"/>
          <w:titlePg/>
          <w:docGrid w:linePitch="360"/>
        </w:sectPr>
      </w:pPr>
    </w:p>
    <w:p w:rsidR="00104A12" w:rsidRPr="00D713C2" w:rsidRDefault="00104A12" w:rsidP="007F7964">
      <w:pPr>
        <w:pStyle w:val="Legenda"/>
        <w:rPr>
          <w:sz w:val="24"/>
          <w:szCs w:val="24"/>
        </w:rPr>
      </w:pPr>
      <w:bookmarkStart w:id="147" w:name="_Toc396134182"/>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18</w:t>
      </w:r>
      <w:r w:rsidR="00372F0E" w:rsidRPr="00D713C2">
        <w:rPr>
          <w:noProof/>
          <w:sz w:val="24"/>
          <w:szCs w:val="24"/>
        </w:rPr>
        <w:fldChar w:fldCharType="end"/>
      </w:r>
      <w:r w:rsidRPr="00D713C2">
        <w:rPr>
          <w:sz w:val="24"/>
          <w:szCs w:val="24"/>
        </w:rPr>
        <w:t xml:space="preserve"> - Modelo estrutural reflexivo, 1º inquérito</w:t>
      </w:r>
      <w:bookmarkEnd w:id="147"/>
    </w:p>
    <w:p w:rsidR="00104A12" w:rsidRPr="004D55DA" w:rsidRDefault="00104A12" w:rsidP="007F7964"/>
    <w:p w:rsidR="00104A12" w:rsidRPr="004D55DA" w:rsidRDefault="00BF31C8" w:rsidP="007F7964">
      <w:r w:rsidRPr="004D55DA">
        <w:rPr>
          <w:noProof/>
        </w:rPr>
        <w:drawing>
          <wp:inline distT="0" distB="0" distL="0" distR="0" wp14:anchorId="260E41CD" wp14:editId="0BFF12EB">
            <wp:extent cx="8949055" cy="3909060"/>
            <wp:effectExtent l="0" t="0" r="4445" b="0"/>
            <wp:docPr id="7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47">
                      <a:extLst>
                        <a:ext uri="{28A0092B-C50C-407E-A947-70E740481C1C}">
                          <a14:useLocalDpi xmlns:a14="http://schemas.microsoft.com/office/drawing/2010/main" val="0"/>
                        </a:ext>
                      </a:extLst>
                    </a:blip>
                    <a:srcRect l="2141" t="27708" r="3813" b="13441"/>
                    <a:stretch>
                      <a:fillRect/>
                    </a:stretch>
                  </pic:blipFill>
                  <pic:spPr bwMode="auto">
                    <a:xfrm>
                      <a:off x="0" y="0"/>
                      <a:ext cx="8949055" cy="3909060"/>
                    </a:xfrm>
                    <a:prstGeom prst="rect">
                      <a:avLst/>
                    </a:prstGeom>
                    <a:noFill/>
                    <a:ln>
                      <a:noFill/>
                    </a:ln>
                  </pic:spPr>
                </pic:pic>
              </a:graphicData>
            </a:graphic>
          </wp:inline>
        </w:drawing>
      </w:r>
    </w:p>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D713C2" w:rsidRDefault="00104A12" w:rsidP="007F7964">
      <w:pPr>
        <w:pStyle w:val="Legenda"/>
        <w:rPr>
          <w:sz w:val="24"/>
          <w:szCs w:val="24"/>
        </w:rPr>
      </w:pPr>
      <w:bookmarkStart w:id="148" w:name="_Toc396134183"/>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19</w:t>
      </w:r>
      <w:r w:rsidR="00372F0E" w:rsidRPr="00D713C2">
        <w:rPr>
          <w:noProof/>
          <w:sz w:val="24"/>
          <w:szCs w:val="24"/>
        </w:rPr>
        <w:fldChar w:fldCharType="end"/>
      </w:r>
      <w:r w:rsidR="001D78F5" w:rsidRPr="00D713C2">
        <w:rPr>
          <w:sz w:val="24"/>
          <w:szCs w:val="24"/>
        </w:rPr>
        <w:t xml:space="preserve"> - Modelo estrutural reflexivo simplificado</w:t>
      </w:r>
      <w:r w:rsidRPr="00D713C2">
        <w:rPr>
          <w:sz w:val="24"/>
          <w:szCs w:val="24"/>
        </w:rPr>
        <w:t>, 1º inquérito</w:t>
      </w:r>
      <w:bookmarkEnd w:id="148"/>
    </w:p>
    <w:p w:rsidR="00104A12" w:rsidRPr="004D55DA" w:rsidRDefault="00BF31C8" w:rsidP="007F7964">
      <w:r w:rsidRPr="004D55DA">
        <w:rPr>
          <w:noProof/>
        </w:rPr>
        <w:drawing>
          <wp:inline distT="0" distB="0" distL="0" distR="0" wp14:anchorId="538572BF" wp14:editId="418FFE20">
            <wp:extent cx="8693150" cy="4137660"/>
            <wp:effectExtent l="0" t="0" r="0" b="0"/>
            <wp:docPr id="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8">
                      <a:extLst>
                        <a:ext uri="{28A0092B-C50C-407E-A947-70E740481C1C}">
                          <a14:useLocalDpi xmlns:a14="http://schemas.microsoft.com/office/drawing/2010/main" val="0"/>
                        </a:ext>
                      </a:extLst>
                    </a:blip>
                    <a:srcRect l="21208" t="29625" r="2953" b="11475"/>
                    <a:stretch>
                      <a:fillRect/>
                    </a:stretch>
                  </pic:blipFill>
                  <pic:spPr bwMode="auto">
                    <a:xfrm>
                      <a:off x="0" y="0"/>
                      <a:ext cx="8693150" cy="4137660"/>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sectPr w:rsidR="00104A12" w:rsidRPr="004D55DA" w:rsidSect="007F7964">
          <w:pgSz w:w="16838" w:h="11906" w:orient="landscape"/>
          <w:pgMar w:top="1701" w:right="1133" w:bottom="1134" w:left="1701" w:header="708" w:footer="708" w:gutter="0"/>
          <w:cols w:space="708"/>
          <w:titlePg/>
          <w:docGrid w:linePitch="360"/>
        </w:sectPr>
      </w:pPr>
    </w:p>
    <w:p w:rsidR="00104A12" w:rsidRPr="004D55DA" w:rsidRDefault="00104A12" w:rsidP="007F7964">
      <w:pPr>
        <w:spacing w:line="360" w:lineRule="auto"/>
        <w:jc w:val="both"/>
      </w:pPr>
      <w:r w:rsidRPr="004D55DA">
        <w:lastRenderedPageBreak/>
        <w:t xml:space="preserve">Com vista a </w:t>
      </w:r>
      <w:r w:rsidR="000B49EE">
        <w:t>analisar</w:t>
      </w:r>
      <w:r w:rsidRPr="004D55DA">
        <w:t xml:space="preserve"> este resultado, foi desenvolvido posteriormente um modelo formativo, por oposição ao modelo reflexivo anterior, que considera a latentes como </w:t>
      </w:r>
      <w:r w:rsidR="00136906" w:rsidRPr="004D55DA">
        <w:t>causa</w:t>
      </w:r>
      <w:r w:rsidRPr="004D55DA">
        <w:t xml:space="preserve"> das variáveis observadas, a abordagem menos frequentemente utilizada pelos investigadores com o SEM. No modelo formativo, face ao reflexivo anterior, alterou-se a direção das relações causais entre as latentes de primeiro nível e a latente de segundo nível c</w:t>
      </w:r>
      <w:r w:rsidRPr="004D55DA">
        <w:rPr>
          <w:i/>
        </w:rPr>
        <w:t>aracterísticas do terminal</w:t>
      </w:r>
      <w:r w:rsidRPr="004D55DA">
        <w:t xml:space="preserve">, tendo-se recorrido aos valores das latentes resultantes da </w:t>
      </w:r>
      <w:r w:rsidR="00D36A58">
        <w:t>análise de componentes principais</w:t>
      </w:r>
      <w:r w:rsidRPr="004D55DA">
        <w:t xml:space="preserve"> efetuada anteriormente, como se se tratassem de variáveis observadas neste modelo. Os resultados foram muito semelhantes, como se pode verificar na Figura 20, mas obtiveram-se maiores graus de explicação para as variâncias das variáveis endógenas, </w:t>
      </w:r>
      <w:r w:rsidRPr="004D55DA">
        <w:rPr>
          <w:i/>
        </w:rPr>
        <w:t>eficiência</w:t>
      </w:r>
      <w:r w:rsidRPr="004D55DA">
        <w:t xml:space="preserve"> (R</w:t>
      </w:r>
      <w:r w:rsidRPr="004D55DA">
        <w:rPr>
          <w:vertAlign w:val="superscript"/>
        </w:rPr>
        <w:t>2</w:t>
      </w:r>
      <w:r w:rsidRPr="004D55DA">
        <w:t xml:space="preserve">= 0,33), </w:t>
      </w:r>
      <w:r w:rsidRPr="004D55DA">
        <w:rPr>
          <w:i/>
        </w:rPr>
        <w:t>atividade</w:t>
      </w:r>
      <w:r w:rsidRPr="004D55DA">
        <w:t xml:space="preserve"> (R</w:t>
      </w:r>
      <w:r w:rsidRPr="004D55DA">
        <w:rPr>
          <w:vertAlign w:val="superscript"/>
        </w:rPr>
        <w:t>2</w:t>
      </w:r>
      <w:r w:rsidRPr="004D55DA">
        <w:t xml:space="preserve">= 0,37) e </w:t>
      </w:r>
      <w:r w:rsidRPr="004D55DA">
        <w:rPr>
          <w:i/>
        </w:rPr>
        <w:t>satisfação do cliente</w:t>
      </w:r>
      <w:r w:rsidRPr="004D55DA">
        <w:t xml:space="preserve"> (R</w:t>
      </w:r>
      <w:r w:rsidRPr="004D55DA">
        <w:rPr>
          <w:vertAlign w:val="superscript"/>
        </w:rPr>
        <w:t>2</w:t>
      </w:r>
      <w:r w:rsidRPr="004D55DA">
        <w:t>= 0,51).</w:t>
      </w:r>
    </w:p>
    <w:p w:rsidR="00104A12" w:rsidRPr="004D55DA" w:rsidRDefault="00104A12" w:rsidP="007F7964">
      <w:pPr>
        <w:spacing w:line="360" w:lineRule="auto"/>
        <w:jc w:val="both"/>
      </w:pPr>
      <w:r w:rsidRPr="004D55DA">
        <w:t>Este modelo teve como resultados</w:t>
      </w:r>
      <w:r w:rsidR="00136906">
        <w:t xml:space="preserve"> “Goodness-of-fit” </w:t>
      </w:r>
      <w:r w:rsidRPr="004D55DA">
        <w:t xml:space="preserve">(GoF), </w:t>
      </w:r>
      <w:r w:rsidRPr="004D55DA">
        <w:rPr>
          <w:lang w:val="en-GB"/>
        </w:rPr>
        <w:t>χ</w:t>
      </w:r>
      <w:r w:rsidRPr="004D55DA">
        <w:rPr>
          <w:vertAlign w:val="superscript"/>
        </w:rPr>
        <w:t>2</w:t>
      </w:r>
      <w:r w:rsidRPr="004D55DA">
        <w:t xml:space="preserve"> 97,462; </w:t>
      </w:r>
      <w:r w:rsidRPr="004D55DA">
        <w:rPr>
          <w:lang w:val="en-GB"/>
        </w:rPr>
        <w:t>χ</w:t>
      </w:r>
      <w:r w:rsidRPr="004D55DA">
        <w:rPr>
          <w:vertAlign w:val="superscript"/>
        </w:rPr>
        <w:t>2</w:t>
      </w:r>
      <w:r w:rsidRPr="004D55DA">
        <w:t xml:space="preserve">/df 1,335; IFI: 0,919 (&gt;0,9); CFI: 0,914 (&gt;0,9); RMSEA: 0,053 (&lt;0,1), confirmando o seu bom ajustamento. O modelo formativo mantém as conclusões do modelo reflexivo, apenas permitindo um melhor poder explicativo da variância das latentes dependentes. A questão que se coloca aos modelos é se os </w:t>
      </w:r>
      <w:r w:rsidR="00136906" w:rsidRPr="004D55DA">
        <w:t>fatores</w:t>
      </w:r>
      <w:r w:rsidRPr="004D55DA">
        <w:t xml:space="preserve"> latentes de primeiro n</w:t>
      </w:r>
      <w:r w:rsidR="00136906">
        <w:t xml:space="preserve">ível refletem apenas a latente </w:t>
      </w:r>
      <w:r w:rsidR="00136906" w:rsidRPr="00136906">
        <w:rPr>
          <w:i/>
        </w:rPr>
        <w:t>c</w:t>
      </w:r>
      <w:r w:rsidRPr="00136906">
        <w:rPr>
          <w:i/>
        </w:rPr>
        <w:t>aracterísticas do terminal</w:t>
      </w:r>
      <w:r w:rsidRPr="004D55DA">
        <w:t xml:space="preserve">, de segundo nível, ou se são aspetos diversos desta, que podem ser aglomerados numa variável características do terminal que é apenas um agregado das mesmas. A primeira hipótese do modelo reflexivo parece mais adequada à realidade portuária, uma vez que se verifica empiricamente com estes resultados que as características do terminal de contentores possuem no geral uma variância positiva com o desempenho. </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49" w:name="_Toc396134184"/>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20</w:t>
      </w:r>
      <w:r w:rsidR="00372F0E" w:rsidRPr="00D713C2">
        <w:rPr>
          <w:noProof/>
          <w:sz w:val="24"/>
          <w:szCs w:val="24"/>
        </w:rPr>
        <w:fldChar w:fldCharType="end"/>
      </w:r>
      <w:r w:rsidRPr="00D713C2">
        <w:rPr>
          <w:sz w:val="24"/>
          <w:szCs w:val="24"/>
        </w:rPr>
        <w:t xml:space="preserve"> - Modelo formativo, 1º inquérito</w:t>
      </w:r>
      <w:bookmarkEnd w:id="149"/>
    </w:p>
    <w:p w:rsidR="00104A12" w:rsidRPr="004D55DA" w:rsidRDefault="006836C0" w:rsidP="007F7964">
      <w:pPr>
        <w:spacing w:line="360" w:lineRule="auto"/>
        <w:jc w:val="both"/>
      </w:pPr>
      <w:r w:rsidRPr="006836C0">
        <w:rPr>
          <w:noProof/>
        </w:rPr>
        <w:drawing>
          <wp:inline distT="0" distB="0" distL="0" distR="0" wp14:anchorId="4C14EB50" wp14:editId="59944629">
            <wp:extent cx="5590134" cy="303711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1381" t="1577" r="4834" b="4585"/>
                    <a:stretch/>
                  </pic:blipFill>
                  <pic:spPr bwMode="auto">
                    <a:xfrm>
                      <a:off x="0" y="0"/>
                      <a:ext cx="5601890" cy="3043501"/>
                    </a:xfrm>
                    <a:prstGeom prst="rect">
                      <a:avLst/>
                    </a:prstGeom>
                    <a:noFill/>
                    <a:ln>
                      <a:noFill/>
                    </a:ln>
                    <a:extLst>
                      <a:ext uri="{53640926-AAD7-44D8-BBD7-CCE9431645EC}">
                        <a14:shadowObscured xmlns:a14="http://schemas.microsoft.com/office/drawing/2010/main"/>
                      </a:ext>
                    </a:extLst>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Com base no modelo formativo, adaptaram-se os resultados à terminologia do modelo de investigação inicial</w:t>
      </w:r>
      <w:r w:rsidR="001D78F5">
        <w:t xml:space="preserve">, associando cada uma das variáveis </w:t>
      </w:r>
      <w:r w:rsidR="009D7CFD">
        <w:t>dos “scores” obtido</w:t>
      </w:r>
      <w:r w:rsidR="001D78F5">
        <w:t>s na análise exploratória aos constructos previsto</w:t>
      </w:r>
      <w:r w:rsidR="009D7CFD">
        <w:t>s</w:t>
      </w:r>
      <w:r w:rsidR="001D78F5">
        <w:t xml:space="preserve"> no modelo de referência de investigação</w:t>
      </w:r>
      <w:r w:rsidRPr="004D55DA">
        <w:t xml:space="preserve">, obtendo-se os resultados patentes na Figura 21, que </w:t>
      </w:r>
      <w:r w:rsidR="008C6D33">
        <w:t>não permitem rejeitar</w:t>
      </w:r>
      <w:r w:rsidRPr="004D55DA">
        <w:t xml:space="preserve"> o modelo de investigação para os três constructos dependentes do desempenho do terminal de contentores, com adaptações de </w:t>
      </w:r>
      <w:r w:rsidR="00136906" w:rsidRPr="004D55DA">
        <w:t>subdivisão</w:t>
      </w:r>
      <w:r w:rsidRPr="004D55DA">
        <w:t xml:space="preserve"> do constructo independente position-port em local e continental e do constructo independente “soft-terminal” em dois, “softsea-terminal” e “softlogis-terminal”/”softorg-terminal”.</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50" w:name="_Toc396134185"/>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21</w:t>
      </w:r>
      <w:r w:rsidR="00372F0E" w:rsidRPr="00D713C2">
        <w:rPr>
          <w:noProof/>
          <w:sz w:val="24"/>
          <w:szCs w:val="24"/>
        </w:rPr>
        <w:fldChar w:fldCharType="end"/>
      </w:r>
      <w:r w:rsidRPr="00D713C2">
        <w:rPr>
          <w:sz w:val="24"/>
          <w:szCs w:val="24"/>
        </w:rPr>
        <w:t xml:space="preserve"> – Modelo final ajustado para o Desempenho, 1º inquérito</w:t>
      </w:r>
      <w:bookmarkEnd w:id="150"/>
    </w:p>
    <w:p w:rsidR="00104A12" w:rsidRPr="004D55DA" w:rsidRDefault="006836C0" w:rsidP="007F7964">
      <w:pPr>
        <w:spacing w:line="360" w:lineRule="auto"/>
        <w:jc w:val="both"/>
      </w:pPr>
      <w:r w:rsidRPr="006836C0">
        <w:rPr>
          <w:noProof/>
        </w:rPr>
        <w:drawing>
          <wp:inline distT="0" distB="0" distL="0" distR="0" wp14:anchorId="28547487" wp14:editId="4B072C85">
            <wp:extent cx="5666835" cy="3385457"/>
            <wp:effectExtent l="0" t="0" r="0" b="571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1797" t="2920" r="4523" b="4866"/>
                    <a:stretch/>
                  </pic:blipFill>
                  <pic:spPr bwMode="auto">
                    <a:xfrm>
                      <a:off x="0" y="0"/>
                      <a:ext cx="5681435" cy="3394179"/>
                    </a:xfrm>
                    <a:prstGeom prst="rect">
                      <a:avLst/>
                    </a:prstGeom>
                    <a:noFill/>
                    <a:ln>
                      <a:noFill/>
                    </a:ln>
                    <a:extLst>
                      <a:ext uri="{53640926-AAD7-44D8-BBD7-CCE9431645EC}">
                        <a14:shadowObscured xmlns:a14="http://schemas.microsoft.com/office/drawing/2010/main"/>
                      </a:ext>
                    </a:extLst>
                  </pic:spPr>
                </pic:pic>
              </a:graphicData>
            </a:graphic>
          </wp:inline>
        </w:drawing>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 xml:space="preserve">Introdução da variável latente de </w:t>
      </w:r>
      <w:r w:rsidRPr="004D55DA">
        <w:rPr>
          <w:b/>
          <w:i/>
        </w:rPr>
        <w:t>Desempenho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Foi ainda considerado um outro cenário com a utilização do instrumento dos modelos de equações estruturais e a criação de uma variável latente para o Desempenho do terminal de contentores, de segundo nível, que é confirmada pela consistência que revela, com resultados bons em termos de explicação da variância das variáveis dependentes: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apontam para a validade da unidimensionalidade do modelo de equações estruturais (Hair et al., 1998; Tabachnick &amp; Fidell, 2001), com os seguintes indicadores de adequação do ajustamento ou</w:t>
      </w:r>
      <w:r w:rsidR="00136906">
        <w:t xml:space="preserve"> “Goodness-of-fit” </w:t>
      </w:r>
      <w:r w:rsidRPr="004D55DA">
        <w:t>(GoF) do modelo de medida do primeiro inquérito, χ2 545.67; χ2/df 1.44; IFI: 0.91 (&gt;0.9); CFI: 0.90 (&gt;0.9); RMSEA: 0.06 (&lt;0.1), indicando um bom ajustamento do modelo de medida das variáveis latentes.</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51" w:name="_Toc396134141"/>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18</w:t>
      </w:r>
      <w:r w:rsidR="00372F0E" w:rsidRPr="00D713C2">
        <w:rPr>
          <w:noProof/>
          <w:sz w:val="24"/>
          <w:szCs w:val="24"/>
        </w:rPr>
        <w:fldChar w:fldCharType="end"/>
      </w:r>
      <w:r w:rsidRPr="00D713C2">
        <w:rPr>
          <w:sz w:val="24"/>
          <w:szCs w:val="24"/>
        </w:rPr>
        <w:t xml:space="preserve">– </w:t>
      </w:r>
      <w:r w:rsidRPr="00D713C2">
        <w:rPr>
          <w:color w:val="000000"/>
          <w:sz w:val="24"/>
          <w:szCs w:val="24"/>
        </w:rPr>
        <w:t>Consistência das latentes, modelo de medida</w:t>
      </w:r>
      <w:bookmarkEnd w:id="151"/>
    </w:p>
    <w:tbl>
      <w:tblPr>
        <w:tblW w:w="5000" w:type="pct"/>
        <w:tblCellMar>
          <w:left w:w="70" w:type="dxa"/>
          <w:right w:w="70" w:type="dxa"/>
        </w:tblCellMar>
        <w:tblLook w:val="00A0" w:firstRow="1" w:lastRow="0" w:firstColumn="1" w:lastColumn="0" w:noHBand="0" w:noVBand="0"/>
      </w:tblPr>
      <w:tblGrid>
        <w:gridCol w:w="2063"/>
        <w:gridCol w:w="446"/>
        <w:gridCol w:w="440"/>
        <w:gridCol w:w="617"/>
        <w:gridCol w:w="509"/>
        <w:gridCol w:w="509"/>
        <w:gridCol w:w="514"/>
        <w:gridCol w:w="521"/>
        <w:gridCol w:w="521"/>
        <w:gridCol w:w="549"/>
        <w:gridCol w:w="523"/>
        <w:gridCol w:w="523"/>
        <w:gridCol w:w="525"/>
        <w:gridCol w:w="427"/>
        <w:gridCol w:w="525"/>
      </w:tblGrid>
      <w:tr w:rsidR="00104A12" w:rsidRPr="004D55DA" w:rsidTr="000719C4">
        <w:trPr>
          <w:trHeight w:val="408"/>
        </w:trPr>
        <w:tc>
          <w:tcPr>
            <w:tcW w:w="111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Latentes</w:t>
            </w:r>
          </w:p>
        </w:tc>
        <w:tc>
          <w:tcPr>
            <w:tcW w:w="242"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Var.</w:t>
            </w:r>
          </w:p>
        </w:tc>
        <w:tc>
          <w:tcPr>
            <w:tcW w:w="23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AVE</w:t>
            </w:r>
          </w:p>
        </w:tc>
        <w:tc>
          <w:tcPr>
            <w:tcW w:w="335" w:type="pct"/>
            <w:tcBorders>
              <w:top w:val="single" w:sz="4" w:space="0" w:color="auto"/>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jc w:val="center"/>
              <w:rPr>
                <w:rFonts w:ascii="Arial" w:hAnsi="Arial" w:cs="Arial"/>
                <w:color w:val="000000"/>
                <w:sz w:val="10"/>
                <w:szCs w:val="16"/>
              </w:rPr>
            </w:pPr>
            <w:r w:rsidRPr="004D55DA">
              <w:rPr>
                <w:rFonts w:ascii="Arial" w:hAnsi="Arial" w:cs="Arial"/>
                <w:color w:val="000000"/>
                <w:sz w:val="10"/>
                <w:szCs w:val="16"/>
              </w:rPr>
              <w:t xml:space="preserve">1 </w:t>
            </w:r>
            <w:r w:rsidRPr="004D55DA">
              <w:rPr>
                <w:rFonts w:ascii="Arial" w:hAnsi="Arial" w:cs="Arial"/>
                <w:color w:val="000000"/>
                <w:sz w:val="10"/>
                <w:szCs w:val="16"/>
                <w:lang w:val="en-US"/>
              </w:rPr>
              <w:t>(2º nível)</w:t>
            </w:r>
          </w:p>
        </w:tc>
        <w:tc>
          <w:tcPr>
            <w:tcW w:w="276" w:type="pct"/>
            <w:tcBorders>
              <w:top w:val="single" w:sz="4" w:space="0" w:color="auto"/>
              <w:left w:val="nil"/>
              <w:bottom w:val="single" w:sz="4" w:space="0" w:color="auto"/>
              <w:right w:val="single" w:sz="4" w:space="0" w:color="auto"/>
            </w:tcBorders>
            <w:shd w:val="clear" w:color="000000" w:fill="FFFFFF"/>
            <w:vAlign w:val="center"/>
          </w:tcPr>
          <w:p w:rsidR="00104A12" w:rsidRPr="004D55DA" w:rsidRDefault="00104A12" w:rsidP="007F7964">
            <w:pPr>
              <w:jc w:val="center"/>
              <w:rPr>
                <w:rFonts w:ascii="Arial" w:hAnsi="Arial" w:cs="Arial"/>
                <w:color w:val="000000"/>
                <w:sz w:val="10"/>
                <w:szCs w:val="16"/>
              </w:rPr>
            </w:pPr>
            <w:r w:rsidRPr="004D55DA">
              <w:rPr>
                <w:rFonts w:ascii="Arial" w:hAnsi="Arial" w:cs="Arial"/>
                <w:color w:val="000000"/>
                <w:sz w:val="10"/>
                <w:szCs w:val="16"/>
              </w:rPr>
              <w:t xml:space="preserve">2 </w:t>
            </w:r>
            <w:r w:rsidRPr="004D55DA">
              <w:rPr>
                <w:rFonts w:ascii="Arial" w:hAnsi="Arial" w:cs="Arial"/>
                <w:color w:val="000000"/>
                <w:sz w:val="10"/>
                <w:szCs w:val="16"/>
                <w:lang w:val="en-US"/>
              </w:rPr>
              <w:t>(2º nível)</w:t>
            </w:r>
          </w:p>
        </w:tc>
        <w:tc>
          <w:tcPr>
            <w:tcW w:w="276" w:type="pct"/>
            <w:tcBorders>
              <w:top w:val="single" w:sz="4" w:space="0" w:color="auto"/>
              <w:left w:val="single" w:sz="4" w:space="0" w:color="auto"/>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3</w:t>
            </w:r>
          </w:p>
        </w:tc>
        <w:tc>
          <w:tcPr>
            <w:tcW w:w="27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4</w:t>
            </w:r>
          </w:p>
        </w:tc>
        <w:tc>
          <w:tcPr>
            <w:tcW w:w="283"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6</w:t>
            </w:r>
          </w:p>
        </w:tc>
        <w:tc>
          <w:tcPr>
            <w:tcW w:w="283"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6</w:t>
            </w:r>
          </w:p>
        </w:tc>
        <w:tc>
          <w:tcPr>
            <w:tcW w:w="298"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7</w:t>
            </w:r>
          </w:p>
        </w:tc>
        <w:tc>
          <w:tcPr>
            <w:tcW w:w="284"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8</w:t>
            </w:r>
          </w:p>
        </w:tc>
        <w:tc>
          <w:tcPr>
            <w:tcW w:w="284"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9</w:t>
            </w:r>
          </w:p>
        </w:tc>
        <w:tc>
          <w:tcPr>
            <w:tcW w:w="285"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10</w:t>
            </w:r>
          </w:p>
        </w:tc>
        <w:tc>
          <w:tcPr>
            <w:tcW w:w="232"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11</w:t>
            </w:r>
          </w:p>
        </w:tc>
        <w:tc>
          <w:tcPr>
            <w:tcW w:w="286"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12</w:t>
            </w:r>
          </w:p>
        </w:tc>
      </w:tr>
      <w:tr w:rsidR="00104A12" w:rsidRPr="004D55DA" w:rsidTr="000719C4">
        <w:trPr>
          <w:trHeight w:val="400"/>
        </w:trPr>
        <w:tc>
          <w:tcPr>
            <w:tcW w:w="1119"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Características do terminal (2º nível)</w:t>
            </w:r>
          </w:p>
        </w:tc>
        <w:tc>
          <w:tcPr>
            <w:tcW w:w="242"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w:t>
            </w:r>
          </w:p>
        </w:tc>
        <w:tc>
          <w:tcPr>
            <w:tcW w:w="239"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0.56</w:t>
            </w:r>
          </w:p>
        </w:tc>
        <w:tc>
          <w:tcPr>
            <w:tcW w:w="335" w:type="pct"/>
            <w:tcBorders>
              <w:top w:val="single" w:sz="4" w:space="0" w:color="auto"/>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0.75</w:t>
            </w:r>
          </w:p>
        </w:tc>
        <w:tc>
          <w:tcPr>
            <w:tcW w:w="276" w:type="pct"/>
            <w:tcBorders>
              <w:top w:val="single" w:sz="4" w:space="0" w:color="auto"/>
              <w:left w:val="nil"/>
              <w:bottom w:val="single" w:sz="4" w:space="0" w:color="auto"/>
              <w:right w:val="single" w:sz="4" w:space="0" w:color="auto"/>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76" w:type="pct"/>
            <w:tcBorders>
              <w:top w:val="single" w:sz="4" w:space="0" w:color="auto"/>
              <w:left w:val="single" w:sz="4" w:space="0" w:color="auto"/>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79"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3"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3"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98"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single" w:sz="4" w:space="0" w:color="auto"/>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Desempenho do Terminal (2º Nível)</w:t>
            </w:r>
          </w:p>
        </w:tc>
        <w:tc>
          <w:tcPr>
            <w:tcW w:w="242"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2</w:t>
            </w:r>
          </w:p>
        </w:tc>
        <w:tc>
          <w:tcPr>
            <w:tcW w:w="239"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0.52</w:t>
            </w:r>
          </w:p>
        </w:tc>
        <w:tc>
          <w:tcPr>
            <w:tcW w:w="335" w:type="pct"/>
            <w:tcBorders>
              <w:top w:val="single" w:sz="4" w:space="0" w:color="auto"/>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0.78</w:t>
            </w:r>
          </w:p>
        </w:tc>
        <w:tc>
          <w:tcPr>
            <w:tcW w:w="276" w:type="pct"/>
            <w:tcBorders>
              <w:top w:val="single" w:sz="4" w:space="0" w:color="auto"/>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0.74</w:t>
            </w:r>
          </w:p>
        </w:tc>
        <w:tc>
          <w:tcPr>
            <w:tcW w:w="276" w:type="pct"/>
            <w:tcBorders>
              <w:top w:val="single" w:sz="4" w:space="0" w:color="auto"/>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p>
        </w:tc>
        <w:tc>
          <w:tcPr>
            <w:tcW w:w="279"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83"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83"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98"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84"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84"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85"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c>
          <w:tcPr>
            <w:tcW w:w="232" w:type="pct"/>
            <w:tcBorders>
              <w:top w:val="single" w:sz="4" w:space="0" w:color="auto"/>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r>
      <w:tr w:rsidR="00104A12" w:rsidRPr="004D55DA" w:rsidTr="000719C4">
        <w:trPr>
          <w:trHeight w:val="240"/>
        </w:trPr>
        <w:tc>
          <w:tcPr>
            <w:tcW w:w="1119" w:type="pct"/>
            <w:tcBorders>
              <w:top w:val="single" w:sz="4" w:space="0" w:color="auto"/>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Integração logística e organização do terminal</w:t>
            </w:r>
          </w:p>
        </w:tc>
        <w:tc>
          <w:tcPr>
            <w:tcW w:w="242"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3</w:t>
            </w:r>
          </w:p>
        </w:tc>
        <w:tc>
          <w:tcPr>
            <w:tcW w:w="239"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0.61</w:t>
            </w:r>
          </w:p>
        </w:tc>
        <w:tc>
          <w:tcPr>
            <w:tcW w:w="335" w:type="pct"/>
            <w:tcBorders>
              <w:top w:val="single" w:sz="4" w:space="0" w:color="auto"/>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0.60</w:t>
            </w:r>
          </w:p>
        </w:tc>
        <w:tc>
          <w:tcPr>
            <w:tcW w:w="276" w:type="pct"/>
            <w:tcBorders>
              <w:top w:val="single" w:sz="4" w:space="0" w:color="auto"/>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0.48</w:t>
            </w:r>
          </w:p>
        </w:tc>
        <w:tc>
          <w:tcPr>
            <w:tcW w:w="276" w:type="pct"/>
            <w:tcBorders>
              <w:top w:val="single" w:sz="4" w:space="0" w:color="auto"/>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0.78</w:t>
            </w:r>
          </w:p>
        </w:tc>
        <w:tc>
          <w:tcPr>
            <w:tcW w:w="279"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3"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3"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98"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single" w:sz="4" w:space="0" w:color="auto"/>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Acessibilidade terrestre</w:t>
            </w:r>
          </w:p>
        </w:tc>
        <w:tc>
          <w:tcPr>
            <w:tcW w:w="242"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4</w:t>
            </w:r>
          </w:p>
        </w:tc>
        <w:tc>
          <w:tcPr>
            <w:tcW w:w="239"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0.66</w:t>
            </w:r>
          </w:p>
        </w:tc>
        <w:tc>
          <w:tcPr>
            <w:tcW w:w="335" w:type="pct"/>
            <w:tcBorders>
              <w:top w:val="nil"/>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0.64</w:t>
            </w:r>
          </w:p>
        </w:tc>
        <w:tc>
          <w:tcPr>
            <w:tcW w:w="276" w:type="pct"/>
            <w:tcBorders>
              <w:top w:val="nil"/>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0.51</w:t>
            </w:r>
          </w:p>
        </w:tc>
        <w:tc>
          <w:tcPr>
            <w:tcW w:w="276" w:type="pct"/>
            <w:tcBorders>
              <w:top w:val="nil"/>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0.38</w:t>
            </w:r>
          </w:p>
        </w:tc>
        <w:tc>
          <w:tcPr>
            <w:tcW w:w="279"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0.81</w:t>
            </w:r>
          </w:p>
        </w:tc>
        <w:tc>
          <w:tcPr>
            <w:tcW w:w="283"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3"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98"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Acesso marítimo</w:t>
            </w:r>
          </w:p>
        </w:tc>
        <w:tc>
          <w:tcPr>
            <w:tcW w:w="242"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5</w:t>
            </w:r>
          </w:p>
        </w:tc>
        <w:tc>
          <w:tcPr>
            <w:tcW w:w="239"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0.82</w:t>
            </w:r>
          </w:p>
        </w:tc>
        <w:tc>
          <w:tcPr>
            <w:tcW w:w="335" w:type="pct"/>
            <w:tcBorders>
              <w:top w:val="nil"/>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0.67</w:t>
            </w:r>
          </w:p>
        </w:tc>
        <w:tc>
          <w:tcPr>
            <w:tcW w:w="276" w:type="pct"/>
            <w:tcBorders>
              <w:top w:val="nil"/>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0.54</w:t>
            </w:r>
          </w:p>
        </w:tc>
        <w:tc>
          <w:tcPr>
            <w:tcW w:w="276" w:type="pct"/>
            <w:tcBorders>
              <w:top w:val="nil"/>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0.40</w:t>
            </w:r>
          </w:p>
        </w:tc>
        <w:tc>
          <w:tcPr>
            <w:tcW w:w="279"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0.42</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0.91</w:t>
            </w:r>
          </w:p>
        </w:tc>
        <w:tc>
          <w:tcPr>
            <w:tcW w:w="283"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98"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Localização na Europa</w:t>
            </w:r>
          </w:p>
        </w:tc>
        <w:tc>
          <w:tcPr>
            <w:tcW w:w="242"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6</w:t>
            </w:r>
          </w:p>
        </w:tc>
        <w:tc>
          <w:tcPr>
            <w:tcW w:w="239"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0.76</w:t>
            </w:r>
          </w:p>
        </w:tc>
        <w:tc>
          <w:tcPr>
            <w:tcW w:w="335" w:type="pct"/>
            <w:tcBorders>
              <w:top w:val="nil"/>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0.66</w:t>
            </w:r>
          </w:p>
        </w:tc>
        <w:tc>
          <w:tcPr>
            <w:tcW w:w="276" w:type="pct"/>
            <w:tcBorders>
              <w:top w:val="nil"/>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0.51</w:t>
            </w:r>
          </w:p>
        </w:tc>
        <w:tc>
          <w:tcPr>
            <w:tcW w:w="276" w:type="pct"/>
            <w:tcBorders>
              <w:top w:val="nil"/>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0.39</w:t>
            </w:r>
          </w:p>
        </w:tc>
        <w:tc>
          <w:tcPr>
            <w:tcW w:w="279"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0.42</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0.44</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0.87</w:t>
            </w:r>
          </w:p>
        </w:tc>
        <w:tc>
          <w:tcPr>
            <w:tcW w:w="298"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Dinamismo do porto</w:t>
            </w:r>
          </w:p>
        </w:tc>
        <w:tc>
          <w:tcPr>
            <w:tcW w:w="242"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7</w:t>
            </w:r>
          </w:p>
        </w:tc>
        <w:tc>
          <w:tcPr>
            <w:tcW w:w="239"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0.56</w:t>
            </w:r>
          </w:p>
        </w:tc>
        <w:tc>
          <w:tcPr>
            <w:tcW w:w="335" w:type="pct"/>
            <w:tcBorders>
              <w:top w:val="nil"/>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0.75</w:t>
            </w:r>
          </w:p>
        </w:tc>
        <w:tc>
          <w:tcPr>
            <w:tcW w:w="276" w:type="pct"/>
            <w:tcBorders>
              <w:top w:val="nil"/>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0.62</w:t>
            </w:r>
          </w:p>
        </w:tc>
        <w:tc>
          <w:tcPr>
            <w:tcW w:w="276" w:type="pct"/>
            <w:tcBorders>
              <w:top w:val="nil"/>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0.48</w:t>
            </w:r>
          </w:p>
        </w:tc>
        <w:tc>
          <w:tcPr>
            <w:tcW w:w="279"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0.50</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0.53</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0.52</w:t>
            </w:r>
          </w:p>
        </w:tc>
        <w:tc>
          <w:tcPr>
            <w:tcW w:w="298"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0.75</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4"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Serviços marítimos do terminal</w:t>
            </w:r>
          </w:p>
        </w:tc>
        <w:tc>
          <w:tcPr>
            <w:tcW w:w="242" w:type="pct"/>
            <w:tcBorders>
              <w:top w:val="nil"/>
              <w:left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8</w:t>
            </w:r>
          </w:p>
        </w:tc>
        <w:tc>
          <w:tcPr>
            <w:tcW w:w="239" w:type="pct"/>
            <w:tcBorders>
              <w:top w:val="nil"/>
              <w:left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0.84</w:t>
            </w:r>
          </w:p>
        </w:tc>
        <w:tc>
          <w:tcPr>
            <w:tcW w:w="335" w:type="pct"/>
            <w:tcBorders>
              <w:top w:val="nil"/>
              <w:left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0.60</w:t>
            </w:r>
          </w:p>
        </w:tc>
        <w:tc>
          <w:tcPr>
            <w:tcW w:w="276" w:type="pct"/>
            <w:tcBorders>
              <w:top w:val="nil"/>
              <w:left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0.46</w:t>
            </w:r>
          </w:p>
        </w:tc>
        <w:tc>
          <w:tcPr>
            <w:tcW w:w="276" w:type="pct"/>
            <w:tcBorders>
              <w:top w:val="nil"/>
              <w:left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0.36</w:t>
            </w:r>
          </w:p>
        </w:tc>
        <w:tc>
          <w:tcPr>
            <w:tcW w:w="279" w:type="pct"/>
            <w:tcBorders>
              <w:top w:val="nil"/>
              <w:left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0.38</w:t>
            </w:r>
          </w:p>
        </w:tc>
        <w:tc>
          <w:tcPr>
            <w:tcW w:w="283" w:type="pct"/>
            <w:tcBorders>
              <w:top w:val="nil"/>
              <w:left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0.40</w:t>
            </w:r>
          </w:p>
        </w:tc>
        <w:tc>
          <w:tcPr>
            <w:tcW w:w="283" w:type="pct"/>
            <w:tcBorders>
              <w:top w:val="nil"/>
              <w:left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0.39</w:t>
            </w:r>
          </w:p>
        </w:tc>
        <w:tc>
          <w:tcPr>
            <w:tcW w:w="298" w:type="pct"/>
            <w:tcBorders>
              <w:top w:val="nil"/>
              <w:left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0.47</w:t>
            </w:r>
          </w:p>
        </w:tc>
        <w:tc>
          <w:tcPr>
            <w:tcW w:w="284" w:type="pct"/>
            <w:tcBorders>
              <w:top w:val="nil"/>
              <w:left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0.92</w:t>
            </w:r>
          </w:p>
        </w:tc>
        <w:tc>
          <w:tcPr>
            <w:tcW w:w="284" w:type="pct"/>
            <w:tcBorders>
              <w:top w:val="nil"/>
              <w:left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85" w:type="pct"/>
            <w:tcBorders>
              <w:top w:val="nil"/>
              <w:left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single" w:sz="4" w:space="0" w:color="auto"/>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Importância da região</w:t>
            </w:r>
          </w:p>
        </w:tc>
        <w:tc>
          <w:tcPr>
            <w:tcW w:w="242"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9</w:t>
            </w:r>
          </w:p>
        </w:tc>
        <w:tc>
          <w:tcPr>
            <w:tcW w:w="239"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0.69</w:t>
            </w:r>
          </w:p>
        </w:tc>
        <w:tc>
          <w:tcPr>
            <w:tcW w:w="335" w:type="pct"/>
            <w:tcBorders>
              <w:top w:val="nil"/>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0.68</w:t>
            </w:r>
          </w:p>
        </w:tc>
        <w:tc>
          <w:tcPr>
            <w:tcW w:w="276" w:type="pct"/>
            <w:tcBorders>
              <w:top w:val="nil"/>
              <w:left w:val="nil"/>
              <w:bottom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0.53</w:t>
            </w:r>
          </w:p>
        </w:tc>
        <w:tc>
          <w:tcPr>
            <w:tcW w:w="276" w:type="pct"/>
            <w:tcBorders>
              <w:top w:val="nil"/>
              <w:left w:val="single" w:sz="4" w:space="0" w:color="auto"/>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0.41</w:t>
            </w:r>
          </w:p>
        </w:tc>
        <w:tc>
          <w:tcPr>
            <w:tcW w:w="279"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0.43</w:t>
            </w:r>
          </w:p>
        </w:tc>
        <w:tc>
          <w:tcPr>
            <w:tcW w:w="283"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0.45</w:t>
            </w:r>
          </w:p>
        </w:tc>
        <w:tc>
          <w:tcPr>
            <w:tcW w:w="283"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0.44</w:t>
            </w:r>
          </w:p>
        </w:tc>
        <w:tc>
          <w:tcPr>
            <w:tcW w:w="298"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0.53</w:t>
            </w:r>
          </w:p>
        </w:tc>
        <w:tc>
          <w:tcPr>
            <w:tcW w:w="284"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0.40</w:t>
            </w:r>
          </w:p>
        </w:tc>
        <w:tc>
          <w:tcPr>
            <w:tcW w:w="284"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0.83</w:t>
            </w:r>
          </w:p>
        </w:tc>
        <w:tc>
          <w:tcPr>
            <w:tcW w:w="285"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c>
          <w:tcPr>
            <w:tcW w:w="232" w:type="pct"/>
            <w:tcBorders>
              <w:top w:val="nil"/>
              <w:left w:val="nil"/>
              <w:bottom w:val="single" w:sz="4" w:space="0" w:color="auto"/>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single" w:sz="4" w:space="0" w:color="auto"/>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Atividade (dependente)</w:t>
            </w:r>
          </w:p>
        </w:tc>
        <w:tc>
          <w:tcPr>
            <w:tcW w:w="242"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10</w:t>
            </w:r>
          </w:p>
        </w:tc>
        <w:tc>
          <w:tcPr>
            <w:tcW w:w="239"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0.58</w:t>
            </w:r>
          </w:p>
        </w:tc>
        <w:tc>
          <w:tcPr>
            <w:tcW w:w="335" w:type="pct"/>
            <w:tcBorders>
              <w:top w:val="single" w:sz="4" w:space="0" w:color="auto"/>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0.55</w:t>
            </w:r>
          </w:p>
        </w:tc>
        <w:tc>
          <w:tcPr>
            <w:tcW w:w="276" w:type="pct"/>
            <w:tcBorders>
              <w:top w:val="single" w:sz="4" w:space="0" w:color="auto"/>
              <w:left w:val="nil"/>
              <w:bottom w:val="nil"/>
              <w:right w:val="single" w:sz="4" w:space="0" w:color="auto"/>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0.56</w:t>
            </w:r>
          </w:p>
        </w:tc>
        <w:tc>
          <w:tcPr>
            <w:tcW w:w="276" w:type="pct"/>
            <w:tcBorders>
              <w:top w:val="single" w:sz="4" w:space="0" w:color="auto"/>
              <w:left w:val="single" w:sz="4" w:space="0" w:color="auto"/>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0.33</w:t>
            </w:r>
          </w:p>
        </w:tc>
        <w:tc>
          <w:tcPr>
            <w:tcW w:w="279"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0.35</w:t>
            </w:r>
          </w:p>
        </w:tc>
        <w:tc>
          <w:tcPr>
            <w:tcW w:w="283"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0.37</w:t>
            </w:r>
          </w:p>
        </w:tc>
        <w:tc>
          <w:tcPr>
            <w:tcW w:w="283"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0.36</w:t>
            </w:r>
          </w:p>
        </w:tc>
        <w:tc>
          <w:tcPr>
            <w:tcW w:w="298"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0.44</w:t>
            </w:r>
          </w:p>
        </w:tc>
        <w:tc>
          <w:tcPr>
            <w:tcW w:w="284"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0.33</w:t>
            </w:r>
          </w:p>
        </w:tc>
        <w:tc>
          <w:tcPr>
            <w:tcW w:w="284" w:type="pct"/>
            <w:tcBorders>
              <w:top w:val="single" w:sz="4" w:space="0" w:color="auto"/>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0.37</w:t>
            </w:r>
          </w:p>
        </w:tc>
        <w:tc>
          <w:tcPr>
            <w:tcW w:w="285"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0.76</w:t>
            </w:r>
          </w:p>
        </w:tc>
        <w:tc>
          <w:tcPr>
            <w:tcW w:w="232" w:type="pct"/>
            <w:tcBorders>
              <w:top w:val="single" w:sz="4" w:space="0" w:color="auto"/>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p>
        </w:tc>
        <w:tc>
          <w:tcPr>
            <w:tcW w:w="286" w:type="pct"/>
            <w:tcBorders>
              <w:top w:val="single" w:sz="4" w:space="0" w:color="auto"/>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p>
        </w:tc>
      </w:tr>
      <w:tr w:rsidR="00104A12" w:rsidRPr="004D55DA" w:rsidTr="000719C4">
        <w:trPr>
          <w:trHeight w:val="240"/>
        </w:trPr>
        <w:tc>
          <w:tcPr>
            <w:tcW w:w="1119" w:type="pct"/>
            <w:tcBorders>
              <w:top w:val="nil"/>
              <w:left w:val="nil"/>
              <w:bottom w:val="nil"/>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Satisfação do cliente (dependente)</w:t>
            </w:r>
          </w:p>
        </w:tc>
        <w:tc>
          <w:tcPr>
            <w:tcW w:w="242"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11</w:t>
            </w:r>
          </w:p>
        </w:tc>
        <w:tc>
          <w:tcPr>
            <w:tcW w:w="239"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0.70</w:t>
            </w:r>
          </w:p>
        </w:tc>
        <w:tc>
          <w:tcPr>
            <w:tcW w:w="335" w:type="pct"/>
            <w:tcBorders>
              <w:top w:val="nil"/>
              <w:left w:val="single" w:sz="4" w:space="0" w:color="auto"/>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0.59</w:t>
            </w:r>
          </w:p>
        </w:tc>
        <w:tc>
          <w:tcPr>
            <w:tcW w:w="276" w:type="pct"/>
            <w:tcBorders>
              <w:top w:val="nil"/>
              <w:left w:val="nil"/>
              <w:bottom w:val="nil"/>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0.73</w:t>
            </w:r>
          </w:p>
        </w:tc>
        <w:tc>
          <w:tcPr>
            <w:tcW w:w="276" w:type="pct"/>
            <w:tcBorders>
              <w:top w:val="nil"/>
              <w:left w:val="single" w:sz="4" w:space="0" w:color="auto"/>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0.36</w:t>
            </w:r>
          </w:p>
        </w:tc>
        <w:tc>
          <w:tcPr>
            <w:tcW w:w="279"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0.38</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0.40</w:t>
            </w:r>
          </w:p>
        </w:tc>
        <w:tc>
          <w:tcPr>
            <w:tcW w:w="283"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0.39</w:t>
            </w:r>
          </w:p>
        </w:tc>
        <w:tc>
          <w:tcPr>
            <w:tcW w:w="298"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0.47</w:t>
            </w:r>
          </w:p>
        </w:tc>
        <w:tc>
          <w:tcPr>
            <w:tcW w:w="284"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0.35</w:t>
            </w:r>
          </w:p>
        </w:tc>
        <w:tc>
          <w:tcPr>
            <w:tcW w:w="284"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0.40</w:t>
            </w:r>
          </w:p>
        </w:tc>
        <w:tc>
          <w:tcPr>
            <w:tcW w:w="285" w:type="pct"/>
            <w:tcBorders>
              <w:top w:val="nil"/>
              <w:left w:val="nil"/>
              <w:bottom w:val="nil"/>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0.84</w:t>
            </w:r>
          </w:p>
        </w:tc>
        <w:tc>
          <w:tcPr>
            <w:tcW w:w="232" w:type="pct"/>
            <w:tcBorders>
              <w:top w:val="nil"/>
              <w:left w:val="nil"/>
              <w:bottom w:val="nil"/>
              <w:right w:val="nil"/>
            </w:tcBorders>
            <w:shd w:val="clear" w:color="000000" w:fill="FFFFFF"/>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0.33</w:t>
            </w:r>
          </w:p>
        </w:tc>
        <w:tc>
          <w:tcPr>
            <w:tcW w:w="286" w:type="pct"/>
            <w:tcBorders>
              <w:top w:val="nil"/>
              <w:left w:val="nil"/>
              <w:bottom w:val="nil"/>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 </w:t>
            </w:r>
          </w:p>
        </w:tc>
      </w:tr>
      <w:tr w:rsidR="00104A12" w:rsidRPr="004D55DA" w:rsidTr="000719C4">
        <w:trPr>
          <w:trHeight w:val="240"/>
        </w:trPr>
        <w:tc>
          <w:tcPr>
            <w:tcW w:w="1119" w:type="pct"/>
            <w:tcBorders>
              <w:top w:val="nil"/>
              <w:left w:val="nil"/>
              <w:bottom w:val="single" w:sz="4" w:space="0" w:color="auto"/>
              <w:right w:val="nil"/>
            </w:tcBorders>
            <w:shd w:val="clear" w:color="000000" w:fill="FFFFFF"/>
            <w:vAlign w:val="center"/>
          </w:tcPr>
          <w:p w:rsidR="00104A12" w:rsidRPr="004D55DA" w:rsidRDefault="00104A12" w:rsidP="007F7964">
            <w:pPr>
              <w:rPr>
                <w:rFonts w:ascii="Arial" w:hAnsi="Arial" w:cs="Arial"/>
                <w:color w:val="000000"/>
                <w:sz w:val="10"/>
                <w:szCs w:val="16"/>
              </w:rPr>
            </w:pPr>
            <w:r w:rsidRPr="004D55DA">
              <w:rPr>
                <w:rFonts w:ascii="Arial" w:hAnsi="Arial" w:cs="Arial"/>
                <w:color w:val="000000"/>
                <w:sz w:val="10"/>
                <w:szCs w:val="16"/>
              </w:rPr>
              <w:t>Produtividade (dependente)</w:t>
            </w:r>
          </w:p>
        </w:tc>
        <w:tc>
          <w:tcPr>
            <w:tcW w:w="242"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12</w:t>
            </w:r>
          </w:p>
        </w:tc>
        <w:tc>
          <w:tcPr>
            <w:tcW w:w="239" w:type="pct"/>
            <w:tcBorders>
              <w:top w:val="nil"/>
              <w:left w:val="nil"/>
              <w:bottom w:val="single" w:sz="4" w:space="0" w:color="auto"/>
              <w:right w:val="nil"/>
            </w:tcBorders>
            <w:shd w:val="clear" w:color="000000" w:fill="FFFFFF"/>
            <w:noWrap/>
            <w:vAlign w:val="center"/>
          </w:tcPr>
          <w:p w:rsidR="00104A12" w:rsidRPr="004D55DA" w:rsidRDefault="00104A12" w:rsidP="007F7964">
            <w:pPr>
              <w:jc w:val="right"/>
              <w:rPr>
                <w:rFonts w:ascii="Arial" w:hAnsi="Arial" w:cs="Arial"/>
                <w:color w:val="000000"/>
                <w:sz w:val="10"/>
                <w:szCs w:val="16"/>
              </w:rPr>
            </w:pPr>
            <w:r w:rsidRPr="004D55DA">
              <w:rPr>
                <w:rFonts w:ascii="Arial" w:hAnsi="Arial" w:cs="Arial"/>
                <w:color w:val="000000"/>
                <w:sz w:val="10"/>
                <w:szCs w:val="16"/>
              </w:rPr>
              <w:t>0.72</w:t>
            </w:r>
          </w:p>
        </w:tc>
        <w:tc>
          <w:tcPr>
            <w:tcW w:w="335" w:type="pct"/>
            <w:tcBorders>
              <w:top w:val="nil"/>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0.47</w:t>
            </w:r>
          </w:p>
        </w:tc>
        <w:tc>
          <w:tcPr>
            <w:tcW w:w="276" w:type="pct"/>
            <w:tcBorders>
              <w:top w:val="nil"/>
              <w:left w:val="nil"/>
              <w:bottom w:val="single" w:sz="4" w:space="0" w:color="auto"/>
              <w:right w:val="single" w:sz="4" w:space="0" w:color="auto"/>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0.60</w:t>
            </w:r>
          </w:p>
        </w:tc>
        <w:tc>
          <w:tcPr>
            <w:tcW w:w="276" w:type="pct"/>
            <w:tcBorders>
              <w:top w:val="nil"/>
              <w:left w:val="single" w:sz="4" w:space="0" w:color="auto"/>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0.29</w:t>
            </w:r>
          </w:p>
        </w:tc>
        <w:tc>
          <w:tcPr>
            <w:tcW w:w="279"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0.30</w:t>
            </w:r>
          </w:p>
        </w:tc>
        <w:tc>
          <w:tcPr>
            <w:tcW w:w="283"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0.32</w:t>
            </w:r>
          </w:p>
        </w:tc>
        <w:tc>
          <w:tcPr>
            <w:tcW w:w="283"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0.31</w:t>
            </w:r>
          </w:p>
        </w:tc>
        <w:tc>
          <w:tcPr>
            <w:tcW w:w="298"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0.37</w:t>
            </w:r>
          </w:p>
        </w:tc>
        <w:tc>
          <w:tcPr>
            <w:tcW w:w="284"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0.28</w:t>
            </w:r>
          </w:p>
        </w:tc>
        <w:tc>
          <w:tcPr>
            <w:tcW w:w="284"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0.32</w:t>
            </w:r>
          </w:p>
        </w:tc>
        <w:tc>
          <w:tcPr>
            <w:tcW w:w="285" w:type="pct"/>
            <w:tcBorders>
              <w:top w:val="nil"/>
              <w:left w:val="nil"/>
              <w:bottom w:val="single" w:sz="4" w:space="0" w:color="auto"/>
              <w:right w:val="nil"/>
            </w:tcBorders>
            <w:shd w:val="clear" w:color="000000" w:fill="FFFFFF"/>
            <w:vAlign w:val="center"/>
          </w:tcPr>
          <w:p w:rsidR="00104A12" w:rsidRPr="004D55DA" w:rsidRDefault="00104A12" w:rsidP="007F7964">
            <w:pPr>
              <w:ind w:firstLineChars="100" w:firstLine="100"/>
              <w:jc w:val="right"/>
              <w:rPr>
                <w:rFonts w:ascii="Arial" w:hAnsi="Arial" w:cs="Arial"/>
                <w:color w:val="000000"/>
                <w:sz w:val="10"/>
                <w:szCs w:val="16"/>
              </w:rPr>
            </w:pPr>
            <w:r w:rsidRPr="004D55DA">
              <w:rPr>
                <w:rFonts w:ascii="Arial" w:hAnsi="Arial" w:cs="Arial"/>
                <w:color w:val="000000"/>
                <w:sz w:val="10"/>
                <w:szCs w:val="16"/>
              </w:rPr>
              <w:t>0.28</w:t>
            </w:r>
          </w:p>
        </w:tc>
        <w:tc>
          <w:tcPr>
            <w:tcW w:w="232" w:type="pct"/>
            <w:tcBorders>
              <w:top w:val="nil"/>
              <w:left w:val="nil"/>
              <w:bottom w:val="single" w:sz="4" w:space="0" w:color="auto"/>
              <w:right w:val="nil"/>
            </w:tcBorders>
            <w:shd w:val="clear" w:color="000000" w:fill="FFFFFF"/>
            <w:vAlign w:val="center"/>
          </w:tcPr>
          <w:p w:rsidR="00104A12" w:rsidRPr="004D55DA" w:rsidRDefault="00104A12" w:rsidP="007F7964">
            <w:pPr>
              <w:ind w:firstLineChars="57" w:firstLine="57"/>
              <w:jc w:val="right"/>
              <w:rPr>
                <w:rFonts w:ascii="Arial" w:hAnsi="Arial" w:cs="Arial"/>
                <w:color w:val="000000"/>
                <w:sz w:val="10"/>
                <w:szCs w:val="16"/>
              </w:rPr>
            </w:pPr>
            <w:r w:rsidRPr="004D55DA">
              <w:rPr>
                <w:rFonts w:ascii="Arial" w:hAnsi="Arial" w:cs="Arial"/>
                <w:color w:val="000000"/>
                <w:sz w:val="10"/>
                <w:szCs w:val="16"/>
              </w:rPr>
              <w:t>0.26</w:t>
            </w:r>
          </w:p>
        </w:tc>
        <w:tc>
          <w:tcPr>
            <w:tcW w:w="286" w:type="pct"/>
            <w:tcBorders>
              <w:top w:val="nil"/>
              <w:left w:val="nil"/>
              <w:bottom w:val="single" w:sz="4" w:space="0" w:color="auto"/>
              <w:right w:val="nil"/>
            </w:tcBorders>
            <w:shd w:val="clear" w:color="000000" w:fill="FFFFFF"/>
            <w:vAlign w:val="center"/>
          </w:tcPr>
          <w:p w:rsidR="00104A12" w:rsidRPr="004D55DA" w:rsidRDefault="00104A12" w:rsidP="007F7964">
            <w:pPr>
              <w:ind w:firstLineChars="57" w:firstLine="57"/>
              <w:jc w:val="right"/>
              <w:rPr>
                <w:rFonts w:ascii="Arial" w:hAnsi="Arial" w:cs="Arial"/>
                <w:color w:val="000000"/>
                <w:sz w:val="10"/>
                <w:szCs w:val="16"/>
              </w:rPr>
            </w:pPr>
            <w:r w:rsidRPr="004D55DA">
              <w:rPr>
                <w:rFonts w:ascii="Arial" w:hAnsi="Arial" w:cs="Arial"/>
                <w:color w:val="000000"/>
                <w:sz w:val="10"/>
                <w:szCs w:val="16"/>
              </w:rPr>
              <w:t>0.85</w:t>
            </w:r>
          </w:p>
        </w:tc>
      </w:tr>
      <w:tr w:rsidR="00104A12" w:rsidRPr="00537B64" w:rsidTr="000719C4">
        <w:trPr>
          <w:trHeight w:val="240"/>
        </w:trPr>
        <w:tc>
          <w:tcPr>
            <w:tcW w:w="1119" w:type="pct"/>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4"/>
                <w:szCs w:val="16"/>
                <w:lang w:val="en-US"/>
              </w:rPr>
            </w:pPr>
            <w:r w:rsidRPr="004D55DA">
              <w:rPr>
                <w:rFonts w:ascii="Arial" w:hAnsi="Arial" w:cs="Arial"/>
                <w:color w:val="000000"/>
                <w:sz w:val="12"/>
                <w:szCs w:val="16"/>
                <w:lang w:val="en-US"/>
              </w:rPr>
              <w:t>Note: SQRT(AVE) in diagonal</w:t>
            </w:r>
          </w:p>
        </w:tc>
        <w:tc>
          <w:tcPr>
            <w:tcW w:w="242" w:type="pct"/>
            <w:tcBorders>
              <w:top w:val="nil"/>
              <w:left w:val="nil"/>
              <w:bottom w:val="nil"/>
              <w:right w:val="nil"/>
            </w:tcBorders>
            <w:noWrap/>
            <w:vAlign w:val="bottom"/>
          </w:tcPr>
          <w:p w:rsidR="00104A12" w:rsidRPr="004D55DA" w:rsidRDefault="00104A12" w:rsidP="007F7964">
            <w:pPr>
              <w:rPr>
                <w:rFonts w:ascii="Calibri" w:hAnsi="Calibri" w:cs="Calibri"/>
                <w:color w:val="000000"/>
                <w:sz w:val="14"/>
                <w:szCs w:val="18"/>
                <w:lang w:val="en-US"/>
              </w:rPr>
            </w:pPr>
          </w:p>
        </w:tc>
        <w:tc>
          <w:tcPr>
            <w:tcW w:w="23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335"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76" w:type="pct"/>
            <w:tcBorders>
              <w:top w:val="nil"/>
              <w:left w:val="nil"/>
              <w:bottom w:val="nil"/>
              <w:right w:val="nil"/>
            </w:tcBorders>
          </w:tcPr>
          <w:p w:rsidR="00104A12" w:rsidRPr="004D55DA" w:rsidRDefault="00104A12" w:rsidP="007F7964">
            <w:pPr>
              <w:rPr>
                <w:rFonts w:ascii="Calibri" w:hAnsi="Calibri" w:cs="Calibri"/>
                <w:color w:val="000000"/>
                <w:sz w:val="18"/>
                <w:szCs w:val="18"/>
                <w:lang w:val="en-US"/>
              </w:rPr>
            </w:pPr>
          </w:p>
        </w:tc>
        <w:tc>
          <w:tcPr>
            <w:tcW w:w="276"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79"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83"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83"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98"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84"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84"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85"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c>
          <w:tcPr>
            <w:tcW w:w="232" w:type="pct"/>
            <w:tcBorders>
              <w:top w:val="nil"/>
              <w:left w:val="nil"/>
              <w:bottom w:val="nil"/>
              <w:right w:val="nil"/>
            </w:tcBorders>
          </w:tcPr>
          <w:p w:rsidR="00104A12" w:rsidRPr="004D55DA" w:rsidRDefault="00104A12" w:rsidP="007F7964">
            <w:pPr>
              <w:rPr>
                <w:rFonts w:ascii="Calibri" w:hAnsi="Calibri" w:cs="Calibri"/>
                <w:color w:val="000000"/>
                <w:sz w:val="18"/>
                <w:szCs w:val="18"/>
                <w:lang w:val="en-US"/>
              </w:rPr>
            </w:pPr>
          </w:p>
        </w:tc>
        <w:tc>
          <w:tcPr>
            <w:tcW w:w="286" w:type="pct"/>
            <w:tcBorders>
              <w:top w:val="nil"/>
              <w:left w:val="nil"/>
              <w:bottom w:val="nil"/>
              <w:right w:val="nil"/>
            </w:tcBorders>
            <w:noWrap/>
            <w:vAlign w:val="bottom"/>
          </w:tcPr>
          <w:p w:rsidR="00104A12" w:rsidRPr="004D55DA" w:rsidRDefault="00104A12" w:rsidP="007F7964">
            <w:pPr>
              <w:rPr>
                <w:rFonts w:ascii="Calibri" w:hAnsi="Calibri" w:cs="Calibri"/>
                <w:color w:val="000000"/>
                <w:sz w:val="18"/>
                <w:szCs w:val="18"/>
                <w:lang w:val="en-US"/>
              </w:rPr>
            </w:pPr>
          </w:p>
        </w:tc>
      </w:tr>
    </w:tbl>
    <w:p w:rsidR="00104A12" w:rsidRPr="004D55DA" w:rsidRDefault="00104A12" w:rsidP="007F7964">
      <w:pPr>
        <w:spacing w:line="360" w:lineRule="auto"/>
        <w:jc w:val="both"/>
        <w:rPr>
          <w:lang w:val="en-US"/>
        </w:rPr>
      </w:pPr>
    </w:p>
    <w:p w:rsidR="00104A12" w:rsidRPr="004D55DA" w:rsidRDefault="00104A12" w:rsidP="007F7964">
      <w:pPr>
        <w:spacing w:line="360" w:lineRule="auto"/>
        <w:jc w:val="both"/>
      </w:pPr>
      <w:r w:rsidRPr="004D55DA">
        <w:t xml:space="preserve">O modelo de medida resultante </w:t>
      </w:r>
      <w:r w:rsidR="0043431A">
        <w:t>não permitem rejeitar</w:t>
      </w:r>
      <w:r w:rsidRPr="004D55DA">
        <w:t xml:space="preserve"> a existência de três variáveis latentes dependentes do Desempenho do terminal de contentores: </w:t>
      </w:r>
      <w:r w:rsidRPr="004D55DA">
        <w:rPr>
          <w:i/>
        </w:rPr>
        <w:t>atividade, produtividade e satisfação do cliente</w:t>
      </w:r>
      <w:r w:rsidRPr="004D55DA">
        <w:t xml:space="preserve">, tendo ainda confirmado a existência de sete variáveis latentes exógenas ou </w:t>
      </w:r>
      <w:r w:rsidR="00136906" w:rsidRPr="004D55DA">
        <w:t>fatores</w:t>
      </w:r>
      <w:r w:rsidRPr="004D55DA">
        <w:t xml:space="preserve"> independentes/explicativos do desempenho: </w:t>
      </w:r>
      <w:r w:rsidRPr="004D55DA">
        <w:rPr>
          <w:i/>
        </w:rPr>
        <w:t>localização na Europa</w:t>
      </w:r>
      <w:r w:rsidRPr="004D55DA">
        <w:t xml:space="preserve"> (“continental position-port”), </w:t>
      </w:r>
      <w:r w:rsidRPr="004D55DA">
        <w:rPr>
          <w:i/>
        </w:rPr>
        <w:t>importância da região, acessibilidades terrestres, dinamismo do porto, acesso marítimo, integração logística e organização do terminal e serviços marítimos do terminal</w:t>
      </w:r>
      <w:r w:rsidRPr="004D55DA">
        <w:t>. Este resultado</w:t>
      </w:r>
      <w:r w:rsidR="000B49EE">
        <w:t xml:space="preserve"> não</w:t>
      </w:r>
      <w:r w:rsidRPr="004D55DA">
        <w:t xml:space="preserve"> permite </w:t>
      </w:r>
      <w:r w:rsidR="000B49EE">
        <w:t>rejeit</w:t>
      </w:r>
      <w:r w:rsidRPr="004D55DA">
        <w:t xml:space="preserve">ar o modelo teórico de investigação considerando a </w:t>
      </w:r>
      <w:r w:rsidR="00136906" w:rsidRPr="004D55DA">
        <w:t>perceção</w:t>
      </w:r>
      <w:r w:rsidRPr="004D55DA">
        <w:t xml:space="preserve"> geral dos utilizadores de terminais da Península Ibérica. </w:t>
      </w:r>
    </w:p>
    <w:p w:rsidR="00104A12" w:rsidRPr="004D55DA" w:rsidRDefault="00104A12" w:rsidP="007F7964">
      <w:pPr>
        <w:spacing w:line="360" w:lineRule="auto"/>
        <w:jc w:val="both"/>
      </w:pPr>
      <w:r w:rsidRPr="004D55DA">
        <w:lastRenderedPageBreak/>
        <w:t>A partir do modelo de medida de equações estruturais, passou-se ao modelo estrutural com relações causais entre as variáveis latentes, com uma latente de segundo nível relativa às características do terminal, explicativa das variáveis dependentes do modelo, com o qual se obtiveram coeficientes explicativos das latentes dependentes com significado (Figura 18). Os resultados do modelo estrutural apontam também para o cumprimento dos critérios de unidimensionalidade (Hair et al., 1998; Tabachnick &amp; Fidell, 2001), com os seguintes indicadores de ajustamento razoável</w:t>
      </w:r>
      <w:r w:rsidR="00136906">
        <w:t xml:space="preserve"> “Goodness-of-fit” </w:t>
      </w:r>
      <w:r w:rsidRPr="004D55DA">
        <w:t xml:space="preserve">(GoF), χ2 574.354; χ2/df 1.404; IFI: 0.908 (&gt;0.9); CFI: 0.905 (&gt;0.9); RMSEA: 0.058 (&lt;0.1). As relações entre a variável latente de segundo nível </w:t>
      </w:r>
      <w:r w:rsidRPr="00136906">
        <w:rPr>
          <w:i/>
        </w:rPr>
        <w:t>Características do Porto e do Terminal</w:t>
      </w:r>
      <w:r w:rsidRPr="004D55DA">
        <w:t xml:space="preserve"> e as latentes exógenas de primeiro nível do modelo reflexivo corresponde</w:t>
      </w:r>
      <w:r w:rsidR="00136906">
        <w:t>m</w:t>
      </w:r>
      <w:r w:rsidRPr="004D55DA">
        <w:t xml:space="preserve"> a afirmar que as segundas são o reflexo de uma variável superior, sendo que os coeficientes elevados nas relações (&gt;0.5) não contribuem para a rejeição desta hipótese.</w:t>
      </w:r>
    </w:p>
    <w:p w:rsidR="00104A12" w:rsidRPr="004D55DA" w:rsidRDefault="00104A12" w:rsidP="007F7964">
      <w:pPr>
        <w:spacing w:line="360" w:lineRule="auto"/>
        <w:jc w:val="both"/>
      </w:pPr>
      <w:r w:rsidRPr="004D55DA">
        <w:t xml:space="preserve">Uma das limitações deste modelo é a reduzida dimensão da amostra, constituída por 122 elementos, face ao elevado número de variáveis, quando nos modelos SEM é considerado adequado um número de observações que seja cerca de 10 vezes o número de variáveis observadas, ou seja, apenas poderíamos ter 12/13 variáveis observadas, quando temos 31 variáveis. Com vista a </w:t>
      </w:r>
      <w:r w:rsidR="000B49EE">
        <w:t>analisar</w:t>
      </w:r>
      <w:r w:rsidRPr="004D55DA">
        <w:t xml:space="preserve"> os resultados respeitando este critério, foi simplificado o modelo mantendo os mesmos constructos, mas ficando apenas com as variáveis observadas que possuem maior importância em cada latente, por forma a cumprir o critério da relação entre a dimensão da amostra e o número de variáveis observadas. Os resultados mantêm a consistência do modelo de latentes, com os seguintes indicadores de bom ajustamento</w:t>
      </w:r>
      <w:r w:rsidR="00136906">
        <w:t xml:space="preserve"> “Goodness-of-fit” </w:t>
      </w:r>
      <w:r w:rsidRPr="004D55DA">
        <w:t>(GoF), χ2 210.215; χ2/df 1.356; IFI: 0.942 (&gt;0.9); CFI: 0.94 (&gt;0.9); RMSEA: 0.054 (&lt;0.1), demonstrando que a dimensão da amostra não afeta as conclusões relativamente à confirmação do modelo de investigação.</w:t>
      </w:r>
    </w:p>
    <w:p w:rsidR="00104A12" w:rsidRPr="004D55DA" w:rsidRDefault="00104A12" w:rsidP="007F7964">
      <w:pPr>
        <w:spacing w:line="360" w:lineRule="auto"/>
        <w:jc w:val="both"/>
      </w:pPr>
    </w:p>
    <w:p w:rsidR="00104A12" w:rsidRPr="004D55DA" w:rsidRDefault="00104A12" w:rsidP="007F7964">
      <w:pPr>
        <w:spacing w:line="360" w:lineRule="auto"/>
        <w:jc w:val="both"/>
        <w:sectPr w:rsidR="00104A12" w:rsidRPr="004D55DA" w:rsidSect="007F7964">
          <w:pgSz w:w="11906" w:h="16838" w:code="9"/>
          <w:pgMar w:top="1418" w:right="1133" w:bottom="1418" w:left="1701" w:header="709" w:footer="709" w:gutter="0"/>
          <w:cols w:space="708"/>
          <w:titlePg/>
          <w:docGrid w:linePitch="360"/>
        </w:sectPr>
      </w:pP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52" w:name="_Toc396134186"/>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22</w:t>
      </w:r>
      <w:r w:rsidR="00372F0E" w:rsidRPr="00D713C2">
        <w:rPr>
          <w:noProof/>
          <w:sz w:val="24"/>
          <w:szCs w:val="24"/>
        </w:rPr>
        <w:fldChar w:fldCharType="end"/>
      </w:r>
      <w:r w:rsidRPr="00D713C2">
        <w:rPr>
          <w:sz w:val="24"/>
          <w:szCs w:val="24"/>
        </w:rPr>
        <w:t xml:space="preserve"> – Modelo SEM final com Desempenho do terminal de contentores</w:t>
      </w:r>
      <w:bookmarkEnd w:id="152"/>
    </w:p>
    <w:p w:rsidR="00104A12" w:rsidRPr="004D55DA" w:rsidRDefault="00104A12" w:rsidP="007F7964">
      <w:pPr>
        <w:spacing w:line="360" w:lineRule="auto"/>
        <w:jc w:val="both"/>
      </w:pPr>
    </w:p>
    <w:p w:rsidR="00104A12" w:rsidRPr="004D55DA" w:rsidRDefault="00BF31C8" w:rsidP="007F7964">
      <w:pPr>
        <w:spacing w:line="360" w:lineRule="auto"/>
        <w:jc w:val="both"/>
      </w:pPr>
      <w:r w:rsidRPr="004D55DA">
        <w:rPr>
          <w:noProof/>
        </w:rPr>
        <w:drawing>
          <wp:inline distT="0" distB="0" distL="0" distR="0" wp14:anchorId="6D43BD1C" wp14:editId="5ABAD05C">
            <wp:extent cx="9016780" cy="3657600"/>
            <wp:effectExtent l="0" t="0" r="0" b="0"/>
            <wp:docPr id="82"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19481" cy="3658696"/>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sectPr w:rsidR="00104A12" w:rsidRPr="004D55DA" w:rsidSect="007F7964">
          <w:pgSz w:w="16838" w:h="11906" w:orient="landscape" w:code="9"/>
          <w:pgMar w:top="1134" w:right="1133" w:bottom="1701" w:left="1701" w:header="709" w:footer="709" w:gutter="0"/>
          <w:cols w:space="708"/>
          <w:titlePg/>
          <w:docGrid w:linePitch="360"/>
        </w:sectPr>
      </w:pPr>
    </w:p>
    <w:p w:rsidR="00104A12" w:rsidRPr="00BE6593" w:rsidRDefault="008C6D33" w:rsidP="00D216EA">
      <w:pPr>
        <w:pStyle w:val="Cabealho2"/>
        <w:ind w:left="0" w:firstLine="0"/>
        <w:rPr>
          <w:sz w:val="24"/>
          <w:szCs w:val="24"/>
          <w:lang w:val="pt-PT"/>
        </w:rPr>
      </w:pPr>
      <w:bookmarkStart w:id="153" w:name="_Toc395730153"/>
      <w:r>
        <w:rPr>
          <w:sz w:val="24"/>
          <w:szCs w:val="24"/>
          <w:lang w:val="pt-PT"/>
        </w:rPr>
        <w:lastRenderedPageBreak/>
        <w:t>Segundo inquérito ou principal</w:t>
      </w:r>
      <w:r w:rsidR="00104A12" w:rsidRPr="00BE6593">
        <w:rPr>
          <w:sz w:val="24"/>
          <w:szCs w:val="24"/>
          <w:lang w:val="pt-PT"/>
        </w:rPr>
        <w:t xml:space="preserve"> – Portugal e Espanha</w:t>
      </w:r>
      <w:bookmarkEnd w:id="153"/>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 segundo inquérito</w:t>
      </w:r>
      <w:r w:rsidR="00FC05CE">
        <w:fldChar w:fldCharType="begin"/>
      </w:r>
      <w:r w:rsidR="00FC05CE">
        <w:instrText xml:space="preserve"> XE "</w:instrText>
      </w:r>
      <w:r w:rsidR="00FC05CE" w:rsidRPr="00547653">
        <w:instrText>segundo inquérito</w:instrText>
      </w:r>
      <w:r w:rsidR="00FC05CE">
        <w:instrText xml:space="preserve">" </w:instrText>
      </w:r>
      <w:r w:rsidR="00FC05CE">
        <w:fldChar w:fldCharType="end"/>
      </w:r>
      <w:r w:rsidRPr="004D55DA">
        <w:t xml:space="preserve"> foi, num a primeira fase, enviado aos utilizadores dos mesmos terminais e portos considerados no primeiro inquérito, em Portugal e Espanha, embora neste caso as questões colocadas se relacionem especificamente com as características e níveis de desempenho percecionados relativamente a um terminal de contentores em concreto, ou seja, cada inquirido respondeu considerando a realidade do terminal de contentores que melhor conhece, selecionando-o à priori antes das respostas a este direcionadas.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Um dos objetivos do primeiro inquérito consistiu em avaliar as variáveis utilizadas para afinar o segundo inquérito, em especial saber as que menor importância têm para os utilizadores e poderiam ser eliminadas, as que possuem entendimentos similares junto dos utilizadores, pelo que poderiam ser integradas numa única variável, bem como as que deviam ser modificadas ou subdivididas em mais que uma variável (ver capítulo 3.2).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do segundo inquérito realizado em Portugal e Espanha</w:t>
      </w:r>
      <w:r w:rsidR="008C6D33">
        <w:t>,</w:t>
      </w:r>
      <w:r w:rsidRPr="004D55DA">
        <w:t xml:space="preserve"> </w:t>
      </w:r>
      <w:r w:rsidR="008C6D33">
        <w:t xml:space="preserve">com </w:t>
      </w:r>
      <m:oMath>
        <m:r>
          <w:rPr>
            <w:rFonts w:ascii="Cambria Math" w:hAnsi="Cambria Math"/>
          </w:rPr>
          <m:t>n=151</m:t>
        </m:r>
      </m:oMath>
      <w:r w:rsidR="008C6D33">
        <w:t>, não permitem rejeitar</w:t>
      </w:r>
      <w:r w:rsidRPr="004D55DA">
        <w:t xml:space="preserve"> a relação entre as características do porto e do terminal e o desempenho do terminal de contentores no que diz respeito à </w:t>
      </w:r>
      <w:r w:rsidR="00136906" w:rsidRPr="004D55DA">
        <w:t>atividade</w:t>
      </w:r>
      <w:r w:rsidRPr="004D55DA">
        <w:t xml:space="preserve"> e satisfação do cliente. </w:t>
      </w:r>
      <w:r w:rsidR="008C6D33">
        <w:t>Não permitem rejeitar</w:t>
      </w:r>
      <w:r w:rsidRPr="004D55DA">
        <w:t xml:space="preserve"> que acessibilidades terrestres, especialização do porto, serviços marítimos e organização e integração logística do terminal, são características com influência no desempenho.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Para quantificar a variável quantitativa do nível de eficiência dos terminais de contentores, foi calculado o indicador DEA, </w:t>
      </w:r>
      <w:r w:rsidR="00E56C1B" w:rsidRPr="004D55DA">
        <w:t>d</w:t>
      </w:r>
      <w:r w:rsidRPr="004D55DA">
        <w:t xml:space="preserve">ata </w:t>
      </w:r>
      <w:r w:rsidR="00E56C1B" w:rsidRPr="004D55DA">
        <w:t>e</w:t>
      </w:r>
      <w:r w:rsidRPr="004D55DA">
        <w:t xml:space="preserve">nvelopment </w:t>
      </w:r>
      <w:r w:rsidR="00E56C1B" w:rsidRPr="004D55DA">
        <w:t>a</w:t>
      </w:r>
      <w:r w:rsidRPr="004D55DA">
        <w:t xml:space="preserve">nalysis (Tabela 19), recorrendo ao modelo que utiliza a variável número de TEU (unidade equivalente de contentores de 20 pés) como output e às variáveis comprimento de cais, número de pórticos de cais e dimensão do terrapleno em metros quadrados, como </w:t>
      </w:r>
      <w:r w:rsidR="00136906" w:rsidRPr="004D55DA">
        <w:t>fatores</w:t>
      </w:r>
      <w:r w:rsidRPr="004D55DA">
        <w:t xml:space="preserve"> produtivos de input, conforme é utilizado por diversos autores de estudos sobre rankings de eficiência dos terminais de contentores (ex. So et al., 2007).</w:t>
      </w: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50397D">
      <w:pPr>
        <w:pStyle w:val="Legenda"/>
        <w:keepNext/>
        <w:ind w:right="3827"/>
        <w:rPr>
          <w:sz w:val="24"/>
          <w:szCs w:val="24"/>
        </w:rPr>
      </w:pPr>
      <w:bookmarkStart w:id="154" w:name="_Toc396134142"/>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19</w:t>
      </w:r>
      <w:r w:rsidR="00372F0E" w:rsidRPr="00D713C2">
        <w:rPr>
          <w:noProof/>
          <w:sz w:val="24"/>
          <w:szCs w:val="24"/>
        </w:rPr>
        <w:fldChar w:fldCharType="end"/>
      </w:r>
      <w:r w:rsidRPr="00D713C2">
        <w:rPr>
          <w:noProof/>
          <w:sz w:val="24"/>
          <w:szCs w:val="24"/>
        </w:rPr>
        <w:t xml:space="preserve"> – Variável endógena </w:t>
      </w:r>
      <w:r w:rsidRPr="00D713C2">
        <w:rPr>
          <w:sz w:val="24"/>
          <w:szCs w:val="24"/>
        </w:rPr>
        <w:t>DEA, 2º inquérito, Portugal e Espanha</w:t>
      </w:r>
      <w:bookmarkEnd w:id="154"/>
    </w:p>
    <w:tbl>
      <w:tblPr>
        <w:tblW w:w="5260" w:type="dxa"/>
        <w:tblCellMar>
          <w:left w:w="0" w:type="dxa"/>
          <w:right w:w="0" w:type="dxa"/>
        </w:tblCellMar>
        <w:tblLook w:val="00A0" w:firstRow="1" w:lastRow="0" w:firstColumn="1" w:lastColumn="0" w:noHBand="0" w:noVBand="0"/>
      </w:tblPr>
      <w:tblGrid>
        <w:gridCol w:w="1320"/>
        <w:gridCol w:w="3940"/>
      </w:tblGrid>
      <w:tr w:rsidR="00104A12" w:rsidRPr="004D55DA" w:rsidTr="00940D4E">
        <w:trPr>
          <w:trHeight w:val="210"/>
        </w:trPr>
        <w:tc>
          <w:tcPr>
            <w:tcW w:w="1320"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 </w:t>
            </w:r>
          </w:p>
        </w:tc>
        <w:tc>
          <w:tcPr>
            <w:tcW w:w="3940"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APMAlgeciras</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1,00</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DPWT</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0,30</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Figueira</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1,00</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Liscont</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0,52</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NCTB</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0,32</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Noatum</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1,00</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Sadoport</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0,15</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TCB</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0,64</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TCL</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0,61</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TCSA</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0,35</w:t>
            </w:r>
          </w:p>
        </w:tc>
      </w:tr>
      <w:tr w:rsidR="00104A12" w:rsidRPr="004D55DA" w:rsidTr="00940D4E">
        <w:trPr>
          <w:trHeight w:val="210"/>
        </w:trPr>
        <w:tc>
          <w:tcPr>
            <w:tcW w:w="0" w:type="auto"/>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TML</w:t>
            </w:r>
          </w:p>
        </w:tc>
        <w:tc>
          <w:tcPr>
            <w:tcW w:w="3940" w:type="dxa"/>
            <w:tcBorders>
              <w:top w:val="nil"/>
              <w:left w:val="nil"/>
              <w:bottom w:val="nil"/>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1,00</w:t>
            </w:r>
          </w:p>
        </w:tc>
      </w:tr>
      <w:tr w:rsidR="00104A12" w:rsidRPr="004D55DA" w:rsidTr="00940D4E">
        <w:trPr>
          <w:trHeight w:val="210"/>
        </w:trPr>
        <w:tc>
          <w:tcPr>
            <w:tcW w:w="0" w:type="auto"/>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XXI</w:t>
            </w:r>
          </w:p>
        </w:tc>
        <w:tc>
          <w:tcPr>
            <w:tcW w:w="3940" w:type="dxa"/>
            <w:tcBorders>
              <w:top w:val="nil"/>
              <w:left w:val="nil"/>
              <w:bottom w:val="single" w:sz="4" w:space="0" w:color="auto"/>
              <w:right w:val="nil"/>
            </w:tcBorders>
            <w:shd w:val="clear" w:color="000000" w:fill="FFFFFF"/>
            <w:noWrap/>
            <w:tcMar>
              <w:top w:w="15" w:type="dxa"/>
              <w:left w:w="15" w:type="dxa"/>
              <w:bottom w:w="0" w:type="dxa"/>
              <w:right w:w="15" w:type="dxa"/>
            </w:tcMar>
            <w:vAlign w:val="bottom"/>
          </w:tcPr>
          <w:p w:rsidR="00104A12" w:rsidRPr="004D55DA" w:rsidRDefault="00104A12" w:rsidP="007F7964">
            <w:pPr>
              <w:jc w:val="right"/>
              <w:rPr>
                <w:rFonts w:ascii="Cambria" w:hAnsi="Cambria" w:cs="Arial"/>
                <w:sz w:val="16"/>
                <w:szCs w:val="16"/>
              </w:rPr>
            </w:pPr>
            <w:r w:rsidRPr="004D55DA">
              <w:rPr>
                <w:rFonts w:ascii="Cambria" w:hAnsi="Cambria" w:cs="Arial"/>
                <w:sz w:val="16"/>
                <w:szCs w:val="16"/>
              </w:rPr>
              <w:t>0,48</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D216EA">
      <w:pPr>
        <w:pStyle w:val="Cabealho3"/>
        <w:ind w:left="0" w:firstLine="0"/>
        <w:rPr>
          <w:sz w:val="24"/>
          <w:szCs w:val="24"/>
          <w:u w:val="none"/>
        </w:rPr>
      </w:pPr>
      <w:bookmarkStart w:id="155" w:name="_Toc374297035"/>
      <w:bookmarkStart w:id="156" w:name="_Toc395292664"/>
      <w:bookmarkStart w:id="157" w:name="_Toc395730154"/>
      <w:r w:rsidRPr="00D713C2">
        <w:rPr>
          <w:sz w:val="24"/>
          <w:szCs w:val="24"/>
          <w:u w:val="none"/>
        </w:rPr>
        <w:t>Análise descritiva</w:t>
      </w:r>
      <w:bookmarkEnd w:id="155"/>
      <w:bookmarkEnd w:id="156"/>
      <w:bookmarkEnd w:id="157"/>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Referem-se na Tabela 20 os resultados do segundo inquérito para os terminais de contentores ibéricos, classificados em termos qualitativos de 1 a 7 (Likert), dos quais se destacam as seguintes variáveis com maiores valores médios:</w:t>
      </w:r>
    </w:p>
    <w:p w:rsidR="00104A12" w:rsidRPr="004D55DA" w:rsidRDefault="00104A12" w:rsidP="00D216EA">
      <w:pPr>
        <w:pStyle w:val="PargrafodaLista"/>
        <w:numPr>
          <w:ilvl w:val="0"/>
          <w:numId w:val="27"/>
        </w:numPr>
        <w:spacing w:line="360" w:lineRule="auto"/>
        <w:ind w:left="0" w:firstLine="0"/>
        <w:jc w:val="both"/>
        <w:rPr>
          <w:i/>
        </w:rPr>
      </w:pPr>
      <w:r w:rsidRPr="004D55DA">
        <w:rPr>
          <w:i/>
        </w:rPr>
        <w:t>terminal com gestão privada;</w:t>
      </w:r>
    </w:p>
    <w:p w:rsidR="00104A12" w:rsidRPr="004D55DA" w:rsidRDefault="00104A12" w:rsidP="00D216EA">
      <w:pPr>
        <w:pStyle w:val="PargrafodaLista"/>
        <w:numPr>
          <w:ilvl w:val="0"/>
          <w:numId w:val="27"/>
        </w:numPr>
        <w:spacing w:line="360" w:lineRule="auto"/>
        <w:ind w:left="0" w:firstLine="0"/>
        <w:jc w:val="both"/>
        <w:rPr>
          <w:i/>
        </w:rPr>
      </w:pPr>
      <w:r w:rsidRPr="004D55DA">
        <w:rPr>
          <w:i/>
        </w:rPr>
        <w:t>contributo para a economia;</w:t>
      </w:r>
    </w:p>
    <w:p w:rsidR="00104A12" w:rsidRPr="004D55DA" w:rsidRDefault="00104A12" w:rsidP="00D216EA">
      <w:pPr>
        <w:pStyle w:val="PargrafodaLista"/>
        <w:numPr>
          <w:ilvl w:val="0"/>
          <w:numId w:val="27"/>
        </w:numPr>
        <w:spacing w:line="360" w:lineRule="auto"/>
        <w:ind w:left="0" w:firstLine="0"/>
        <w:jc w:val="both"/>
        <w:rPr>
          <w:i/>
        </w:rPr>
      </w:pPr>
      <w:r w:rsidRPr="004D55DA">
        <w:rPr>
          <w:i/>
        </w:rPr>
        <w:t>imagem do terminal;</w:t>
      </w:r>
    </w:p>
    <w:p w:rsidR="00104A12" w:rsidRPr="004D55DA" w:rsidRDefault="00104A12" w:rsidP="00D216EA">
      <w:pPr>
        <w:pStyle w:val="PargrafodaLista"/>
        <w:numPr>
          <w:ilvl w:val="0"/>
          <w:numId w:val="27"/>
        </w:numPr>
        <w:spacing w:line="360" w:lineRule="auto"/>
        <w:ind w:left="0" w:firstLine="0"/>
        <w:jc w:val="both"/>
        <w:rPr>
          <w:i/>
        </w:rPr>
      </w:pPr>
      <w:r w:rsidRPr="004D55DA">
        <w:rPr>
          <w:i/>
        </w:rPr>
        <w:t>tempo de espera do navio;</w:t>
      </w:r>
    </w:p>
    <w:p w:rsidR="00104A12" w:rsidRPr="004D55DA" w:rsidRDefault="00104A12" w:rsidP="00D216EA">
      <w:pPr>
        <w:pStyle w:val="PargrafodaLista"/>
        <w:numPr>
          <w:ilvl w:val="0"/>
          <w:numId w:val="27"/>
        </w:numPr>
        <w:spacing w:line="360" w:lineRule="auto"/>
        <w:ind w:left="0" w:firstLine="0"/>
        <w:jc w:val="both"/>
        <w:rPr>
          <w:i/>
        </w:rPr>
      </w:pPr>
      <w:r w:rsidRPr="004D55DA">
        <w:rPr>
          <w:i/>
        </w:rPr>
        <w:t>fiabilidade do terminal;</w:t>
      </w:r>
    </w:p>
    <w:p w:rsidR="00104A12" w:rsidRPr="004D55DA" w:rsidRDefault="00104A12" w:rsidP="00D216EA">
      <w:pPr>
        <w:pStyle w:val="PargrafodaLista"/>
        <w:numPr>
          <w:ilvl w:val="0"/>
          <w:numId w:val="27"/>
        </w:numPr>
        <w:spacing w:line="360" w:lineRule="auto"/>
        <w:ind w:left="0" w:firstLine="0"/>
        <w:jc w:val="both"/>
        <w:rPr>
          <w:i/>
        </w:rPr>
      </w:pPr>
      <w:r w:rsidRPr="004D55DA">
        <w:rPr>
          <w:i/>
        </w:rPr>
        <w:t>organização do terminal;</w:t>
      </w:r>
    </w:p>
    <w:p w:rsidR="00104A12" w:rsidRPr="004D55DA" w:rsidRDefault="00104A12" w:rsidP="00D216EA">
      <w:pPr>
        <w:pStyle w:val="PargrafodaLista"/>
        <w:numPr>
          <w:ilvl w:val="0"/>
          <w:numId w:val="27"/>
        </w:numPr>
        <w:spacing w:line="360" w:lineRule="auto"/>
        <w:ind w:left="0" w:firstLine="0"/>
        <w:jc w:val="both"/>
        <w:rPr>
          <w:i/>
        </w:rPr>
      </w:pPr>
      <w:r w:rsidRPr="004D55DA">
        <w:rPr>
          <w:i/>
        </w:rPr>
        <w:t>tipo de gestor;</w:t>
      </w:r>
    </w:p>
    <w:p w:rsidR="00104A12" w:rsidRPr="004D55DA" w:rsidRDefault="00104A12" w:rsidP="00D216EA">
      <w:pPr>
        <w:pStyle w:val="PargrafodaLista"/>
        <w:numPr>
          <w:ilvl w:val="0"/>
          <w:numId w:val="27"/>
        </w:numPr>
        <w:spacing w:line="360" w:lineRule="auto"/>
        <w:ind w:left="0" w:firstLine="0"/>
        <w:jc w:val="both"/>
        <w:rPr>
          <w:i/>
        </w:rPr>
      </w:pPr>
      <w:r w:rsidRPr="004D55DA">
        <w:rPr>
          <w:i/>
        </w:rPr>
        <w:t>tempo de operação dos navios.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Estas variáveis </w:t>
      </w:r>
      <w:r w:rsidR="00136906" w:rsidRPr="004D55DA">
        <w:t>refletem</w:t>
      </w:r>
      <w:r w:rsidRPr="004D55DA">
        <w:t xml:space="preserve"> a grande importância da governação, organização e tipo de gestão do terminal, bem como os </w:t>
      </w:r>
      <w:r w:rsidR="00136906" w:rsidRPr="004D55DA">
        <w:t>aspetos</w:t>
      </w:r>
      <w:r w:rsidRPr="004D55DA">
        <w:t xml:space="preserve"> ligados à produtividade do serviço ao navio e depois ligados à imagem e fiabilidade do terminal o que vai de encontro às preocupações da literatura. As restantes variáveis quantitativas tiveram boas classificações, sem exceção.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variáveis quantitativas transformadas para a escala de Likert apresentam menores valores médios e maiores desvios padrão, porque existe uma grande diferença quantitativa de </w:t>
      </w:r>
      <w:r w:rsidRPr="004D55DA">
        <w:lastRenderedPageBreak/>
        <w:t>dimensão entre os três grandes portos espanhóis e os portos portugueses, tendo sido utilizada a escala para os diferenciar. É o caso do movimento de contentores, as distâncias quilométricas ao centro da europa, ao Mediterrâneo e a outros portos, o PIB da região, o número de terminais, o comprimento dos cais, as áreas e terraplenos, os equipamentos e pórticos (Figura 23).</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Analisando a distribuição de cada variável pela escala de Likert de 1 a 7 valores (Figura 23), podemos observar que as variáveis recaem sobretudo nos valores 5 e 6, com exceção das variáveis quantitativas transformadas para a escala de Likert (1-7).</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As variáveis quantitativas relacionadas com a localização não são homogéneas, já que refletem dimensões muito diferentes entre si, embora estejam encaixadas no mesmo constructo teórico.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concerne à correlação entre as variáveis, refira-se existir uma forte correlação entre as variáveis qualitativas relativas aos serviços prestados e organização do terminal, o que pode indiciar a existência de uma variável latente com consistência neste caso (ver </w:t>
      </w:r>
      <w:r w:rsidR="00BC3DD5">
        <w:t>Apêndice</w:t>
      </w:r>
      <w:r w:rsidRPr="004D55DA">
        <w:t xml:space="preserve"> 6).</w:t>
      </w: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58" w:name="_Toc396134187"/>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23</w:t>
      </w:r>
      <w:r w:rsidR="00372F0E" w:rsidRPr="00D713C2">
        <w:rPr>
          <w:noProof/>
          <w:sz w:val="24"/>
          <w:szCs w:val="24"/>
        </w:rPr>
        <w:fldChar w:fldCharType="end"/>
      </w:r>
      <w:r w:rsidRPr="00D713C2">
        <w:rPr>
          <w:sz w:val="24"/>
          <w:szCs w:val="24"/>
        </w:rPr>
        <w:t xml:space="preserve"> – Gráfico de frequências</w:t>
      </w:r>
      <w:r w:rsidR="008C6D33" w:rsidRPr="00D713C2">
        <w:rPr>
          <w:sz w:val="24"/>
          <w:szCs w:val="24"/>
        </w:rPr>
        <w:t xml:space="preserve"> para Likert(7)</w:t>
      </w:r>
      <w:r w:rsidRPr="00D713C2">
        <w:rPr>
          <w:sz w:val="24"/>
          <w:szCs w:val="24"/>
        </w:rPr>
        <w:t>, segundo inquérito</w:t>
      </w:r>
      <w:bookmarkEnd w:id="158"/>
    </w:p>
    <w:p w:rsidR="00104A12" w:rsidRPr="004D55DA" w:rsidRDefault="00BF31C8" w:rsidP="007F7964">
      <w:pPr>
        <w:spacing w:line="360" w:lineRule="auto"/>
        <w:jc w:val="both"/>
      </w:pPr>
      <w:r w:rsidRPr="004D55DA">
        <w:rPr>
          <w:noProof/>
        </w:rPr>
        <w:drawing>
          <wp:inline distT="0" distB="0" distL="0" distR="0" wp14:anchorId="4BD8368F" wp14:editId="40B1DD52">
            <wp:extent cx="5054600" cy="8214995"/>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54600" cy="8214995"/>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D713C2" w:rsidRDefault="00104A12" w:rsidP="007F7964">
      <w:pPr>
        <w:pStyle w:val="Legenda"/>
        <w:rPr>
          <w:b w:val="0"/>
          <w:bCs w:val="0"/>
          <w:sz w:val="24"/>
          <w:szCs w:val="24"/>
        </w:rPr>
      </w:pPr>
      <w:bookmarkStart w:id="159" w:name="_Toc396134143"/>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20</w:t>
      </w:r>
      <w:r w:rsidR="00372F0E" w:rsidRPr="00D713C2">
        <w:rPr>
          <w:noProof/>
          <w:sz w:val="24"/>
          <w:szCs w:val="24"/>
        </w:rPr>
        <w:fldChar w:fldCharType="end"/>
      </w:r>
      <w:r w:rsidRPr="00D713C2">
        <w:rPr>
          <w:color w:val="000000"/>
          <w:sz w:val="24"/>
          <w:szCs w:val="24"/>
        </w:rPr>
        <w:t xml:space="preserve"> – Estatística Descritiva, 2º inquérito, Portugal e Espanha</w:t>
      </w:r>
      <w:bookmarkEnd w:id="159"/>
    </w:p>
    <w:tbl>
      <w:tblPr>
        <w:tblW w:w="7446" w:type="dxa"/>
        <w:tblInd w:w="56" w:type="dxa"/>
        <w:tblCellMar>
          <w:left w:w="70" w:type="dxa"/>
          <w:right w:w="70" w:type="dxa"/>
        </w:tblCellMar>
        <w:tblLook w:val="00A0" w:firstRow="1" w:lastRow="0" w:firstColumn="1" w:lastColumn="0" w:noHBand="0" w:noVBand="0"/>
      </w:tblPr>
      <w:tblGrid>
        <w:gridCol w:w="3275"/>
        <w:gridCol w:w="721"/>
        <w:gridCol w:w="740"/>
        <w:gridCol w:w="620"/>
        <w:gridCol w:w="718"/>
        <w:gridCol w:w="727"/>
        <w:gridCol w:w="645"/>
      </w:tblGrid>
      <w:tr w:rsidR="00104A12" w:rsidRPr="004D55DA" w:rsidTr="00DD141C">
        <w:trPr>
          <w:trHeight w:val="180"/>
        </w:trPr>
        <w:tc>
          <w:tcPr>
            <w:tcW w:w="3275" w:type="dxa"/>
            <w:tcBorders>
              <w:top w:val="nil"/>
              <w:left w:val="nil"/>
              <w:bottom w:val="single" w:sz="4" w:space="0" w:color="auto"/>
              <w:right w:val="nil"/>
            </w:tcBorders>
            <w:shd w:val="clear" w:color="000000" w:fill="FFFFFF"/>
            <w:vAlign w:val="center"/>
          </w:tcPr>
          <w:p w:rsidR="00104A12" w:rsidRPr="004D55DA" w:rsidRDefault="00104A12" w:rsidP="007F7964">
            <w:pPr>
              <w:rPr>
                <w:rFonts w:ascii="Cambria" w:hAnsi="Cambria" w:cs="Arial"/>
                <w:color w:val="000000"/>
                <w:sz w:val="14"/>
                <w:szCs w:val="14"/>
              </w:rPr>
            </w:pPr>
          </w:p>
        </w:tc>
        <w:tc>
          <w:tcPr>
            <w:tcW w:w="721"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c>
          <w:tcPr>
            <w:tcW w:w="740"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c>
          <w:tcPr>
            <w:tcW w:w="620"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c>
          <w:tcPr>
            <w:tcW w:w="718"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c>
          <w:tcPr>
            <w:tcW w:w="727"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c>
          <w:tcPr>
            <w:tcW w:w="645"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4"/>
                <w:szCs w:val="14"/>
              </w:rPr>
            </w:pPr>
            <w:r w:rsidRPr="004D55DA">
              <w:rPr>
                <w:rFonts w:ascii="Cambria" w:hAnsi="Cambria" w:cs="Arial"/>
                <w:sz w:val="14"/>
                <w:szCs w:val="14"/>
              </w:rPr>
              <w:t> </w:t>
            </w:r>
          </w:p>
        </w:tc>
      </w:tr>
      <w:tr w:rsidR="00104A12" w:rsidRPr="004D55DA" w:rsidTr="00DD141C">
        <w:trPr>
          <w:trHeight w:val="180"/>
        </w:trPr>
        <w:tc>
          <w:tcPr>
            <w:tcW w:w="3275" w:type="dxa"/>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sz w:val="14"/>
                <w:szCs w:val="14"/>
              </w:rPr>
            </w:pPr>
          </w:p>
        </w:tc>
        <w:tc>
          <w:tcPr>
            <w:tcW w:w="721"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Min</w:t>
            </w:r>
          </w:p>
        </w:tc>
        <w:tc>
          <w:tcPr>
            <w:tcW w:w="74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Max</w:t>
            </w:r>
          </w:p>
        </w:tc>
        <w:tc>
          <w:tcPr>
            <w:tcW w:w="62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727"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Skewness</w:t>
            </w:r>
          </w:p>
        </w:tc>
        <w:tc>
          <w:tcPr>
            <w:tcW w:w="645"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Kurtosis</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Movimento de contentores com “hinterland”</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-,743</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-,080</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Número de contentores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1,838</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1,954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2,568</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Movimento de contentores de transhipment</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1,876</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-1,112</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Produtividade</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1,490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Eficiência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1,697</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,867</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,194</w:t>
            </w:r>
          </w:p>
        </w:tc>
      </w:tr>
      <w:tr w:rsidR="00104A12" w:rsidRPr="004D55DA" w:rsidTr="00DD141C">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Satisfação do dono da carga</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1,145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-,422</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Satisfação do armador</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1,311</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-,592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Satisfação do agente e transitário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-,601</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Contributo para a economia</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1,115</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Distância ao centro portuário da Europa</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1,630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-1,176</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-,447</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Distância ao porto mais próximo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2,029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,526</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-1,221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Distância ao Mar Mediterrâneo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1,842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Proximidade da origem das cargas no “hinterland”</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-,593</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GDP da região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1,812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-1,510</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Acesso marítimo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-,477</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-,799</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Acessibilidades ferroviárias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1,668</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Acessibilidades rodoviárias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-,573</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Comprimento dos cais do porto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2,018</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,430</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Áreas logísticas junto ao porto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1,761</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-,120</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-,986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Número de terminais de contentores no porto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-1,659</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Distância ao mar aberto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-1,082</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Especialização do porto em contentores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1,336</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-,799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,485</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Qualidade dos serviços de reboques e pilotagem</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-,508</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-,063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Dinamismo da Autoridade e Comunidade Portuária</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-,473</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,013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Taxas portuárias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-,752</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Profundidade do cais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1,673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-,244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-,962</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Equipamento de cais e parque</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1,217</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-,608</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-,284</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Frente de cais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1,573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Comprimento de cais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1,673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Área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1,809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1,197</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,275</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Número de pórticos de cais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1,839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,702</w:t>
            </w:r>
          </w:p>
        </w:tc>
      </w:tr>
      <w:tr w:rsidR="00104A12" w:rsidRPr="004D55DA" w:rsidTr="00A603C2">
        <w:trPr>
          <w:trHeight w:val="180"/>
        </w:trPr>
        <w:tc>
          <w:tcPr>
            <w:tcW w:w="3275"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Número de pórticos por metros de cais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1,794</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,691</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-1,026</w:t>
            </w:r>
          </w:p>
        </w:tc>
      </w:tr>
      <w:tr w:rsidR="00104A12" w:rsidRPr="004D55DA" w:rsidTr="00A603C2">
        <w:trPr>
          <w:trHeight w:val="180"/>
        </w:trPr>
        <w:tc>
          <w:tcPr>
            <w:tcW w:w="3275"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Área do parque por metro de cais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2,050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,900</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Largura do terrapleno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Dimensão dos navios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1,682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-,107</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-,875</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Ligações ferroviárias a terminais de 2ªlinha</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-,256</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Agilidade face a alterações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1,358</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-,854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,686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Fiabilidade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-,719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Flexibilidade operacional e comercial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1,324</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Imagem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-,992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1,138</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Integração do terminal nas cadeias logísticas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1,427</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-,284</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4"/>
                <w:szCs w:val="18"/>
              </w:rPr>
            </w:pPr>
            <w:r>
              <w:rPr>
                <w:rFonts w:ascii="Cambria" w:hAnsi="Cambria" w:cs="Arial"/>
                <w:sz w:val="14"/>
                <w:szCs w:val="18"/>
              </w:rPr>
              <w:t>"Layout"</w:t>
            </w:r>
            <w:r w:rsidRPr="004D55DA">
              <w:rPr>
                <w:rFonts w:ascii="Cambria" w:hAnsi="Cambria" w:cs="Arial"/>
                <w:sz w:val="14"/>
                <w:szCs w:val="18"/>
              </w:rPr>
              <w:t xml:space="preserve">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1,218</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-,423</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Organização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-,779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,474</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Terminal gerido por operador do Top10</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2,117</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-1,187</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Frequência de serviços marítimos SSS/feeder</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-,073</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Frequência de linhas Top10</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1,593</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-,727</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Qualidade geral dos serviços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-,069</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Tempo de espera dos navios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1,342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-,755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,286</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Serviços logísticos de valor acrescentado</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1,489</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-,690</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Sistema de informações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1,305</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-,715</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,582</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Tipo de gestor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-,930</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,721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Tempo de operação dos navios</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1,330</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-,958</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,891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Orientação do terminal para o cliente</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-,428</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-,631</w:t>
            </w:r>
          </w:p>
        </w:tc>
      </w:tr>
      <w:tr w:rsidR="00104A12" w:rsidRPr="004D55DA" w:rsidTr="00A603C2">
        <w:trPr>
          <w:trHeight w:val="180"/>
        </w:trPr>
        <w:tc>
          <w:tcPr>
            <w:tcW w:w="3275"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Tarifa de handling do terminal</w:t>
            </w:r>
          </w:p>
        </w:tc>
        <w:tc>
          <w:tcPr>
            <w:tcW w:w="72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nil"/>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1,482</w:t>
            </w:r>
          </w:p>
        </w:tc>
        <w:tc>
          <w:tcPr>
            <w:tcW w:w="72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-,079</w:t>
            </w:r>
          </w:p>
        </w:tc>
        <w:tc>
          <w:tcPr>
            <w:tcW w:w="64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-,630</w:t>
            </w:r>
          </w:p>
        </w:tc>
      </w:tr>
      <w:tr w:rsidR="00104A12" w:rsidRPr="004D55DA" w:rsidTr="00A603C2">
        <w:trPr>
          <w:trHeight w:val="180"/>
        </w:trPr>
        <w:tc>
          <w:tcPr>
            <w:tcW w:w="3275" w:type="dxa"/>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sz w:val="14"/>
                <w:szCs w:val="18"/>
              </w:rPr>
            </w:pPr>
            <w:r w:rsidRPr="004D55DA">
              <w:rPr>
                <w:rFonts w:ascii="Cambria" w:hAnsi="Cambria" w:cs="Arial"/>
                <w:sz w:val="14"/>
                <w:szCs w:val="18"/>
              </w:rPr>
              <w:t>Terminal com gestão privada</w:t>
            </w:r>
          </w:p>
        </w:tc>
        <w:tc>
          <w:tcPr>
            <w:tcW w:w="72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w:t>
            </w:r>
          </w:p>
        </w:tc>
        <w:tc>
          <w:tcPr>
            <w:tcW w:w="7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w:t>
            </w:r>
          </w:p>
        </w:tc>
        <w:tc>
          <w:tcPr>
            <w:tcW w:w="620" w:type="dxa"/>
            <w:tcBorders>
              <w:top w:val="nil"/>
              <w:left w:val="nil"/>
              <w:bottom w:val="single" w:sz="4" w:space="0" w:color="auto"/>
              <w:right w:val="nil"/>
            </w:tcBorders>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5,66</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1,351</w:t>
            </w:r>
          </w:p>
        </w:tc>
        <w:tc>
          <w:tcPr>
            <w:tcW w:w="727"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-1,057</w:t>
            </w:r>
          </w:p>
        </w:tc>
        <w:tc>
          <w:tcPr>
            <w:tcW w:w="64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,939</w:t>
            </w:r>
          </w:p>
        </w:tc>
      </w:tr>
    </w:tbl>
    <w:p w:rsidR="00104A12" w:rsidRPr="004D55DA" w:rsidRDefault="00104A12" w:rsidP="007F7964">
      <w:pPr>
        <w:spacing w:line="360" w:lineRule="auto"/>
        <w:jc w:val="both"/>
        <w:rPr>
          <w:b/>
          <w:bCs/>
          <w:sz w:val="20"/>
          <w:szCs w:val="20"/>
        </w:rPr>
      </w:pPr>
    </w:p>
    <w:p w:rsidR="00104A12" w:rsidRPr="004D55DA" w:rsidRDefault="00104A12" w:rsidP="007F7964">
      <w:r w:rsidRPr="004D55DA">
        <w:br w:type="page"/>
      </w:r>
    </w:p>
    <w:p w:rsidR="00104A12" w:rsidRPr="00D713C2" w:rsidRDefault="00104A12" w:rsidP="00D216EA">
      <w:pPr>
        <w:pStyle w:val="Cabealho3"/>
        <w:ind w:left="0" w:firstLine="0"/>
        <w:rPr>
          <w:sz w:val="24"/>
          <w:szCs w:val="24"/>
          <w:u w:val="none"/>
        </w:rPr>
      </w:pPr>
      <w:bookmarkStart w:id="160" w:name="_Toc374297036"/>
      <w:bookmarkStart w:id="161" w:name="_Toc395292665"/>
      <w:bookmarkStart w:id="162" w:name="_Toc395730155"/>
      <w:r w:rsidRPr="00D713C2">
        <w:rPr>
          <w:sz w:val="24"/>
          <w:szCs w:val="24"/>
          <w:u w:val="none"/>
        </w:rPr>
        <w:lastRenderedPageBreak/>
        <w:t>Análise exploratória</w:t>
      </w:r>
      <w:bookmarkEnd w:id="160"/>
      <w:bookmarkEnd w:id="161"/>
      <w:bookmarkEnd w:id="162"/>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Face ao elevado número de variáveis e com vista a determinar em termos exploratórios a existência de </w:t>
      </w:r>
      <w:r w:rsidR="00136906" w:rsidRPr="004D55DA">
        <w:t>fatores</w:t>
      </w:r>
      <w:r w:rsidRPr="004D55DA">
        <w:t xml:space="preserve"> que englobem diversas variáveis do estudo, recorreu-se à </w:t>
      </w:r>
      <w:r w:rsidR="00D36A58">
        <w:t>análise de componentes principais</w:t>
      </w:r>
      <w:r w:rsidRPr="004D55DA">
        <w:t xml:space="preserve">, que permite a redução do número de </w:t>
      </w:r>
      <w:r w:rsidR="00136906" w:rsidRPr="004D55DA">
        <w:t>fatores</w:t>
      </w:r>
      <w:r w:rsidRPr="004D55DA">
        <w:t xml:space="preserve"> para utilização posterior com a técnica de regressão e de modelos de equações estruturais. Foram verificados os pressupostos da inexistência de “outliers” e da simetria e achatamento das variáveis para as análises fatoriais efetuadas.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Primeiro efetuou-se a </w:t>
      </w:r>
      <w:r w:rsidR="00D36A58">
        <w:t>análise de componentes principais</w:t>
      </w:r>
      <w:r w:rsidRPr="004D55DA">
        <w:t xml:space="preserve"> apenas para as variáveis do constructo </w:t>
      </w:r>
      <w:r w:rsidRPr="004D55DA">
        <w:rPr>
          <w:i/>
        </w:rPr>
        <w:t>desempenho</w:t>
      </w:r>
      <w:r w:rsidRPr="004D55DA">
        <w:t xml:space="preserve"> do modelo especificado no ponto 3.1, recorrendo-se ao método das componentes principais. Foi obtido um valor elevado da estatística KMO de 0,773, ou seja, os resultados são bons, representando os dois </w:t>
      </w:r>
      <w:r w:rsidR="00136906" w:rsidRPr="004D55DA">
        <w:t>fatores</w:t>
      </w:r>
      <w:r w:rsidRPr="004D55DA">
        <w:t xml:space="preserve"> determinados 64,1% da variância (ver </w:t>
      </w:r>
      <w:r w:rsidR="00BC3DD5">
        <w:t>Apêndice</w:t>
      </w:r>
      <w:r w:rsidRPr="004D55DA">
        <w:t xml:space="preserve"> 9).</w:t>
      </w:r>
    </w:p>
    <w:p w:rsidR="00104A12" w:rsidRPr="004D55DA" w:rsidRDefault="00104A12" w:rsidP="007F7964">
      <w:pPr>
        <w:spacing w:line="360" w:lineRule="auto"/>
        <w:jc w:val="both"/>
      </w:pPr>
    </w:p>
    <w:p w:rsidR="00104A12" w:rsidRPr="00D713C2" w:rsidRDefault="00104A12" w:rsidP="0050397D">
      <w:pPr>
        <w:pStyle w:val="Legenda"/>
        <w:keepNext/>
        <w:ind w:right="4252"/>
        <w:rPr>
          <w:sz w:val="24"/>
          <w:szCs w:val="24"/>
        </w:rPr>
      </w:pPr>
      <w:bookmarkStart w:id="163" w:name="_Toc396134144"/>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21</w:t>
      </w:r>
      <w:r w:rsidR="00372F0E" w:rsidRPr="00D713C2">
        <w:rPr>
          <w:noProof/>
          <w:sz w:val="24"/>
          <w:szCs w:val="24"/>
        </w:rPr>
        <w:fldChar w:fldCharType="end"/>
      </w:r>
      <w:r w:rsidRPr="00D713C2">
        <w:rPr>
          <w:noProof/>
          <w:sz w:val="24"/>
          <w:szCs w:val="24"/>
        </w:rPr>
        <w:t xml:space="preserve"> – KMO, 2º inquérito, Portugal e Espanha, PCA, variáveis endógenas</w:t>
      </w:r>
      <w:bookmarkEnd w:id="163"/>
    </w:p>
    <w:tbl>
      <w:tblPr>
        <w:tblW w:w="4835" w:type="dxa"/>
        <w:tblInd w:w="55" w:type="dxa"/>
        <w:tblCellMar>
          <w:left w:w="70" w:type="dxa"/>
          <w:right w:w="70" w:type="dxa"/>
        </w:tblCellMar>
        <w:tblLook w:val="00A0" w:firstRow="1" w:lastRow="0" w:firstColumn="1" w:lastColumn="0" w:noHBand="0" w:noVBand="0"/>
      </w:tblPr>
      <w:tblGrid>
        <w:gridCol w:w="2220"/>
        <w:gridCol w:w="980"/>
        <w:gridCol w:w="1635"/>
      </w:tblGrid>
      <w:tr w:rsidR="00104A12" w:rsidRPr="004D55DA" w:rsidTr="001269FE">
        <w:trPr>
          <w:trHeight w:val="288"/>
        </w:trPr>
        <w:tc>
          <w:tcPr>
            <w:tcW w:w="3200" w:type="dxa"/>
            <w:gridSpan w:val="2"/>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lang w:val="en-US"/>
              </w:rPr>
            </w:pPr>
            <w:r w:rsidRPr="004D55DA">
              <w:rPr>
                <w:rFonts w:ascii="Cambria" w:hAnsi="Cambria" w:cs="Arial"/>
                <w:color w:val="000000"/>
                <w:sz w:val="16"/>
                <w:szCs w:val="16"/>
                <w:lang w:val="en-US"/>
              </w:rPr>
              <w:t xml:space="preserve">Teste Kaiser-Meyer-Olkin </w:t>
            </w:r>
          </w:p>
        </w:tc>
        <w:tc>
          <w:tcPr>
            <w:tcW w:w="1635"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0,773</w:t>
            </w:r>
          </w:p>
        </w:tc>
      </w:tr>
      <w:tr w:rsidR="00104A12" w:rsidRPr="004D55DA" w:rsidTr="00037D20">
        <w:trPr>
          <w:trHeight w:val="456"/>
        </w:trPr>
        <w:tc>
          <w:tcPr>
            <w:tcW w:w="2220" w:type="dxa"/>
            <w:vMerge w:val="restart"/>
            <w:tcBorders>
              <w:top w:val="nil"/>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Teste Bartlett</w:t>
            </w:r>
          </w:p>
        </w:tc>
        <w:tc>
          <w:tcPr>
            <w:tcW w:w="9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chi-quadrado</w:t>
            </w:r>
          </w:p>
        </w:tc>
        <w:tc>
          <w:tcPr>
            <w:tcW w:w="163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696,436</w:t>
            </w:r>
          </w:p>
        </w:tc>
      </w:tr>
      <w:tr w:rsidR="00104A12" w:rsidRPr="004D55DA" w:rsidTr="00037D20">
        <w:trPr>
          <w:trHeight w:val="288"/>
        </w:trPr>
        <w:tc>
          <w:tcPr>
            <w:tcW w:w="222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9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graus de liberdade</w:t>
            </w:r>
          </w:p>
        </w:tc>
        <w:tc>
          <w:tcPr>
            <w:tcW w:w="163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36</w:t>
            </w:r>
          </w:p>
        </w:tc>
      </w:tr>
      <w:tr w:rsidR="00104A12" w:rsidRPr="004D55DA" w:rsidTr="00037D20">
        <w:trPr>
          <w:trHeight w:val="288"/>
        </w:trPr>
        <w:tc>
          <w:tcPr>
            <w:tcW w:w="222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9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p-value</w:t>
            </w:r>
          </w:p>
        </w:tc>
        <w:tc>
          <w:tcPr>
            <w:tcW w:w="163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solução rodada permitiu encontrar as variáveis latentes </w:t>
      </w:r>
      <w:r w:rsidRPr="004D55DA">
        <w:rPr>
          <w:b/>
          <w:i/>
        </w:rPr>
        <w:t>satisfação do cliente</w:t>
      </w:r>
      <w:r w:rsidRPr="004D55DA">
        <w:t xml:space="preserve"> – que inclui variáveis qualitativas como a </w:t>
      </w:r>
      <w:r w:rsidRPr="004D55DA">
        <w:rPr>
          <w:i/>
        </w:rPr>
        <w:t>satisfação do agente, do armador e do dono da carga, bem como a produtividade, o contributo para a economia e o seu movimento de contentores com o “hinterland”</w:t>
      </w:r>
      <w:r w:rsidRPr="004D55DA">
        <w:t xml:space="preserve"> medido pela </w:t>
      </w:r>
      <w:r w:rsidR="00136906" w:rsidRPr="004D55DA">
        <w:t>perceção</w:t>
      </w:r>
      <w:r w:rsidRPr="004D55DA">
        <w:t xml:space="preserve"> dos especialistas entrevistados e a - </w:t>
      </w:r>
      <w:r w:rsidRPr="004D55DA">
        <w:rPr>
          <w:b/>
          <w:i/>
        </w:rPr>
        <w:t>atividade</w:t>
      </w:r>
      <w:r w:rsidRPr="004D55DA">
        <w:rPr>
          <w:rFonts w:ascii="Arial" w:hAnsi="Arial" w:cs="Arial"/>
          <w:b/>
          <w:sz w:val="16"/>
          <w:szCs w:val="16"/>
        </w:rPr>
        <w:t xml:space="preserve"> </w:t>
      </w:r>
      <w:r w:rsidRPr="004D55DA">
        <w:t xml:space="preserve">– que inclui variáveis quantitativas como </w:t>
      </w:r>
      <w:r w:rsidRPr="004D55DA">
        <w:rPr>
          <w:i/>
        </w:rPr>
        <w:t>o número de contentores do movimentado, o movimento de contentores de “transhipment” e a eficiência do terminal</w:t>
      </w:r>
      <w:r w:rsidRPr="004D55DA">
        <w:t xml:space="preserve">, em termos de indicador DEA -, como se pode verificar na Tabela 22, </w:t>
      </w:r>
      <w:r w:rsidR="00732E07">
        <w:t>não permitindo rejeitar</w:t>
      </w:r>
      <w:r w:rsidRPr="004D55DA">
        <w:t xml:space="preserve"> o modelo teórico</w:t>
      </w:r>
      <w:r w:rsidR="0043431A">
        <w:t>, embora ajustado</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w:t>
      </w:r>
      <w:r w:rsidRPr="004D55DA">
        <w:rPr>
          <w:i/>
        </w:rPr>
        <w:t>produtividade e o contributo para a economia</w:t>
      </w:r>
      <w:r w:rsidRPr="004D55DA">
        <w:t xml:space="preserve"> surgem junto à </w:t>
      </w:r>
      <w:r w:rsidRPr="004D55DA">
        <w:rPr>
          <w:i/>
        </w:rPr>
        <w:t>satisfação do cliente</w:t>
      </w:r>
      <w:r w:rsidRPr="004D55DA">
        <w:t xml:space="preserve">, mostrando que estão ligados na realidade, na opinião dos utilizadores, quando pensam em terminais de contentores. É interessante ainda verificar que existe elevada correlação entre o número de contentores movimentados no terminal, o índice de eficiência DEA do terminal e o </w:t>
      </w:r>
      <w:r w:rsidRPr="004D55DA">
        <w:lastRenderedPageBreak/>
        <w:t>número de pórticos dividido pelo comprimento do cais, indicando que a escala de movimento de contentores do terminal possui correlação com a eficiência, medida pelo indicado DEA.</w:t>
      </w:r>
    </w:p>
    <w:p w:rsidR="00104A12" w:rsidRPr="004D55DA" w:rsidRDefault="00104A12" w:rsidP="007F7964"/>
    <w:p w:rsidR="00104A12" w:rsidRPr="00D713C2" w:rsidRDefault="00104A12" w:rsidP="0050397D">
      <w:pPr>
        <w:pStyle w:val="Legenda"/>
        <w:keepNext/>
        <w:ind w:right="1984"/>
        <w:rPr>
          <w:noProof/>
          <w:sz w:val="24"/>
          <w:szCs w:val="24"/>
        </w:rPr>
      </w:pPr>
      <w:bookmarkStart w:id="164" w:name="_Toc396134145"/>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22</w:t>
      </w:r>
      <w:r w:rsidR="00372F0E" w:rsidRPr="00D713C2">
        <w:rPr>
          <w:noProof/>
          <w:sz w:val="24"/>
          <w:szCs w:val="24"/>
        </w:rPr>
        <w:fldChar w:fldCharType="end"/>
      </w:r>
      <w:r w:rsidRPr="00D713C2">
        <w:rPr>
          <w:noProof/>
          <w:sz w:val="24"/>
          <w:szCs w:val="24"/>
        </w:rPr>
        <w:t xml:space="preserve"> - </w:t>
      </w:r>
      <w:r w:rsidRPr="00D713C2">
        <w:rPr>
          <w:color w:val="000000"/>
          <w:sz w:val="24"/>
          <w:szCs w:val="24"/>
        </w:rPr>
        <w:t>Rotated factor Matrix, 2º inq</w:t>
      </w:r>
      <w:r w:rsidR="00FC74C5" w:rsidRPr="00D713C2">
        <w:rPr>
          <w:color w:val="000000"/>
          <w:sz w:val="24"/>
          <w:szCs w:val="24"/>
        </w:rPr>
        <w:t>.</w:t>
      </w:r>
      <w:r w:rsidRPr="00D713C2">
        <w:rPr>
          <w:color w:val="000000"/>
          <w:sz w:val="24"/>
          <w:szCs w:val="24"/>
        </w:rPr>
        <w:t xml:space="preserve">, </w:t>
      </w:r>
      <w:r w:rsidR="00FC74C5" w:rsidRPr="00D713C2">
        <w:rPr>
          <w:color w:val="000000"/>
          <w:sz w:val="24"/>
          <w:szCs w:val="24"/>
        </w:rPr>
        <w:t>PT e ES</w:t>
      </w:r>
      <w:r w:rsidRPr="00D713C2">
        <w:rPr>
          <w:color w:val="000000"/>
          <w:sz w:val="24"/>
          <w:szCs w:val="24"/>
        </w:rPr>
        <w:t>, PCA</w:t>
      </w:r>
      <w:r w:rsidR="0050128A" w:rsidRPr="00D713C2">
        <w:rPr>
          <w:color w:val="000000"/>
          <w:sz w:val="24"/>
          <w:szCs w:val="24"/>
        </w:rPr>
        <w:t>/Varimax</w:t>
      </w:r>
      <w:r w:rsidRPr="00D713C2">
        <w:rPr>
          <w:color w:val="000000"/>
          <w:sz w:val="24"/>
          <w:szCs w:val="24"/>
        </w:rPr>
        <w:t xml:space="preserve">, </w:t>
      </w:r>
      <w:r w:rsidRPr="00D713C2">
        <w:rPr>
          <w:noProof/>
          <w:sz w:val="24"/>
          <w:szCs w:val="24"/>
        </w:rPr>
        <w:t>variáveis endógenas</w:t>
      </w:r>
      <w:bookmarkEnd w:id="164"/>
    </w:p>
    <w:p w:rsidR="00104A12" w:rsidRPr="004D55DA" w:rsidRDefault="00104A12" w:rsidP="007F7964"/>
    <w:tbl>
      <w:tblPr>
        <w:tblW w:w="7076" w:type="dxa"/>
        <w:tblInd w:w="55" w:type="dxa"/>
        <w:tblCellMar>
          <w:left w:w="70" w:type="dxa"/>
          <w:right w:w="70" w:type="dxa"/>
        </w:tblCellMar>
        <w:tblLook w:val="00A0" w:firstRow="1" w:lastRow="0" w:firstColumn="1" w:lastColumn="0" w:noHBand="0" w:noVBand="0"/>
      </w:tblPr>
      <w:tblGrid>
        <w:gridCol w:w="3276"/>
        <w:gridCol w:w="980"/>
        <w:gridCol w:w="960"/>
        <w:gridCol w:w="1860"/>
      </w:tblGrid>
      <w:tr w:rsidR="00104A12" w:rsidRPr="004D55DA" w:rsidTr="00FD03D5">
        <w:trPr>
          <w:trHeight w:val="300"/>
        </w:trPr>
        <w:tc>
          <w:tcPr>
            <w:tcW w:w="3276" w:type="dxa"/>
            <w:tcBorders>
              <w:top w:val="single" w:sz="4" w:space="0" w:color="auto"/>
              <w:left w:val="nil"/>
              <w:bottom w:val="nil"/>
              <w:right w:val="nil"/>
            </w:tcBorders>
            <w:shd w:val="clear" w:color="000000" w:fill="FFFFFF"/>
            <w:vAlign w:val="center"/>
          </w:tcPr>
          <w:p w:rsidR="00104A12" w:rsidRPr="004D55DA" w:rsidRDefault="00104A12" w:rsidP="007F7964">
            <w:pPr>
              <w:rPr>
                <w:rFonts w:ascii="Cambria" w:hAnsi="Cambria" w:cs="Arial"/>
                <w:sz w:val="16"/>
                <w:szCs w:val="16"/>
              </w:rPr>
            </w:pPr>
          </w:p>
        </w:tc>
        <w:tc>
          <w:tcPr>
            <w:tcW w:w="1940" w:type="dxa"/>
            <w:gridSpan w:val="2"/>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Componentes</w:t>
            </w:r>
          </w:p>
        </w:tc>
        <w:tc>
          <w:tcPr>
            <w:tcW w:w="1860"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sz w:val="16"/>
                <w:szCs w:val="16"/>
              </w:rPr>
            </w:pPr>
            <w:r w:rsidRPr="004D55DA">
              <w:rPr>
                <w:rFonts w:ascii="Cambria" w:hAnsi="Cambria" w:cs="Arial"/>
                <w:sz w:val="16"/>
                <w:szCs w:val="16"/>
              </w:rPr>
              <w:t> </w:t>
            </w:r>
          </w:p>
        </w:tc>
      </w:tr>
      <w:tr w:rsidR="00104A12" w:rsidRPr="004D55DA" w:rsidTr="00FD03D5">
        <w:trPr>
          <w:trHeight w:val="288"/>
        </w:trPr>
        <w:tc>
          <w:tcPr>
            <w:tcW w:w="3276"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Variáveis</w:t>
            </w:r>
          </w:p>
        </w:tc>
        <w:tc>
          <w:tcPr>
            <w:tcW w:w="9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w:t>
            </w:r>
          </w:p>
        </w:tc>
        <w:tc>
          <w:tcPr>
            <w:tcW w:w="9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w:t>
            </w:r>
          </w:p>
        </w:tc>
        <w:tc>
          <w:tcPr>
            <w:tcW w:w="18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Variáveis Latentes</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agente e transitário</w:t>
            </w:r>
          </w:p>
        </w:tc>
        <w:tc>
          <w:tcPr>
            <w:tcW w:w="9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,866</w:t>
            </w:r>
          </w:p>
        </w:tc>
        <w:tc>
          <w:tcPr>
            <w:tcW w:w="9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dono da carga</w:t>
            </w:r>
          </w:p>
        </w:tc>
        <w:tc>
          <w:tcPr>
            <w:tcW w:w="9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,861</w:t>
            </w:r>
          </w:p>
        </w:tc>
        <w:tc>
          <w:tcPr>
            <w:tcW w:w="9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armador</w:t>
            </w:r>
          </w:p>
        </w:tc>
        <w:tc>
          <w:tcPr>
            <w:tcW w:w="9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,860</w:t>
            </w:r>
          </w:p>
        </w:tc>
        <w:tc>
          <w:tcPr>
            <w:tcW w:w="9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Satisfação do Cliente</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Produtividade</w:t>
            </w:r>
          </w:p>
        </w:tc>
        <w:tc>
          <w:tcPr>
            <w:tcW w:w="9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,858</w:t>
            </w:r>
          </w:p>
        </w:tc>
        <w:tc>
          <w:tcPr>
            <w:tcW w:w="9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α = 0,861</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Contributo para a economia</w:t>
            </w:r>
          </w:p>
        </w:tc>
        <w:tc>
          <w:tcPr>
            <w:tcW w:w="98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,700</w:t>
            </w:r>
          </w:p>
        </w:tc>
        <w:tc>
          <w:tcPr>
            <w:tcW w:w="9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Movimento de contentores com “hinterland”</w:t>
            </w:r>
          </w:p>
        </w:tc>
        <w:tc>
          <w:tcPr>
            <w:tcW w:w="9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,505</w:t>
            </w:r>
          </w:p>
        </w:tc>
        <w:tc>
          <w:tcPr>
            <w:tcW w:w="9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18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Número de contentores</w:t>
            </w:r>
          </w:p>
        </w:tc>
        <w:tc>
          <w:tcPr>
            <w:tcW w:w="9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96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,921</w:t>
            </w:r>
          </w:p>
        </w:tc>
        <w:tc>
          <w:tcPr>
            <w:tcW w:w="186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FD03D5">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Eficiência do terminal</w:t>
            </w:r>
          </w:p>
        </w:tc>
        <w:tc>
          <w:tcPr>
            <w:tcW w:w="9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9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,890</w:t>
            </w:r>
          </w:p>
        </w:tc>
        <w:tc>
          <w:tcPr>
            <w:tcW w:w="186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Atividade</w:t>
            </w:r>
          </w:p>
        </w:tc>
      </w:tr>
      <w:tr w:rsidR="00104A12" w:rsidRPr="004D55DA" w:rsidTr="00FD03D5">
        <w:trPr>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Movimento de contentores de transhipment</w:t>
            </w:r>
          </w:p>
        </w:tc>
        <w:tc>
          <w:tcPr>
            <w:tcW w:w="98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9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,464</w:t>
            </w:r>
          </w:p>
        </w:tc>
        <w:tc>
          <w:tcPr>
            <w:tcW w:w="186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=0,667</w:t>
            </w:r>
          </w:p>
        </w:tc>
      </w:tr>
    </w:tbl>
    <w:p w:rsidR="00104A12" w:rsidRPr="004D55DA" w:rsidRDefault="00104A12" w:rsidP="007F7964">
      <w:pPr>
        <w:spacing w:line="360" w:lineRule="auto"/>
        <w:jc w:val="both"/>
      </w:pPr>
    </w:p>
    <w:p w:rsidR="00104A12" w:rsidRPr="004D55DA" w:rsidRDefault="00104A12" w:rsidP="007F7964">
      <w:pPr>
        <w:spacing w:line="360" w:lineRule="auto"/>
        <w:jc w:val="both"/>
        <w:rPr>
          <w:rStyle w:val="st"/>
        </w:rPr>
      </w:pPr>
      <w:r w:rsidRPr="004D55DA">
        <w:t xml:space="preserve">Seguidamente, efetuou-se a </w:t>
      </w:r>
      <w:r w:rsidR="00D36A58">
        <w:t>análise de componentes principais</w:t>
      </w:r>
      <w:r w:rsidRPr="004D55DA">
        <w:t xml:space="preserve"> para as variáveis das características do porto e do terminal, recorrendo-se à análise das componentes principais</w:t>
      </w:r>
      <w:r w:rsidRPr="004D55DA">
        <w:rPr>
          <w:rStyle w:val="nfase"/>
          <w:i w:val="0"/>
          <w:iCs/>
        </w:rPr>
        <w:t>, tendo-se eliminado algumas variáveis com menores resultados no sentido de apurar melhor as componentes e a respetiva interpretação de acordo com a teoria</w:t>
      </w:r>
      <w:r w:rsidRPr="004D55DA">
        <w:rPr>
          <w:rStyle w:val="st"/>
        </w:rPr>
        <w:t>.</w:t>
      </w:r>
    </w:p>
    <w:p w:rsidR="00104A12" w:rsidRPr="004D55DA" w:rsidRDefault="00104A12" w:rsidP="007F7964">
      <w:pPr>
        <w:spacing w:line="360" w:lineRule="auto"/>
        <w:jc w:val="both"/>
      </w:pPr>
      <w:r w:rsidRPr="004D55DA">
        <w:t xml:space="preserve">Foi obtido um valor elevado da estatística KMO de 0,751, ou seja, os resultados são igualmente considerados bons, representando os primeiros oito </w:t>
      </w:r>
      <w:r w:rsidR="00136906" w:rsidRPr="004D55DA">
        <w:t>fatores</w:t>
      </w:r>
      <w:r w:rsidRPr="004D55DA">
        <w:t xml:space="preserve"> 77,3% da variância (ver </w:t>
      </w:r>
      <w:r w:rsidR="00BC3DD5">
        <w:t>Apêndice</w:t>
      </w:r>
      <w:r w:rsidRPr="004D55DA">
        <w:t xml:space="preserve"> 10).</w:t>
      </w:r>
    </w:p>
    <w:p w:rsidR="00104A12" w:rsidRPr="004D55DA" w:rsidRDefault="00104A12" w:rsidP="007F7964">
      <w:pPr>
        <w:spacing w:line="360" w:lineRule="auto"/>
        <w:jc w:val="both"/>
      </w:pPr>
    </w:p>
    <w:p w:rsidR="00104A12" w:rsidRPr="00D713C2" w:rsidRDefault="00104A12" w:rsidP="0050397D">
      <w:pPr>
        <w:pStyle w:val="Legenda"/>
        <w:keepNext/>
        <w:ind w:right="3969"/>
        <w:rPr>
          <w:sz w:val="24"/>
          <w:szCs w:val="24"/>
        </w:rPr>
      </w:pPr>
      <w:bookmarkStart w:id="165" w:name="_Toc396134146"/>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23</w:t>
      </w:r>
      <w:r w:rsidR="00372F0E" w:rsidRPr="00D713C2">
        <w:rPr>
          <w:noProof/>
          <w:sz w:val="24"/>
          <w:szCs w:val="24"/>
        </w:rPr>
        <w:fldChar w:fldCharType="end"/>
      </w:r>
      <w:r w:rsidRPr="00D713C2">
        <w:rPr>
          <w:noProof/>
          <w:sz w:val="24"/>
          <w:szCs w:val="24"/>
        </w:rPr>
        <w:t xml:space="preserve"> - KMO, 2º inquérito, Portugal e Espanha, PCA, variáveis exógenas</w:t>
      </w:r>
      <w:bookmarkEnd w:id="165"/>
    </w:p>
    <w:tbl>
      <w:tblPr>
        <w:tblW w:w="5020" w:type="dxa"/>
        <w:tblInd w:w="55" w:type="dxa"/>
        <w:tblCellMar>
          <w:left w:w="70" w:type="dxa"/>
          <w:right w:w="70" w:type="dxa"/>
        </w:tblCellMar>
        <w:tblLook w:val="00A0" w:firstRow="1" w:lastRow="0" w:firstColumn="1" w:lastColumn="0" w:noHBand="0" w:noVBand="0"/>
      </w:tblPr>
      <w:tblGrid>
        <w:gridCol w:w="2660"/>
        <w:gridCol w:w="1400"/>
        <w:gridCol w:w="960"/>
      </w:tblGrid>
      <w:tr w:rsidR="00104A12" w:rsidRPr="004D55DA" w:rsidTr="001269FE">
        <w:trPr>
          <w:trHeight w:val="300"/>
        </w:trPr>
        <w:tc>
          <w:tcPr>
            <w:tcW w:w="4060" w:type="dxa"/>
            <w:gridSpan w:val="2"/>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lang w:val="en-US"/>
              </w:rPr>
            </w:pPr>
            <w:r w:rsidRPr="004D55DA">
              <w:rPr>
                <w:rFonts w:ascii="Cambria" w:hAnsi="Cambria" w:cs="Arial"/>
                <w:color w:val="000000"/>
                <w:sz w:val="16"/>
                <w:szCs w:val="16"/>
                <w:lang w:val="en-US"/>
              </w:rPr>
              <w:t xml:space="preserve">Teste Kaiser-Meyer-Olkin </w:t>
            </w:r>
          </w:p>
        </w:tc>
        <w:tc>
          <w:tcPr>
            <w:tcW w:w="96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0,751</w:t>
            </w:r>
          </w:p>
        </w:tc>
      </w:tr>
      <w:tr w:rsidR="00104A12" w:rsidRPr="004D55DA" w:rsidTr="004C70F6">
        <w:trPr>
          <w:trHeight w:val="468"/>
        </w:trPr>
        <w:tc>
          <w:tcPr>
            <w:tcW w:w="2660" w:type="dxa"/>
            <w:vMerge w:val="restart"/>
            <w:tcBorders>
              <w:top w:val="nil"/>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Teste Bartlett</w:t>
            </w:r>
          </w:p>
        </w:tc>
        <w:tc>
          <w:tcPr>
            <w:tcW w:w="140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chi-quadrado</w:t>
            </w:r>
          </w:p>
        </w:tc>
        <w:tc>
          <w:tcPr>
            <w:tcW w:w="9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7259,541</w:t>
            </w:r>
          </w:p>
        </w:tc>
      </w:tr>
      <w:tr w:rsidR="00104A12" w:rsidRPr="004D55DA" w:rsidTr="004C70F6">
        <w:trPr>
          <w:trHeight w:val="300"/>
        </w:trPr>
        <w:tc>
          <w:tcPr>
            <w:tcW w:w="266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140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graus de liberdade</w:t>
            </w:r>
          </w:p>
        </w:tc>
        <w:tc>
          <w:tcPr>
            <w:tcW w:w="9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703</w:t>
            </w:r>
          </w:p>
        </w:tc>
      </w:tr>
      <w:tr w:rsidR="00104A12" w:rsidRPr="004D55DA" w:rsidTr="004C70F6">
        <w:trPr>
          <w:trHeight w:val="300"/>
        </w:trPr>
        <w:tc>
          <w:tcPr>
            <w:tcW w:w="266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140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p-value</w:t>
            </w:r>
          </w:p>
        </w:tc>
        <w:tc>
          <w:tcPr>
            <w:tcW w:w="9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solução rodada permitiu encontrar as seguintes variáveis latentes (Tabela 24):</w:t>
      </w:r>
    </w:p>
    <w:p w:rsidR="00104A12" w:rsidRPr="004D55DA" w:rsidRDefault="00104A12" w:rsidP="00D216EA">
      <w:pPr>
        <w:pStyle w:val="PargrafodaLista"/>
        <w:numPr>
          <w:ilvl w:val="0"/>
          <w:numId w:val="28"/>
        </w:numPr>
        <w:spacing w:line="360" w:lineRule="auto"/>
        <w:ind w:left="0" w:firstLine="0"/>
        <w:jc w:val="both"/>
      </w:pPr>
      <w:r w:rsidRPr="004D55DA">
        <w:t xml:space="preserve"> </w:t>
      </w:r>
      <w:r w:rsidRPr="004D55DA">
        <w:rPr>
          <w:b/>
          <w:i/>
        </w:rPr>
        <w:t>integração logística e organização do terminal (</w:t>
      </w:r>
      <w:r w:rsidR="00E56C1B" w:rsidRPr="004D55DA">
        <w:rPr>
          <w:b/>
          <w:i/>
        </w:rPr>
        <w:t>“s</w:t>
      </w:r>
      <w:r w:rsidRPr="004D55DA">
        <w:rPr>
          <w:b/>
          <w:i/>
        </w:rPr>
        <w:t xml:space="preserve">oftlogis-terminal e </w:t>
      </w:r>
      <w:r w:rsidR="00E56C1B" w:rsidRPr="004D55DA">
        <w:rPr>
          <w:b/>
          <w:i/>
        </w:rPr>
        <w:t>s</w:t>
      </w:r>
      <w:r w:rsidRPr="004D55DA">
        <w:rPr>
          <w:b/>
          <w:i/>
        </w:rPr>
        <w:t>oftorg-terminal</w:t>
      </w:r>
      <w:r w:rsidR="00E56C1B" w:rsidRPr="004D55DA">
        <w:rPr>
          <w:b/>
          <w:i/>
        </w:rPr>
        <w:t>”</w:t>
      </w:r>
      <w:r w:rsidRPr="004D55DA">
        <w:rPr>
          <w:b/>
          <w:i/>
        </w:rPr>
        <w:t>)</w:t>
      </w:r>
      <w:r w:rsidRPr="004D55DA">
        <w:t xml:space="preserve"> – que inclui variáveis qualitativas relacionadas com a flexibilidade, agilidade e fiabilidade da gestão, tipo de gestão, imagem do terminal, foco no cliente, produtividade de cais, tempo de espera dos navios, qualidade do serviço, sistemas de informação, preço, integração logística e dinâmica do porto;</w:t>
      </w:r>
    </w:p>
    <w:p w:rsidR="00104A12" w:rsidRPr="004D55DA" w:rsidRDefault="00104A12" w:rsidP="00D216EA">
      <w:pPr>
        <w:pStyle w:val="PargrafodaLista"/>
        <w:numPr>
          <w:ilvl w:val="0"/>
          <w:numId w:val="28"/>
        </w:numPr>
        <w:spacing w:line="360" w:lineRule="auto"/>
        <w:ind w:left="0" w:firstLine="0"/>
        <w:jc w:val="both"/>
      </w:pPr>
      <w:r w:rsidRPr="004D55DA">
        <w:rPr>
          <w:b/>
          <w:i/>
        </w:rPr>
        <w:lastRenderedPageBreak/>
        <w:t>infraestrutura do porto/região</w:t>
      </w:r>
      <w:r w:rsidRPr="004D55DA">
        <w:rPr>
          <w:b/>
        </w:rPr>
        <w:t xml:space="preserve"> (</w:t>
      </w:r>
      <w:r w:rsidR="00E56C1B" w:rsidRPr="004D55DA">
        <w:rPr>
          <w:b/>
        </w:rPr>
        <w:t>“h</w:t>
      </w:r>
      <w:r w:rsidRPr="004D55DA">
        <w:rPr>
          <w:b/>
        </w:rPr>
        <w:t>ard-port</w:t>
      </w:r>
      <w:r w:rsidR="00E56C1B" w:rsidRPr="004D55DA">
        <w:rPr>
          <w:b/>
        </w:rPr>
        <w:t>”</w:t>
      </w:r>
      <w:r w:rsidRPr="004D55DA">
        <w:rPr>
          <w:b/>
        </w:rPr>
        <w:t>)</w:t>
      </w:r>
      <w:r w:rsidRPr="004D55DA">
        <w:t xml:space="preserve"> – que inclui as variáveis quantitativas desempenho da região e variáveis ligadas à dimensão do porto, número de terminais concorrentes no porto e proximidade a outros portos e ao mar</w:t>
      </w:r>
      <w:r w:rsidRPr="004D55DA">
        <w:rPr>
          <w:i/>
        </w:rPr>
        <w:t>;</w:t>
      </w:r>
    </w:p>
    <w:p w:rsidR="00104A12" w:rsidRPr="004D55DA" w:rsidRDefault="00104A12" w:rsidP="00D216EA">
      <w:pPr>
        <w:pStyle w:val="PargrafodaLista"/>
        <w:numPr>
          <w:ilvl w:val="0"/>
          <w:numId w:val="28"/>
        </w:numPr>
        <w:spacing w:line="360" w:lineRule="auto"/>
        <w:ind w:left="0" w:firstLine="0"/>
        <w:jc w:val="both"/>
      </w:pPr>
      <w:r w:rsidRPr="004D55DA">
        <w:rPr>
          <w:b/>
          <w:i/>
        </w:rPr>
        <w:t>acessibilidades (</w:t>
      </w:r>
      <w:r w:rsidR="00E56C1B" w:rsidRPr="004D55DA">
        <w:rPr>
          <w:b/>
          <w:i/>
        </w:rPr>
        <w:t>“land h</w:t>
      </w:r>
      <w:r w:rsidRPr="004D55DA">
        <w:rPr>
          <w:b/>
          <w:i/>
        </w:rPr>
        <w:t>ard-terminal</w:t>
      </w:r>
      <w:r w:rsidR="00E56C1B" w:rsidRPr="004D55DA">
        <w:rPr>
          <w:b/>
          <w:i/>
        </w:rPr>
        <w:t>”</w:t>
      </w:r>
      <w:r w:rsidRPr="004D55DA">
        <w:rPr>
          <w:b/>
          <w:i/>
        </w:rPr>
        <w:t>)</w:t>
      </w:r>
      <w:r w:rsidRPr="004D55DA">
        <w:rPr>
          <w:i/>
        </w:rPr>
        <w:t xml:space="preserve"> </w:t>
      </w:r>
      <w:r w:rsidRPr="004D55DA">
        <w:t>– que inclui variáveis qualitativas como as acessibilidades terrestres rodoferroviárias, bem como</w:t>
      </w:r>
      <w:r w:rsidR="00136906">
        <w:t xml:space="preserve"> “layout” </w:t>
      </w:r>
      <w:r w:rsidRPr="004D55DA">
        <w:t>e a largura e</w:t>
      </w:r>
      <w:r w:rsidR="00136906">
        <w:t xml:space="preserve"> “layout” </w:t>
      </w:r>
      <w:r w:rsidRPr="004D55DA">
        <w:t>do terrapleno e as áreas logísticas do porto</w:t>
      </w:r>
    </w:p>
    <w:p w:rsidR="00104A12" w:rsidRPr="004D55DA" w:rsidRDefault="00104A12" w:rsidP="00D216EA">
      <w:pPr>
        <w:pStyle w:val="PargrafodaLista"/>
        <w:numPr>
          <w:ilvl w:val="0"/>
          <w:numId w:val="28"/>
        </w:numPr>
        <w:spacing w:line="360" w:lineRule="auto"/>
        <w:ind w:left="0" w:firstLine="0"/>
        <w:jc w:val="both"/>
      </w:pPr>
      <w:r w:rsidRPr="004D55DA">
        <w:rPr>
          <w:b/>
          <w:i/>
        </w:rPr>
        <w:t>serviços marítimos do terminal</w:t>
      </w:r>
      <w:r w:rsidRPr="004D55DA">
        <w:rPr>
          <w:b/>
        </w:rPr>
        <w:t xml:space="preserve"> (</w:t>
      </w:r>
      <w:r w:rsidR="00E56C1B" w:rsidRPr="004D55DA">
        <w:rPr>
          <w:b/>
        </w:rPr>
        <w:t>“s</w:t>
      </w:r>
      <w:r w:rsidRPr="004D55DA">
        <w:rPr>
          <w:b/>
        </w:rPr>
        <w:t>oftsea-terminal</w:t>
      </w:r>
      <w:r w:rsidR="00E56C1B" w:rsidRPr="004D55DA">
        <w:rPr>
          <w:b/>
        </w:rPr>
        <w:t>”</w:t>
      </w:r>
      <w:r w:rsidRPr="004D55DA">
        <w:rPr>
          <w:b/>
        </w:rPr>
        <w:t>)</w:t>
      </w:r>
      <w:r w:rsidRPr="004D55DA">
        <w:t xml:space="preserve"> – que incluem variáveis quantitativas como as linhas intercontinentais, a participação de armadores na gestão do terminal, a dimensão dos navios e os fundos dos acessos marítimos do porto e do terminal</w:t>
      </w:r>
      <w:r w:rsidRPr="004D55DA">
        <w:rPr>
          <w:i/>
        </w:rPr>
        <w:t>;</w:t>
      </w:r>
    </w:p>
    <w:p w:rsidR="00104A12" w:rsidRPr="004D55DA" w:rsidRDefault="00104A12" w:rsidP="00D216EA">
      <w:pPr>
        <w:pStyle w:val="PargrafodaLista"/>
        <w:numPr>
          <w:ilvl w:val="0"/>
          <w:numId w:val="28"/>
        </w:numPr>
        <w:spacing w:line="360" w:lineRule="auto"/>
        <w:ind w:left="0" w:firstLine="0"/>
        <w:jc w:val="both"/>
      </w:pPr>
      <w:r w:rsidRPr="004D55DA">
        <w:rPr>
          <w:b/>
          <w:i/>
        </w:rPr>
        <w:t xml:space="preserve">infraestrutura do terminal </w:t>
      </w:r>
      <w:r w:rsidRPr="004D55DA">
        <w:rPr>
          <w:b/>
        </w:rPr>
        <w:t>(</w:t>
      </w:r>
      <w:r w:rsidR="00E56C1B" w:rsidRPr="004D55DA">
        <w:rPr>
          <w:b/>
        </w:rPr>
        <w:t>“h</w:t>
      </w:r>
      <w:r w:rsidRPr="004D55DA">
        <w:rPr>
          <w:b/>
        </w:rPr>
        <w:t>ard-terminal</w:t>
      </w:r>
      <w:r w:rsidR="00E56C1B" w:rsidRPr="004D55DA">
        <w:rPr>
          <w:b/>
        </w:rPr>
        <w:t>”</w:t>
      </w:r>
      <w:r w:rsidRPr="004D55DA">
        <w:rPr>
          <w:b/>
        </w:rPr>
        <w:t>)</w:t>
      </w:r>
      <w:r w:rsidRPr="004D55DA">
        <w:t xml:space="preserve"> – que incluem a área do terminal, a dimensão do cais do terminal, o número de pórticos de cais e a proximidade ao centro da Europa;</w:t>
      </w:r>
    </w:p>
    <w:p w:rsidR="00104A12" w:rsidRPr="004D55DA" w:rsidRDefault="00104A12" w:rsidP="00D216EA">
      <w:pPr>
        <w:pStyle w:val="PargrafodaLista"/>
        <w:numPr>
          <w:ilvl w:val="0"/>
          <w:numId w:val="28"/>
        </w:numPr>
        <w:spacing w:line="360" w:lineRule="auto"/>
        <w:ind w:left="0" w:firstLine="0"/>
        <w:jc w:val="both"/>
      </w:pPr>
      <w:r w:rsidRPr="004D55DA">
        <w:rPr>
          <w:b/>
          <w:i/>
        </w:rPr>
        <w:t xml:space="preserve">especialização do porto em contentores </w:t>
      </w:r>
      <w:r w:rsidRPr="004D55DA">
        <w:rPr>
          <w:b/>
        </w:rPr>
        <w:t>(</w:t>
      </w:r>
      <w:r w:rsidR="00E56C1B" w:rsidRPr="004D55DA">
        <w:rPr>
          <w:b/>
        </w:rPr>
        <w:t>“s</w:t>
      </w:r>
      <w:r w:rsidRPr="004D55DA">
        <w:rPr>
          <w:b/>
        </w:rPr>
        <w:t>oft-port</w:t>
      </w:r>
      <w:r w:rsidR="00E56C1B" w:rsidRPr="004D55DA">
        <w:rPr>
          <w:b/>
        </w:rPr>
        <w:t>”</w:t>
      </w:r>
      <w:r w:rsidRPr="004D55DA">
        <w:rPr>
          <w:b/>
        </w:rPr>
        <w:t>)</w:t>
      </w:r>
      <w:r w:rsidRPr="004D55DA">
        <w:t xml:space="preserve"> – que inclui as linhas regulares de curta distância do terminal e a taxa de contentorização do porto;</w:t>
      </w:r>
    </w:p>
    <w:p w:rsidR="00104A12" w:rsidRPr="004D55DA" w:rsidRDefault="00104A12" w:rsidP="00D216EA">
      <w:pPr>
        <w:pStyle w:val="PargrafodaLista"/>
        <w:numPr>
          <w:ilvl w:val="0"/>
          <w:numId w:val="28"/>
        </w:numPr>
        <w:spacing w:line="360" w:lineRule="auto"/>
        <w:ind w:left="0" w:firstLine="0"/>
        <w:jc w:val="both"/>
      </w:pPr>
      <w:r w:rsidRPr="004D55DA">
        <w:rPr>
          <w:b/>
          <w:i/>
        </w:rPr>
        <w:t>governação do terminal</w:t>
      </w:r>
      <w:r w:rsidRPr="004D55DA">
        <w:rPr>
          <w:rFonts w:ascii="Arial" w:hAnsi="Arial" w:cs="Arial"/>
          <w:b/>
          <w:sz w:val="16"/>
          <w:szCs w:val="16"/>
        </w:rPr>
        <w:t xml:space="preserve"> </w:t>
      </w:r>
      <w:r w:rsidRPr="004D55DA">
        <w:rPr>
          <w:b/>
        </w:rPr>
        <w:t>(</w:t>
      </w:r>
      <w:r w:rsidR="00E56C1B" w:rsidRPr="004D55DA">
        <w:rPr>
          <w:b/>
        </w:rPr>
        <w:t>“s</w:t>
      </w:r>
      <w:r w:rsidRPr="004D55DA">
        <w:rPr>
          <w:b/>
        </w:rPr>
        <w:t>oftgov-terminal</w:t>
      </w:r>
      <w:r w:rsidR="00E56C1B" w:rsidRPr="004D55DA">
        <w:rPr>
          <w:b/>
        </w:rPr>
        <w:t>”</w:t>
      </w:r>
      <w:r w:rsidRPr="004D55DA">
        <w:rPr>
          <w:b/>
        </w:rPr>
        <w:t>)</w:t>
      </w:r>
      <w:r w:rsidRPr="004D55DA">
        <w:t xml:space="preserve"> – ou seja se o terminal tem uma gestão privada, como se pode verificar no quadro seguinte. Apesar de surgir isolado, mas diferenciado claramente, no conjunto da </w:t>
      </w:r>
      <w:r w:rsidR="00D36A58">
        <w:t>análise de componentes principais</w:t>
      </w:r>
      <w:r w:rsidRPr="004D55DA">
        <w:t>, com apenas uma variável e aparentemente fora dos constructos determinados, parece prudente analisar a importância explicativa desta variável, face à sua importância na literatura. Este fator deveria ter sido alvo de maior número de questões no inquérito, o que limitou possivelmente o número de variáveis que tem associadas.</w:t>
      </w:r>
    </w:p>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66" w:name="_Toc396134147"/>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24</w:t>
      </w:r>
      <w:r w:rsidR="00372F0E" w:rsidRPr="00D713C2">
        <w:rPr>
          <w:noProof/>
          <w:sz w:val="24"/>
          <w:szCs w:val="24"/>
        </w:rPr>
        <w:fldChar w:fldCharType="end"/>
      </w:r>
      <w:r w:rsidRPr="00D713C2">
        <w:rPr>
          <w:noProof/>
          <w:sz w:val="24"/>
          <w:szCs w:val="24"/>
        </w:rPr>
        <w:t xml:space="preserve"> - </w:t>
      </w:r>
      <w:r w:rsidRPr="00D713C2">
        <w:rPr>
          <w:color w:val="000000"/>
          <w:sz w:val="24"/>
          <w:szCs w:val="24"/>
        </w:rPr>
        <w:t>Rotated Factor Matrix, 2º inq</w:t>
      </w:r>
      <w:r w:rsidR="00FC74C5" w:rsidRPr="00D713C2">
        <w:rPr>
          <w:color w:val="000000"/>
          <w:sz w:val="24"/>
          <w:szCs w:val="24"/>
        </w:rPr>
        <w:t>.</w:t>
      </w:r>
      <w:r w:rsidRPr="00D713C2">
        <w:rPr>
          <w:color w:val="000000"/>
          <w:sz w:val="24"/>
          <w:szCs w:val="24"/>
        </w:rPr>
        <w:t xml:space="preserve">, </w:t>
      </w:r>
      <w:r w:rsidR="00FC74C5" w:rsidRPr="00D713C2">
        <w:rPr>
          <w:color w:val="000000"/>
          <w:sz w:val="24"/>
          <w:szCs w:val="24"/>
        </w:rPr>
        <w:t>PT e ES,</w:t>
      </w:r>
      <w:r w:rsidRPr="00D713C2">
        <w:rPr>
          <w:color w:val="000000"/>
          <w:sz w:val="24"/>
          <w:szCs w:val="24"/>
        </w:rPr>
        <w:t xml:space="preserve"> PCA</w:t>
      </w:r>
      <w:r w:rsidR="0050128A" w:rsidRPr="00D713C2">
        <w:rPr>
          <w:color w:val="000000"/>
          <w:sz w:val="24"/>
          <w:szCs w:val="24"/>
        </w:rPr>
        <w:t>/varimax</w:t>
      </w:r>
      <w:r w:rsidRPr="00D713C2">
        <w:rPr>
          <w:color w:val="000000"/>
          <w:sz w:val="24"/>
          <w:szCs w:val="24"/>
        </w:rPr>
        <w:t xml:space="preserve">, </w:t>
      </w:r>
      <w:r w:rsidRPr="00D713C2">
        <w:rPr>
          <w:noProof/>
          <w:sz w:val="24"/>
          <w:szCs w:val="24"/>
        </w:rPr>
        <w:t>variáveis exógenas</w:t>
      </w:r>
      <w:bookmarkEnd w:id="166"/>
    </w:p>
    <w:tbl>
      <w:tblPr>
        <w:tblW w:w="9220" w:type="dxa"/>
        <w:tblInd w:w="55" w:type="dxa"/>
        <w:tblCellMar>
          <w:left w:w="70" w:type="dxa"/>
          <w:right w:w="70" w:type="dxa"/>
        </w:tblCellMar>
        <w:tblLook w:val="00A0" w:firstRow="1" w:lastRow="0" w:firstColumn="1" w:lastColumn="0" w:noHBand="0" w:noVBand="0"/>
      </w:tblPr>
      <w:tblGrid>
        <w:gridCol w:w="2660"/>
        <w:gridCol w:w="640"/>
        <w:gridCol w:w="640"/>
        <w:gridCol w:w="640"/>
        <w:gridCol w:w="640"/>
        <w:gridCol w:w="640"/>
        <w:gridCol w:w="640"/>
        <w:gridCol w:w="640"/>
        <w:gridCol w:w="2080"/>
      </w:tblGrid>
      <w:tr w:rsidR="00104A12" w:rsidRPr="004D55DA" w:rsidTr="004C70F6">
        <w:trPr>
          <w:trHeight w:val="300"/>
        </w:trPr>
        <w:tc>
          <w:tcPr>
            <w:tcW w:w="2660" w:type="dxa"/>
            <w:tcBorders>
              <w:top w:val="single" w:sz="4" w:space="0" w:color="auto"/>
              <w:left w:val="nil"/>
              <w:bottom w:val="nil"/>
              <w:right w:val="nil"/>
            </w:tcBorders>
            <w:shd w:val="clear" w:color="000000" w:fill="FFFFFF"/>
            <w:vAlign w:val="center"/>
          </w:tcPr>
          <w:p w:rsidR="00104A12" w:rsidRPr="004D55DA" w:rsidRDefault="00104A12" w:rsidP="007F7964">
            <w:pPr>
              <w:rPr>
                <w:rFonts w:ascii="Cambria" w:hAnsi="Cambria" w:cs="Arial"/>
                <w:sz w:val="16"/>
                <w:szCs w:val="16"/>
              </w:rPr>
            </w:pPr>
          </w:p>
        </w:tc>
        <w:tc>
          <w:tcPr>
            <w:tcW w:w="4480" w:type="dxa"/>
            <w:gridSpan w:val="7"/>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Componentes</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Variáveis</w:t>
            </w:r>
          </w:p>
        </w:tc>
      </w:tr>
      <w:tr w:rsidR="00104A12" w:rsidRPr="004D55DA" w:rsidTr="004C70F6">
        <w:trPr>
          <w:trHeight w:val="288"/>
        </w:trPr>
        <w:tc>
          <w:tcPr>
            <w:tcW w:w="26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Variáveis</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6</w:t>
            </w:r>
          </w:p>
        </w:tc>
        <w:tc>
          <w:tcPr>
            <w:tcW w:w="6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7</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Latentes</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Flexibilidade operacional e comercial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,896</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Agilidade face a alterações</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,894</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Fiabilidade do terminal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,866</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Tempo de operação dos navios</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,835</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Imagem do terminal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,810</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Tempo de espera dos navios</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,799</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Qualidade geral dos serviços</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,772</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xml:space="preserve">Integração logística e organização do terminal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Tipo de gestor do terminal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,770</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r w:rsidR="00E56C1B" w:rsidRPr="004D55DA">
              <w:rPr>
                <w:rFonts w:ascii="Cambria" w:hAnsi="Cambria" w:cs="Arial"/>
                <w:sz w:val="16"/>
                <w:szCs w:val="16"/>
              </w:rPr>
              <w:t>(“s</w:t>
            </w:r>
            <w:r w:rsidRPr="004D55DA">
              <w:rPr>
                <w:rFonts w:ascii="Cambria" w:hAnsi="Cambria" w:cs="Arial"/>
                <w:sz w:val="16"/>
                <w:szCs w:val="16"/>
              </w:rPr>
              <w:t xml:space="preserve">oftlogis-terminal e </w:t>
            </w:r>
            <w:r w:rsidR="00E56C1B" w:rsidRPr="004D55DA">
              <w:rPr>
                <w:rFonts w:ascii="Cambria" w:hAnsi="Cambria" w:cs="Arial"/>
                <w:sz w:val="16"/>
                <w:szCs w:val="16"/>
              </w:rPr>
              <w:t>s</w:t>
            </w:r>
            <w:r w:rsidRPr="004D55DA">
              <w:rPr>
                <w:rFonts w:ascii="Cambria" w:hAnsi="Cambria" w:cs="Arial"/>
                <w:sz w:val="16"/>
                <w:szCs w:val="16"/>
              </w:rPr>
              <w:t>oftorg-terminal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Orientação do terminal para o cliente</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,724</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 0,958</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Organização do terminal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,663</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Dinamismo da Autoridade e Comunidade Portuária</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,604</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Sistema de informações</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,596</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Tarifa de handling do terminal</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,595</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Serviços logísticos de valor acrescentado</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,580</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Distância ao mar aberto</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-,915</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PIB da região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-,908</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xml:space="preserve">(-) Infraestrutura do porto/região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Distância ao porto mais próximo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,892</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“h</w:t>
            </w:r>
            <w:r w:rsidRPr="004D55DA">
              <w:rPr>
                <w:rFonts w:ascii="Cambria" w:hAnsi="Cambria" w:cs="Arial"/>
                <w:sz w:val="16"/>
                <w:szCs w:val="16"/>
              </w:rPr>
              <w:t>ard-port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Comprimento dos cais do porto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-,869</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 0,926</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Número de terminais de contentores no porto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-,776</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Área do parque por metro de cais</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,676</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Acessibilidades ferroviárias</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,808</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Ligações ferroviárias a terminais de 2ªlinha</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,712</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Acessibilidades terrestres</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Áreas logísticas junto ao porto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,652</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r w:rsidR="00E56C1B" w:rsidRPr="004D55DA">
              <w:rPr>
                <w:rFonts w:ascii="Cambria" w:hAnsi="Cambria" w:cs="Arial"/>
                <w:sz w:val="16"/>
                <w:szCs w:val="16"/>
              </w:rPr>
              <w:t>“h</w:t>
            </w:r>
            <w:r w:rsidRPr="004D55DA">
              <w:rPr>
                <w:rFonts w:ascii="Cambria" w:hAnsi="Cambria" w:cs="Arial"/>
                <w:sz w:val="16"/>
                <w:szCs w:val="16"/>
              </w:rPr>
              <w:t>ardland-terminal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Acessibilidades rodoviárias</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,634</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 0,880</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Largura do terrapleno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,593</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36906" w:rsidP="007F7964">
            <w:pPr>
              <w:rPr>
                <w:rFonts w:ascii="Cambria" w:hAnsi="Cambria" w:cs="Arial"/>
                <w:color w:val="000000"/>
                <w:sz w:val="16"/>
                <w:szCs w:val="16"/>
              </w:rPr>
            </w:pPr>
            <w:r>
              <w:rPr>
                <w:rFonts w:ascii="Cambria" w:hAnsi="Cambria" w:cs="Arial"/>
                <w:sz w:val="14"/>
                <w:szCs w:val="18"/>
              </w:rPr>
              <w:t>Layout</w:t>
            </w:r>
            <w:r w:rsidR="00104A12" w:rsidRPr="004D55DA">
              <w:rPr>
                <w:rFonts w:ascii="Cambria" w:hAnsi="Cambria" w:cs="Arial"/>
                <w:sz w:val="14"/>
                <w:szCs w:val="18"/>
              </w:rPr>
              <w:t xml:space="preserve"> do terminal</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,562</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Profundidade do cais do terminal</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,787</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Acesso marítimo</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,776</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Serviços marítimos do terminal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Dimensão dos navios</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,769</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“s</w:t>
            </w:r>
            <w:r w:rsidRPr="004D55DA">
              <w:rPr>
                <w:rFonts w:ascii="Cambria" w:hAnsi="Cambria" w:cs="Arial"/>
                <w:sz w:val="16"/>
                <w:szCs w:val="16"/>
              </w:rPr>
              <w:t>oftsea-terminal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Terminal gerido por operador do Top10</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,711</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 0,870</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Frequência de linhas Top10</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,619</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Comprimento de cais</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,881</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xml:space="preserve"> Infraestrutura do terminal </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Número de pórticos de cais</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,859</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w:t>
            </w:r>
            <w:r w:rsidR="00E56C1B" w:rsidRPr="004D55DA">
              <w:rPr>
                <w:rFonts w:ascii="Cambria" w:hAnsi="Cambria" w:cs="Arial"/>
                <w:sz w:val="16"/>
                <w:szCs w:val="16"/>
              </w:rPr>
              <w:t>“h</w:t>
            </w:r>
            <w:r w:rsidRPr="004D55DA">
              <w:rPr>
                <w:rFonts w:ascii="Cambria" w:hAnsi="Cambria" w:cs="Arial"/>
                <w:sz w:val="16"/>
                <w:szCs w:val="16"/>
              </w:rPr>
              <w:t>ardsea-terminal</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4C70F6">
        <w:trPr>
          <w:trHeight w:val="288"/>
        </w:trPr>
        <w:tc>
          <w:tcPr>
            <w:tcW w:w="26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Área do terminal</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,851</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α = 0,897</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Distância ao centro da Europa</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-,741</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EF1158">
        <w:trPr>
          <w:trHeight w:val="288"/>
        </w:trPr>
        <w:tc>
          <w:tcPr>
            <w:tcW w:w="266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Frequência de serviços marítimos SSS/feeder</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,763</w:t>
            </w:r>
          </w:p>
        </w:tc>
        <w:tc>
          <w:tcPr>
            <w:tcW w:w="64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Especialização do porto em contentores (</w:t>
            </w:r>
            <w:r w:rsidR="00E56C1B" w:rsidRPr="004D55DA">
              <w:rPr>
                <w:rFonts w:ascii="Cambria" w:hAnsi="Cambria" w:cs="Arial"/>
                <w:sz w:val="16"/>
                <w:szCs w:val="16"/>
              </w:rPr>
              <w:t>“s</w:t>
            </w:r>
            <w:r w:rsidRPr="004D55DA">
              <w:rPr>
                <w:rFonts w:ascii="Cambria" w:hAnsi="Cambria" w:cs="Arial"/>
                <w:sz w:val="16"/>
                <w:szCs w:val="16"/>
              </w:rPr>
              <w:t>oft-port</w:t>
            </w:r>
            <w:r w:rsidR="00E56C1B" w:rsidRPr="004D55DA">
              <w:rPr>
                <w:rFonts w:ascii="Cambria" w:hAnsi="Cambria" w:cs="Arial"/>
                <w:sz w:val="16"/>
                <w:szCs w:val="16"/>
              </w:rPr>
              <w:t>”</w:t>
            </w:r>
            <w:r w:rsidRPr="004D55DA">
              <w:rPr>
                <w:rFonts w:ascii="Cambria" w:hAnsi="Cambria" w:cs="Arial"/>
                <w:sz w:val="16"/>
                <w:szCs w:val="16"/>
              </w:rPr>
              <w:t>)</w:t>
            </w:r>
          </w:p>
        </w:tc>
      </w:tr>
      <w:tr w:rsidR="00104A12" w:rsidRPr="004D55DA" w:rsidTr="00EF1158">
        <w:trPr>
          <w:trHeight w:val="288"/>
        </w:trPr>
        <w:tc>
          <w:tcPr>
            <w:tcW w:w="26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Especialização do porto em contentores</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,708</w:t>
            </w:r>
          </w:p>
        </w:tc>
        <w:tc>
          <w:tcPr>
            <w:tcW w:w="6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208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 0,697</w:t>
            </w:r>
          </w:p>
        </w:tc>
      </w:tr>
      <w:tr w:rsidR="00104A12" w:rsidRPr="004D55DA" w:rsidTr="00EF1158">
        <w:trPr>
          <w:trHeight w:val="288"/>
        </w:trPr>
        <w:tc>
          <w:tcPr>
            <w:tcW w:w="266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8"/>
              </w:rPr>
              <w:t>Terminal com gestão privada</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 </w:t>
            </w:r>
          </w:p>
        </w:tc>
        <w:tc>
          <w:tcPr>
            <w:tcW w:w="640" w:type="dxa"/>
            <w:tcBorders>
              <w:top w:val="single" w:sz="4" w:space="0" w:color="auto"/>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,566</w:t>
            </w:r>
          </w:p>
        </w:tc>
        <w:tc>
          <w:tcPr>
            <w:tcW w:w="2080" w:type="dxa"/>
            <w:tcBorders>
              <w:top w:val="single" w:sz="4" w:space="0" w:color="auto"/>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Governação do terminal (</w:t>
            </w:r>
            <w:r w:rsidR="00E56C1B" w:rsidRPr="004D55DA">
              <w:rPr>
                <w:rFonts w:ascii="Cambria" w:hAnsi="Cambria" w:cs="Arial"/>
                <w:sz w:val="16"/>
                <w:szCs w:val="16"/>
              </w:rPr>
              <w:t>“s</w:t>
            </w:r>
            <w:r w:rsidRPr="004D55DA">
              <w:rPr>
                <w:rFonts w:ascii="Cambria" w:hAnsi="Cambria" w:cs="Arial"/>
                <w:sz w:val="16"/>
                <w:szCs w:val="16"/>
              </w:rPr>
              <w:t>oftgov-terminal</w:t>
            </w:r>
            <w:r w:rsidR="00E56C1B" w:rsidRPr="004D55DA">
              <w:rPr>
                <w:rFonts w:ascii="Cambria" w:hAnsi="Cambria" w:cs="Arial"/>
                <w:sz w:val="16"/>
                <w:szCs w:val="16"/>
              </w:rPr>
              <w:t>”</w:t>
            </w:r>
            <w:r w:rsidRPr="004D55DA">
              <w:rPr>
                <w:rFonts w:ascii="Cambria" w:hAnsi="Cambria" w:cs="Arial"/>
                <w:sz w:val="16"/>
                <w:szCs w:val="16"/>
              </w:rPr>
              <w:t>)</w:t>
            </w:r>
          </w:p>
        </w:tc>
      </w:tr>
    </w:tbl>
    <w:p w:rsidR="00104A12" w:rsidRPr="004D55DA" w:rsidRDefault="00104A12" w:rsidP="007F7964">
      <w:pPr>
        <w:spacing w:line="360" w:lineRule="auto"/>
        <w:jc w:val="both"/>
      </w:pPr>
    </w:p>
    <w:p w:rsidR="00104A12" w:rsidRPr="004D55DA" w:rsidRDefault="00104A12" w:rsidP="007F7964">
      <w:r w:rsidRPr="004D55DA">
        <w:br w:type="page"/>
      </w:r>
    </w:p>
    <w:p w:rsidR="00104A12" w:rsidRPr="00D713C2" w:rsidRDefault="00104A12" w:rsidP="00D216EA">
      <w:pPr>
        <w:pStyle w:val="Cabealho3"/>
        <w:ind w:left="0" w:firstLine="0"/>
        <w:rPr>
          <w:sz w:val="24"/>
          <w:szCs w:val="24"/>
          <w:u w:val="none"/>
          <w:lang w:val="pt-PT"/>
        </w:rPr>
      </w:pPr>
      <w:bookmarkStart w:id="167" w:name="_Toc374297037"/>
      <w:bookmarkStart w:id="168" w:name="_Toc395292666"/>
      <w:bookmarkStart w:id="169" w:name="_Toc395730156"/>
      <w:r w:rsidRPr="00D713C2">
        <w:rPr>
          <w:sz w:val="24"/>
          <w:szCs w:val="24"/>
          <w:u w:val="none"/>
          <w:lang w:val="pt-PT"/>
        </w:rPr>
        <w:lastRenderedPageBreak/>
        <w:t>Determinantes latentes do desempenho do terminal</w:t>
      </w:r>
      <w:bookmarkEnd w:id="167"/>
      <w:bookmarkEnd w:id="168"/>
      <w:bookmarkEnd w:id="169"/>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 base nos resultados da </w:t>
      </w:r>
      <w:r w:rsidR="00D36A58">
        <w:t>análise de componentes principais</w:t>
      </w:r>
      <w:r w:rsidRPr="004D55DA">
        <w:t xml:space="preserve"> efetuada e para cada uma das variáveis latentes dependentes relativas ao desempenho do terminal de contentores encontradas (</w:t>
      </w:r>
      <w:r w:rsidRPr="004D55DA">
        <w:rPr>
          <w:i/>
        </w:rPr>
        <w:t>satisfação do cliente e atividade</w:t>
      </w:r>
      <w:r w:rsidRPr="004D55DA">
        <w:t xml:space="preserve">), procedeu-se à análise da significância e dos coeficientes dos </w:t>
      </w:r>
      <w:r w:rsidR="00136906" w:rsidRPr="004D55DA">
        <w:t>fatores</w:t>
      </w:r>
      <w:r w:rsidRPr="004D55DA">
        <w:t xml:space="preserve"> latentes explicativos, resultantes da </w:t>
      </w:r>
      <w:r w:rsidR="00D36A58">
        <w:t>análise de componentes principais</w:t>
      </w:r>
      <w:r w:rsidRPr="004D55DA">
        <w:t>, e que resumem as características do porto e do terminal e determinam ou influenciam o desempenho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Não foi possível utilizar diretamente as variáveis qualitativas/ordinais independentes com a metodologia de regressão ordinal devido à grande quantidades de variáveis com forte correlação entre si, tendo-se verificado existirem problemas de multicolinearidade existente, tornando a sua aplicação confusa e desprovida de sentido. Não existindo informação na literatura que permita selecionar variáveis representativas dos constructos latentes, eliminando as variáveis correlacionadas, uma vez que se poderia perder informação relevante, optou-se por não utilizar a metodologia da regressão ordinal.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Recorreu-se assim à técnica da regressão linear utilizando os valores dos </w:t>
      </w:r>
      <w:r w:rsidR="00136906" w:rsidRPr="004D55DA">
        <w:t>fatores</w:t>
      </w:r>
      <w:r w:rsidRPr="004D55DA">
        <w:t xml:space="preserve"> ou variáveis latentes determinadas na </w:t>
      </w:r>
      <w:r w:rsidR="00D36A58">
        <w:t>análise de componentes principais</w:t>
      </w:r>
      <w:r w:rsidRPr="004D55DA">
        <w:t>, para cada observação (“scores”), que são representados por variáveis contínuas ortogonais, já não passíveis de utilização da regressão ordinal.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Procedeu-se à análise para cada uma das variáveis dependentes do desempenho do terminal - </w:t>
      </w:r>
      <w:r w:rsidRPr="004D55DA">
        <w:rPr>
          <w:i/>
        </w:rPr>
        <w:t>satisfação do cliente</w:t>
      </w:r>
      <w:r w:rsidRPr="004D55DA">
        <w:t xml:space="preserve"> e a</w:t>
      </w:r>
      <w:r w:rsidRPr="004D55DA">
        <w:rPr>
          <w:i/>
        </w:rPr>
        <w:t>tividade -</w:t>
      </w:r>
      <w:r w:rsidRPr="004D55DA">
        <w:t xml:space="preserve"> testando-se a influência dos </w:t>
      </w:r>
      <w:r w:rsidR="00136906" w:rsidRPr="004D55DA">
        <w:t>fatores</w:t>
      </w:r>
      <w:r w:rsidRPr="004D55DA">
        <w:t xml:space="preserve"> latentes explicativos ou independentes encontrados. Verifica-se que é possível explicar parte do comportamento das variáveis de desempenho com base nos </w:t>
      </w:r>
      <w:r w:rsidR="00136906" w:rsidRPr="004D55DA">
        <w:t>fatores</w:t>
      </w:r>
      <w:r w:rsidRPr="004D55DA">
        <w:t xml:space="preserve"> utilizados. Na Tabela 25 encontram-se descritas as variáveis latentes resultantes da </w:t>
      </w:r>
      <w:r w:rsidR="00D36A58">
        <w:t>análise de componentes principais</w:t>
      </w:r>
      <w:r w:rsidRPr="004D55DA">
        <w:t xml:space="preserve"> anterior, utilizadas nestas regressões como variáveis dependentes.</w:t>
      </w: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70" w:name="_Toc396134148"/>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25</w:t>
      </w:r>
      <w:r w:rsidR="00372F0E" w:rsidRPr="00D713C2">
        <w:rPr>
          <w:noProof/>
          <w:sz w:val="24"/>
          <w:szCs w:val="24"/>
        </w:rPr>
        <w:fldChar w:fldCharType="end"/>
      </w:r>
      <w:r w:rsidRPr="00D713C2">
        <w:rPr>
          <w:sz w:val="24"/>
          <w:szCs w:val="24"/>
        </w:rPr>
        <w:t xml:space="preserve"> – Estatística descrita, 2º inquérito, Portugal e Espanha (OLS)</w:t>
      </w:r>
      <w:bookmarkEnd w:id="170"/>
    </w:p>
    <w:tbl>
      <w:tblPr>
        <w:tblW w:w="4730" w:type="pct"/>
        <w:tblCellMar>
          <w:left w:w="70" w:type="dxa"/>
          <w:right w:w="70" w:type="dxa"/>
        </w:tblCellMar>
        <w:tblLook w:val="00A0" w:firstRow="1" w:lastRow="0" w:firstColumn="1" w:lastColumn="0" w:noHBand="0" w:noVBand="0"/>
      </w:tblPr>
      <w:tblGrid>
        <w:gridCol w:w="3756"/>
        <w:gridCol w:w="565"/>
        <w:gridCol w:w="581"/>
        <w:gridCol w:w="528"/>
        <w:gridCol w:w="441"/>
        <w:gridCol w:w="516"/>
        <w:gridCol w:w="800"/>
        <w:gridCol w:w="811"/>
        <w:gridCol w:w="717"/>
      </w:tblGrid>
      <w:tr w:rsidR="00104A12" w:rsidRPr="004D55DA" w:rsidTr="00AE7B14">
        <w:trPr>
          <w:trHeight w:val="540"/>
        </w:trPr>
        <w:tc>
          <w:tcPr>
            <w:tcW w:w="2155" w:type="pct"/>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sz w:val="16"/>
                <w:szCs w:val="16"/>
              </w:rPr>
            </w:pPr>
          </w:p>
        </w:tc>
        <w:tc>
          <w:tcPr>
            <w:tcW w:w="324"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Range</w:t>
            </w:r>
          </w:p>
        </w:tc>
        <w:tc>
          <w:tcPr>
            <w:tcW w:w="333"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Min</w:t>
            </w:r>
          </w:p>
        </w:tc>
        <w:tc>
          <w:tcPr>
            <w:tcW w:w="303"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Max</w:t>
            </w:r>
          </w:p>
        </w:tc>
        <w:tc>
          <w:tcPr>
            <w:tcW w:w="253"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Sum</w:t>
            </w:r>
          </w:p>
        </w:tc>
        <w:tc>
          <w:tcPr>
            <w:tcW w:w="296"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459"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w:t>
            </w:r>
          </w:p>
        </w:tc>
        <w:tc>
          <w:tcPr>
            <w:tcW w:w="465"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Skewness</w:t>
            </w:r>
          </w:p>
        </w:tc>
        <w:tc>
          <w:tcPr>
            <w:tcW w:w="411"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Kurtosis</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6,544</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-4,282</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2,262</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-,924</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2,068</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Infraestrutura do porto/região </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3,151</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-1,496</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1,656</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,221</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-1,429</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6,690</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-2,598</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4,092</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,353</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,998</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4,848</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-2,752</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2,097</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-,119</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,087</w:t>
            </w:r>
          </w:p>
        </w:tc>
      </w:tr>
      <w:tr w:rsidR="00104A12" w:rsidRPr="004D55DA" w:rsidTr="00AE7B14">
        <w:trPr>
          <w:trHeight w:val="288"/>
        </w:trPr>
        <w:tc>
          <w:tcPr>
            <w:tcW w:w="2155" w:type="pct"/>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Infraestrutura do terminal</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3,948</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-1,305</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2,642</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1,267</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,431</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Especialização do porto em contentores</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6,080</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-3,749</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2,332</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-,570</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,609</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Governação do terminal</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6,523</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-3,466</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3,057</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,248</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1,917</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4,668</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-2,663</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2,006</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-,440</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-,470</w:t>
            </w:r>
          </w:p>
        </w:tc>
      </w:tr>
      <w:tr w:rsidR="00104A12" w:rsidRPr="004D55DA" w:rsidTr="00AE7B14">
        <w:trPr>
          <w:trHeight w:val="288"/>
        </w:trPr>
        <w:tc>
          <w:tcPr>
            <w:tcW w:w="2155"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Atividade</w:t>
            </w:r>
          </w:p>
        </w:tc>
        <w:tc>
          <w:tcPr>
            <w:tcW w:w="32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4,427</w:t>
            </w:r>
          </w:p>
        </w:tc>
        <w:tc>
          <w:tcPr>
            <w:tcW w:w="33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-1,398</w:t>
            </w:r>
          </w:p>
        </w:tc>
        <w:tc>
          <w:tcPr>
            <w:tcW w:w="30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3,029</w:t>
            </w:r>
          </w:p>
        </w:tc>
        <w:tc>
          <w:tcPr>
            <w:tcW w:w="253"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296"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w:t>
            </w:r>
          </w:p>
        </w:tc>
        <w:tc>
          <w:tcPr>
            <w:tcW w:w="45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w:t>
            </w:r>
          </w:p>
        </w:tc>
        <w:tc>
          <w:tcPr>
            <w:tcW w:w="465"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1,528</w:t>
            </w:r>
          </w:p>
        </w:tc>
        <w:tc>
          <w:tcPr>
            <w:tcW w:w="411"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1,948</w:t>
            </w:r>
          </w:p>
        </w:tc>
      </w:tr>
      <w:tr w:rsidR="00104A12" w:rsidRPr="004D55DA" w:rsidTr="00AE7B14">
        <w:trPr>
          <w:trHeight w:val="288"/>
        </w:trPr>
        <w:tc>
          <w:tcPr>
            <w:tcW w:w="2155" w:type="pct"/>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Valid N </w:t>
            </w:r>
          </w:p>
        </w:tc>
        <w:tc>
          <w:tcPr>
            <w:tcW w:w="324"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33"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03"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253"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296"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459"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465"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411"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151</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Satisfação do Cliente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Foi testado, através de regressão com o método dos mínimos quadrados, o seguinte modelo explicativo da </w:t>
      </w:r>
      <w:r w:rsidRPr="004D55DA">
        <w:rPr>
          <w:i/>
        </w:rPr>
        <w:t>satisfação do cliente</w:t>
      </w:r>
      <w:r w:rsidRPr="004D55DA">
        <w:t xml:space="preserve">, com base nas variáveis latentes resultantes da </w:t>
      </w:r>
      <w:r w:rsidR="00D36A58">
        <w:t>análise de componentes principais</w:t>
      </w:r>
      <w:r w:rsidRPr="004D55DA">
        <w:t>, descritas na tabela 25,</w:t>
      </w:r>
      <w:r w:rsidRPr="004D55DA">
        <w:rPr>
          <w:i/>
        </w:rPr>
        <w:t xml:space="preserve"> integração logística e organização do terminal, infraestrutura do porto/região, acessibilidades terrestres, serviços marítimos do terminal infraestrutura do terminal, especialização do porto em contentores e governação do terminal.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dependente </w:t>
      </w:r>
      <w:r w:rsidRPr="004D55DA">
        <w:rPr>
          <w:i/>
        </w:rPr>
        <w:t>satisfação do cliente</w:t>
      </w:r>
      <w:r w:rsidRPr="004D55DA">
        <w:t xml:space="preserve"> é explicada (R</w:t>
      </w:r>
      <w:r w:rsidRPr="004D55DA">
        <w:rPr>
          <w:vertAlign w:val="superscript"/>
        </w:rPr>
        <w:t>2</w:t>
      </w:r>
      <w:r w:rsidRPr="004D55DA">
        <w:t xml:space="preserve">=0,7046) pelas variáveis estatisticamente mais significativas </w:t>
      </w:r>
      <w:r w:rsidRPr="004D55DA">
        <w:rPr>
          <w:i/>
        </w:rPr>
        <w:t>integração logística e organização do terminal, acessibilidades terrestres,</w:t>
      </w:r>
      <w:r w:rsidRPr="004D55DA">
        <w:t xml:space="preserve"> </w:t>
      </w:r>
      <w:r w:rsidRPr="004D55DA">
        <w:rPr>
          <w:i/>
        </w:rPr>
        <w:t xml:space="preserve">serviços marítimos do terminal, infraestrutura do terminal </w:t>
      </w:r>
      <w:r w:rsidRPr="004D55DA">
        <w:t>(neste caso com sinal contrário ao esperado)</w:t>
      </w:r>
      <w:r w:rsidRPr="004D55DA">
        <w:rPr>
          <w:i/>
        </w:rPr>
        <w:t xml:space="preserve"> </w:t>
      </w:r>
      <w:r w:rsidRPr="004D55DA">
        <w:t xml:space="preserve">e </w:t>
      </w:r>
      <w:r w:rsidRPr="004D55DA">
        <w:rPr>
          <w:i/>
        </w:rPr>
        <w:t xml:space="preserve">especialização do porto em contentores </w:t>
      </w:r>
      <w:r w:rsidRPr="004D55DA">
        <w:t>(Tabela 26</w:t>
      </w:r>
      <w:r w:rsidRPr="004D55DA">
        <w:rPr>
          <w:i/>
        </w:rPr>
        <w:t>)</w:t>
      </w:r>
      <w:r w:rsidRPr="004D55DA">
        <w:t xml:space="preserve">. Ou seja, quanto maior o grau de integração do terminais nas cadeias logísticas, quanto melhor a organização do terminal e mais orientada para o cliente, quanto melhores as </w:t>
      </w:r>
      <w:r w:rsidRPr="004D55DA">
        <w:rPr>
          <w:i/>
        </w:rPr>
        <w:t>acessibilidades terrestres</w:t>
      </w:r>
      <w:r w:rsidRPr="004D55DA">
        <w:t xml:space="preserve"> do porto e do terminal, quanto melhores os </w:t>
      </w:r>
      <w:r w:rsidRPr="004D55DA">
        <w:rPr>
          <w:i/>
        </w:rPr>
        <w:t>serviços marítimos do terminal</w:t>
      </w:r>
      <w:r w:rsidRPr="004D55DA">
        <w:t xml:space="preserve">, quanto menor a </w:t>
      </w:r>
      <w:r w:rsidRPr="004D55DA">
        <w:rPr>
          <w:i/>
        </w:rPr>
        <w:t>infraestrutura do terminal</w:t>
      </w:r>
      <w:r w:rsidRPr="004D55DA">
        <w:t xml:space="preserve"> (sinal contrário ao esperado) e quanto maior a especialização do porto em contentores, mais satisfeitos ficam os clientes. O sinal contrário ao esperado na </w:t>
      </w:r>
      <w:r w:rsidRPr="004D55DA">
        <w:rPr>
          <w:i/>
        </w:rPr>
        <w:t>infraestrutura do terminal</w:t>
      </w:r>
      <w:r w:rsidRPr="004D55DA">
        <w:t xml:space="preserve"> poderá estar relacionado com a especificidade dos </w:t>
      </w:r>
      <w:r w:rsidRPr="004D55DA">
        <w:lastRenderedPageBreak/>
        <w:t xml:space="preserve">terminais da Península Ibérica, onde existem principalmente terminais pequenos, com os clientes mais exigentes a utilizar os maiores terminais, com ligações intercontinentais. Os clientes dos terminais pequenos poderão considerar que os terminais pequenos mais próximos possuem melhor desempenho, muitas vezes porque não existem alternativas de terminais maiores na proximidade. Os restantes resultados </w:t>
      </w:r>
      <w:r w:rsidR="008C6D33">
        <w:t>não permitem rejeitar</w:t>
      </w:r>
      <w:r w:rsidRPr="004D55DA">
        <w:t xml:space="preserve"> a teoria.</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71" w:name="_Toc396134149"/>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26</w:t>
      </w:r>
      <w:r w:rsidR="00372F0E" w:rsidRPr="00D713C2">
        <w:rPr>
          <w:noProof/>
          <w:sz w:val="24"/>
          <w:szCs w:val="24"/>
        </w:rPr>
        <w:fldChar w:fldCharType="end"/>
      </w:r>
      <w:r w:rsidRPr="00D713C2">
        <w:rPr>
          <w:sz w:val="24"/>
          <w:szCs w:val="24"/>
        </w:rPr>
        <w:t xml:space="preserve"> – Regressão satisfação do cliente, 2º inquérito, Portugal e Espanha(OLS)</w:t>
      </w:r>
      <w:bookmarkEnd w:id="171"/>
    </w:p>
    <w:tbl>
      <w:tblPr>
        <w:tblW w:w="9026" w:type="dxa"/>
        <w:tblInd w:w="55" w:type="dxa"/>
        <w:tblCellMar>
          <w:left w:w="70" w:type="dxa"/>
          <w:right w:w="70" w:type="dxa"/>
        </w:tblCellMar>
        <w:tblLook w:val="00A0" w:firstRow="1" w:lastRow="0" w:firstColumn="1" w:lastColumn="0" w:noHBand="0" w:noVBand="0"/>
      </w:tblPr>
      <w:tblGrid>
        <w:gridCol w:w="2992"/>
        <w:gridCol w:w="1134"/>
        <w:gridCol w:w="980"/>
        <w:gridCol w:w="980"/>
        <w:gridCol w:w="980"/>
        <w:gridCol w:w="980"/>
        <w:gridCol w:w="980"/>
      </w:tblGrid>
      <w:tr w:rsidR="00104A12" w:rsidRPr="004D55DA" w:rsidTr="002077A3">
        <w:trPr>
          <w:trHeight w:val="567"/>
        </w:trPr>
        <w:tc>
          <w:tcPr>
            <w:tcW w:w="2992"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1134"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Coeficiente</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0,675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14,86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0,585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0,765</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Infraestrutura do porto/região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0,802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0,078</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0,404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8,88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0,314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0,494</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2,23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0,191</w:t>
            </w:r>
          </w:p>
        </w:tc>
      </w:tr>
      <w:tr w:rsidR="00104A12" w:rsidRPr="004D55DA" w:rsidTr="006610A1">
        <w:trPr>
          <w:trHeight w:val="228"/>
        </w:trPr>
        <w:tc>
          <w:tcPr>
            <w:tcW w:w="2992" w:type="dxa"/>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Infraestrutura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-2,27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-0,013</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Especialização do porto em contentores</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5,40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0,335</w:t>
            </w:r>
          </w:p>
        </w:tc>
      </w:tr>
      <w:tr w:rsidR="00104A12" w:rsidRPr="004D55DA" w:rsidTr="006610A1">
        <w:trPr>
          <w:trHeight w:val="228"/>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Governação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0,155</w:t>
            </w:r>
          </w:p>
        </w:tc>
      </w:tr>
      <w:tr w:rsidR="00104A12" w:rsidRPr="004D55DA" w:rsidTr="006610A1">
        <w:trPr>
          <w:trHeight w:val="228"/>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0,045</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0,090</w:t>
            </w:r>
          </w:p>
        </w:tc>
      </w:tr>
      <w:tr w:rsidR="00104A12" w:rsidRPr="004D55DA" w:rsidTr="00DD35B5">
        <w:trPr>
          <w:trHeight w:val="283"/>
        </w:trPr>
        <w:tc>
          <w:tcPr>
            <w:tcW w:w="2992" w:type="dxa"/>
            <w:tcBorders>
              <w:top w:val="single" w:sz="4" w:space="0" w:color="auto"/>
              <w:left w:val="nil"/>
              <w:bottom w:val="nil"/>
              <w:right w:val="nil"/>
            </w:tcBorders>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(7,143): 48,73</w:t>
            </w:r>
          </w:p>
        </w:tc>
        <w:tc>
          <w:tcPr>
            <w:tcW w:w="980"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12,38</w:t>
            </w:r>
          </w:p>
        </w:tc>
        <w:tc>
          <w:tcPr>
            <w:tcW w:w="980"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1,99</w:t>
            </w:r>
          </w:p>
        </w:tc>
        <w:tc>
          <w:tcPr>
            <w:tcW w:w="980"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64,9</w:t>
            </w:r>
          </w:p>
        </w:tc>
        <w:tc>
          <w:tcPr>
            <w:tcW w:w="980"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3,1</w:t>
            </w:r>
          </w:p>
        </w:tc>
        <w:tc>
          <w:tcPr>
            <w:tcW w:w="980" w:type="dxa"/>
            <w:tcBorders>
              <w:top w:val="single" w:sz="4" w:space="0" w:color="auto"/>
              <w:left w:val="nil"/>
              <w:bottom w:val="nil"/>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y:2,82</w:t>
            </w:r>
          </w:p>
        </w:tc>
      </w:tr>
      <w:tr w:rsidR="00104A12" w:rsidRPr="004D55DA" w:rsidTr="00DD35B5">
        <w:trPr>
          <w:trHeight w:val="283"/>
        </w:trPr>
        <w:tc>
          <w:tcPr>
            <w:tcW w:w="2992" w:type="dxa"/>
            <w:tcBorders>
              <w:top w:val="nil"/>
              <w:left w:val="nil"/>
              <w:bottom w:val="single" w:sz="4" w:space="0" w:color="auto"/>
              <w:right w:val="nil"/>
            </w:tcBorders>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0,7046</w:t>
            </w:r>
          </w:p>
        </w:tc>
        <w:tc>
          <w:tcPr>
            <w:tcW w:w="1134"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80"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0,0887</w:t>
            </w:r>
          </w:p>
        </w:tc>
        <w:tc>
          <w:tcPr>
            <w:tcW w:w="980"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0,158</w:t>
            </w:r>
          </w:p>
        </w:tc>
        <w:tc>
          <w:tcPr>
            <w:tcW w:w="980"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0,0016</w:t>
            </w:r>
          </w:p>
        </w:tc>
        <w:tc>
          <w:tcPr>
            <w:tcW w:w="980"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80" w:type="dxa"/>
            <w:tcBorders>
              <w:top w:val="nil"/>
              <w:left w:val="nil"/>
              <w:bottom w:val="single" w:sz="4" w:space="0" w:color="auto"/>
              <w:right w:val="nil"/>
            </w:tcBorders>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0,0815</w:t>
            </w:r>
          </w:p>
        </w:tc>
      </w:tr>
    </w:tbl>
    <w:p w:rsidR="00104A12" w:rsidRPr="004D55DA" w:rsidRDefault="00104A12" w:rsidP="007F7964">
      <w:pPr>
        <w:spacing w:line="360" w:lineRule="auto"/>
        <w:jc w:val="both"/>
        <w:rPr>
          <w:sz w:val="20"/>
        </w:rPr>
      </w:pPr>
      <w:r w:rsidRPr="004D55DA">
        <w:rPr>
          <w:sz w:val="20"/>
        </w:rPr>
        <w:t>Nota sobre a legenda dos testes: R</w:t>
      </w:r>
      <w:r w:rsidRPr="004D55DA">
        <w:rPr>
          <w:sz w:val="20"/>
          <w:vertAlign w:val="superscript"/>
        </w:rPr>
        <w:t>2</w:t>
      </w:r>
      <w:r w:rsidRPr="004D55DA">
        <w:rPr>
          <w:sz w:val="20"/>
        </w:rPr>
        <w:t xml:space="preserve"> – coeficiente de determinação, F – teste F, BP – teste </w:t>
      </w:r>
      <w:hyperlink r:id="rId53"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Tendo com consideração o resultado do teste RESET p&lt;0,0001 (variáveis exógenas) e White p-value=0,0016, incluíram-se variáveis ao quadrado e ao cubo, com resultados significativos e melhorando-se o R</w:t>
      </w:r>
      <w:r w:rsidRPr="004D55DA">
        <w:rPr>
          <w:vertAlign w:val="superscript"/>
        </w:rPr>
        <w:t>2</w:t>
      </w:r>
      <w:r w:rsidRPr="004D55DA">
        <w:t xml:space="preserve">=0,7854 (Tabela 27), mas mantendo-se os resultados dos testes referidos. As variáveis integração logística e organização do terminal ao quadrado e ao cubo e infraestrutura do porto/região surgem também com sinal contrário ao esperado, o que não é explicável com a teoria. Admite-se a existência de outras variáveis omitidas, embora não passíveis de identificação, mas que poderão passar por </w:t>
      </w:r>
      <w:r w:rsidR="00136906" w:rsidRPr="004D55DA">
        <w:t>aspetos</w:t>
      </w:r>
      <w:r w:rsidRPr="004D55DA">
        <w:t xml:space="preserve"> específicos de detalhes das variáveis utilizadas, que tenham maior valorização, ainda pouco identificadas na literatura.</w:t>
      </w:r>
    </w:p>
    <w:p w:rsidR="00104A12" w:rsidRPr="004D55DA" w:rsidRDefault="00104A12" w:rsidP="007F7964">
      <w:r w:rsidRPr="004D55DA">
        <w:br w:type="page"/>
      </w:r>
    </w:p>
    <w:p w:rsidR="00104A12" w:rsidRPr="004D55DA" w:rsidRDefault="00104A12" w:rsidP="007F7964">
      <w:pPr>
        <w:spacing w:line="360" w:lineRule="auto"/>
        <w:jc w:val="both"/>
        <w:rPr>
          <w:sz w:val="20"/>
          <w:szCs w:val="20"/>
        </w:rPr>
      </w:pPr>
    </w:p>
    <w:p w:rsidR="00104A12" w:rsidRPr="00D713C2" w:rsidRDefault="00104A12" w:rsidP="007F7964">
      <w:pPr>
        <w:pStyle w:val="Legenda"/>
        <w:rPr>
          <w:sz w:val="24"/>
          <w:szCs w:val="24"/>
        </w:rPr>
      </w:pPr>
      <w:bookmarkStart w:id="172" w:name="_Toc396134150"/>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27</w:t>
      </w:r>
      <w:r w:rsidR="00372F0E" w:rsidRPr="00D713C2">
        <w:rPr>
          <w:noProof/>
          <w:sz w:val="24"/>
          <w:szCs w:val="24"/>
        </w:rPr>
        <w:fldChar w:fldCharType="end"/>
      </w:r>
      <w:r w:rsidRPr="00D713C2">
        <w:rPr>
          <w:sz w:val="24"/>
          <w:szCs w:val="24"/>
        </w:rPr>
        <w:t xml:space="preserve"> - Regressão de satisfação do cliente, 2º inq</w:t>
      </w:r>
      <w:r w:rsidR="00FC74C5" w:rsidRPr="00D713C2">
        <w:rPr>
          <w:sz w:val="24"/>
          <w:szCs w:val="24"/>
        </w:rPr>
        <w:t>.</w:t>
      </w:r>
      <w:r w:rsidRPr="00D713C2">
        <w:rPr>
          <w:sz w:val="24"/>
          <w:szCs w:val="24"/>
        </w:rPr>
        <w:t xml:space="preserve">, </w:t>
      </w:r>
      <w:r w:rsidR="00FC74C5" w:rsidRPr="00D713C2">
        <w:rPr>
          <w:sz w:val="24"/>
          <w:szCs w:val="24"/>
        </w:rPr>
        <w:t>PT e ES</w:t>
      </w:r>
      <w:r w:rsidRPr="00D713C2">
        <w:rPr>
          <w:sz w:val="24"/>
          <w:szCs w:val="24"/>
        </w:rPr>
        <w:t>, com potencias(OLS)</w:t>
      </w:r>
      <w:bookmarkEnd w:id="172"/>
    </w:p>
    <w:tbl>
      <w:tblPr>
        <w:tblW w:w="9351" w:type="dxa"/>
        <w:tblInd w:w="55" w:type="dxa"/>
        <w:tblCellMar>
          <w:left w:w="70" w:type="dxa"/>
          <w:right w:w="70" w:type="dxa"/>
        </w:tblCellMar>
        <w:tblLook w:val="00A0" w:firstRow="1" w:lastRow="0" w:firstColumn="1" w:lastColumn="0" w:noHBand="0" w:noVBand="0"/>
      </w:tblPr>
      <w:tblGrid>
        <w:gridCol w:w="3417"/>
        <w:gridCol w:w="1134"/>
        <w:gridCol w:w="960"/>
        <w:gridCol w:w="960"/>
        <w:gridCol w:w="960"/>
        <w:gridCol w:w="960"/>
        <w:gridCol w:w="960"/>
      </w:tblGrid>
      <w:tr w:rsidR="00104A12" w:rsidRPr="004D55DA" w:rsidTr="000065B6">
        <w:trPr>
          <w:trHeight w:val="650"/>
        </w:trPr>
        <w:tc>
          <w:tcPr>
            <w:tcW w:w="3417"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1134"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0065B6">
        <w:trPr>
          <w:trHeight w:val="240"/>
        </w:trPr>
        <w:tc>
          <w:tcPr>
            <w:tcW w:w="341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0,971</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0,069</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14,05</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0,000</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0,834</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1,108</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Infraestrutura do porto/região </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-0,445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0,184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-0,810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-0,081</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0,265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3,39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0,110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0,420</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0,191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0,092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2,06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0,373</w:t>
            </w:r>
          </w:p>
        </w:tc>
      </w:tr>
      <w:tr w:rsidR="00104A12" w:rsidRPr="004D55DA" w:rsidTr="00EB59F0">
        <w:trPr>
          <w:trHeight w:val="240"/>
        </w:trPr>
        <w:tc>
          <w:tcPr>
            <w:tcW w:w="3417" w:type="dxa"/>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Infraestrutura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-0,266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-0,503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-0,029</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Especialização do porto em contentores</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0,218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2,98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0,363</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Governação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0,083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0,664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-0,199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0,128</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Integração logística e organização do terminal</w:t>
            </w:r>
            <w:r w:rsidRPr="004D55DA">
              <w:rPr>
                <w:rFonts w:ascii="Arial" w:hAnsi="Arial" w:cs="Arial"/>
                <w:color w:val="000000"/>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-2,56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-0,221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-0,028</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 xml:space="preserve">Infraestrutura do porto/região </w:t>
            </w:r>
            <w:r w:rsidRPr="004D55DA">
              <w:rPr>
                <w:rFonts w:ascii="Arial" w:hAnsi="Arial" w:cs="Arial"/>
                <w:color w:val="000000"/>
                <w:sz w:val="16"/>
                <w:szCs w:val="16"/>
              </w:rPr>
              <w:t>^2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0,095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-0,74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0,460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-0,259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0,118</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Acessibilidades terrestres</w:t>
            </w:r>
            <w:r w:rsidRPr="004D55DA">
              <w:rPr>
                <w:rFonts w:ascii="Arial" w:hAnsi="Arial" w:cs="Arial"/>
                <w:color w:val="000000"/>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0,302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-0,117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0,037</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Serviços marítimos do terminal</w:t>
            </w:r>
            <w:r w:rsidRPr="004D55DA">
              <w:rPr>
                <w:rFonts w:ascii="Arial" w:hAnsi="Arial" w:cs="Arial"/>
                <w:color w:val="000000"/>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0,968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-0,084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0,081</w:t>
            </w:r>
          </w:p>
        </w:tc>
      </w:tr>
      <w:tr w:rsidR="00104A12" w:rsidRPr="004D55DA" w:rsidTr="00EB59F0">
        <w:trPr>
          <w:trHeight w:val="240"/>
        </w:trPr>
        <w:tc>
          <w:tcPr>
            <w:tcW w:w="3417" w:type="dxa"/>
            <w:tcBorders>
              <w:top w:val="nil"/>
              <w:left w:val="nil"/>
              <w:bottom w:val="nil"/>
              <w:right w:val="nil"/>
            </w:tcBorders>
            <w:shd w:val="clear" w:color="000000" w:fill="FFFFFF"/>
            <w:noWrap/>
            <w:vAlign w:val="bottom"/>
          </w:tcPr>
          <w:p w:rsidR="00104A12" w:rsidRPr="004D55DA" w:rsidRDefault="00104A12" w:rsidP="007F7964">
            <w:pPr>
              <w:rPr>
                <w:rFonts w:ascii="Arial" w:hAnsi="Arial" w:cs="Arial"/>
                <w:sz w:val="16"/>
                <w:szCs w:val="16"/>
              </w:rPr>
            </w:pPr>
            <w:r w:rsidRPr="004D55DA">
              <w:rPr>
                <w:rFonts w:ascii="Cambria" w:hAnsi="Cambria" w:cs="Arial"/>
                <w:color w:val="000000"/>
                <w:sz w:val="16"/>
                <w:szCs w:val="16"/>
              </w:rPr>
              <w:t>Infraestrutura do terminal</w:t>
            </w:r>
            <w:r w:rsidRPr="004D55DA">
              <w:rPr>
                <w:rFonts w:ascii="Arial" w:hAnsi="Arial" w:cs="Arial"/>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-0,144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0,107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0,183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-0,356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0,069</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Especialização do porto em contentores</w:t>
            </w:r>
            <w:r w:rsidRPr="004D55DA">
              <w:rPr>
                <w:rFonts w:ascii="Arial" w:hAnsi="Arial" w:cs="Arial"/>
                <w:color w:val="000000"/>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0,66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0,508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-0,062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0,125</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Governação do terminal</w:t>
            </w:r>
            <w:r w:rsidRPr="004D55DA">
              <w:rPr>
                <w:rFonts w:ascii="Arial" w:hAnsi="Arial" w:cs="Arial"/>
                <w:color w:val="000000"/>
                <w:sz w:val="16"/>
                <w:szCs w:val="16"/>
              </w:rPr>
              <w:t xml:space="preserve"> ^2</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0,760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-0,053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0,072</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Integração logística e organização do terminal</w:t>
            </w:r>
            <w:r w:rsidRPr="004D55DA">
              <w:rPr>
                <w:rFonts w:ascii="Arial" w:hAnsi="Arial" w:cs="Arial"/>
                <w:color w:val="000000"/>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-0,063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-0,096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-0,029</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 xml:space="preserve">Infraestrutura do porto/região </w:t>
            </w:r>
            <w:r w:rsidRPr="004D55DA">
              <w:rPr>
                <w:rFonts w:ascii="Arial" w:hAnsi="Arial" w:cs="Arial"/>
                <w:color w:val="000000"/>
                <w:sz w:val="16"/>
                <w:szCs w:val="16"/>
              </w:rPr>
              <w:t>^3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0,261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0,110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0,478</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Acessibilidades terrestres</w:t>
            </w:r>
            <w:r w:rsidRPr="004D55DA">
              <w:rPr>
                <w:rFonts w:ascii="Arial" w:hAnsi="Arial" w:cs="Arial"/>
                <w:color w:val="000000"/>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0,057</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Serviços marítimos do terminal</w:t>
            </w:r>
            <w:r w:rsidRPr="004D55DA">
              <w:rPr>
                <w:rFonts w:ascii="Arial" w:hAnsi="Arial" w:cs="Arial"/>
                <w:color w:val="000000"/>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-0,75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0,453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-0,071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0,032</w:t>
            </w:r>
          </w:p>
        </w:tc>
      </w:tr>
      <w:tr w:rsidR="00104A12" w:rsidRPr="004D55DA" w:rsidTr="00EB59F0">
        <w:trPr>
          <w:trHeight w:val="240"/>
        </w:trPr>
        <w:tc>
          <w:tcPr>
            <w:tcW w:w="3417" w:type="dxa"/>
            <w:tcBorders>
              <w:top w:val="nil"/>
              <w:left w:val="nil"/>
              <w:bottom w:val="nil"/>
              <w:right w:val="nil"/>
            </w:tcBorders>
            <w:shd w:val="clear" w:color="000000" w:fill="FFFFFF"/>
            <w:noWrap/>
            <w:vAlign w:val="bottom"/>
          </w:tcPr>
          <w:p w:rsidR="00104A12" w:rsidRPr="004D55DA" w:rsidRDefault="00104A12" w:rsidP="007F7964">
            <w:pPr>
              <w:rPr>
                <w:rFonts w:ascii="Arial" w:hAnsi="Arial" w:cs="Arial"/>
                <w:sz w:val="16"/>
                <w:szCs w:val="16"/>
              </w:rPr>
            </w:pPr>
            <w:r w:rsidRPr="004D55DA">
              <w:rPr>
                <w:rFonts w:ascii="Cambria" w:hAnsi="Cambria" w:cs="Arial"/>
                <w:color w:val="000000"/>
                <w:sz w:val="16"/>
                <w:szCs w:val="16"/>
              </w:rPr>
              <w:t>Infraestrutura do terminal</w:t>
            </w:r>
            <w:r w:rsidRPr="004D55DA">
              <w:rPr>
                <w:rFonts w:ascii="Arial" w:hAnsi="Arial" w:cs="Arial"/>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0,105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0,053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2,00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0,047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0,209</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Especialização do porto em contentores</w:t>
            </w:r>
            <w:r w:rsidRPr="004D55DA">
              <w:rPr>
                <w:rFonts w:ascii="Arial" w:hAnsi="Arial" w:cs="Arial"/>
                <w:color w:val="000000"/>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0,017</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0,129</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0,060</w:t>
            </w:r>
          </w:p>
        </w:tc>
      </w:tr>
      <w:tr w:rsidR="00104A12" w:rsidRPr="004D55DA" w:rsidTr="00EB59F0">
        <w:trPr>
          <w:trHeight w:val="240"/>
        </w:trPr>
        <w:tc>
          <w:tcPr>
            <w:tcW w:w="3417"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Cambria" w:hAnsi="Cambria" w:cs="Arial"/>
                <w:color w:val="000000"/>
                <w:sz w:val="16"/>
                <w:szCs w:val="16"/>
              </w:rPr>
              <w:t>Governação do terminal</w:t>
            </w:r>
            <w:r w:rsidRPr="004D55DA">
              <w:rPr>
                <w:rFonts w:ascii="Arial" w:hAnsi="Arial" w:cs="Arial"/>
                <w:color w:val="000000"/>
                <w:sz w:val="16"/>
                <w:szCs w:val="16"/>
              </w:rPr>
              <w:t xml:space="preserve"> ^3</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0,023</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0,014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1,71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0,090</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-0,004</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0,050</w:t>
            </w:r>
          </w:p>
        </w:tc>
      </w:tr>
      <w:tr w:rsidR="00104A12" w:rsidRPr="004D55DA" w:rsidTr="00EB59F0">
        <w:trPr>
          <w:trHeight w:val="240"/>
        </w:trPr>
        <w:tc>
          <w:tcPr>
            <w:tcW w:w="3417"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_cons</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0,092</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0,138</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0,67</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0,507</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-0,181</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0,364</w:t>
            </w:r>
          </w:p>
        </w:tc>
      </w:tr>
      <w:tr w:rsidR="00104A12" w:rsidRPr="004D55DA" w:rsidTr="000065B6">
        <w:trPr>
          <w:trHeight w:val="340"/>
        </w:trPr>
        <w:tc>
          <w:tcPr>
            <w:tcW w:w="3417"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(21,29): 15,8</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6,31</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0,19</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45,6</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1.04</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y:0,58</w:t>
            </w:r>
          </w:p>
        </w:tc>
      </w:tr>
      <w:tr w:rsidR="00104A12" w:rsidRPr="004D55DA" w:rsidTr="000065B6">
        <w:trPr>
          <w:trHeight w:val="456"/>
        </w:trPr>
        <w:tc>
          <w:tcPr>
            <w:tcW w:w="3417"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0,7854</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0,6120</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0,6661</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0,4054</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0,4695</w:t>
            </w:r>
          </w:p>
        </w:tc>
        <w:tc>
          <w:tcPr>
            <w:tcW w:w="9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0,6291</w:t>
            </w:r>
          </w:p>
        </w:tc>
      </w:tr>
    </w:tbl>
    <w:p w:rsidR="00104A12" w:rsidRPr="004D55DA" w:rsidRDefault="00104A12" w:rsidP="007F7964">
      <w:pPr>
        <w:spacing w:line="360" w:lineRule="auto"/>
        <w:jc w:val="both"/>
        <w:rPr>
          <w:sz w:val="20"/>
        </w:rPr>
      </w:pPr>
      <w:r w:rsidRPr="004D55DA">
        <w:rPr>
          <w:sz w:val="20"/>
        </w:rPr>
        <w:t>Nota 2 sobre a legenda dos testes: R</w:t>
      </w:r>
      <w:r w:rsidRPr="004D55DA">
        <w:rPr>
          <w:sz w:val="20"/>
          <w:vertAlign w:val="superscript"/>
        </w:rPr>
        <w:t>2</w:t>
      </w:r>
      <w:r w:rsidRPr="004D55DA">
        <w:rPr>
          <w:sz w:val="20"/>
        </w:rPr>
        <w:t xml:space="preserve"> – coeficiente de determinação, F – teste F, BP – teste </w:t>
      </w:r>
      <w:hyperlink r:id="rId54"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r w:rsidRPr="004D55DA">
        <w:rPr>
          <w:b/>
        </w:rPr>
        <w:t>Atividade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Foi testado, através de regressão com o método dos mínimos quadrados, o seguinte modelo explicativo da </w:t>
      </w:r>
      <w:r w:rsidRPr="004D55DA">
        <w:rPr>
          <w:i/>
        </w:rPr>
        <w:t>atividade</w:t>
      </w:r>
      <w:r w:rsidRPr="004D55DA">
        <w:t xml:space="preserve">, com base nas variáveis latentes resultantes da </w:t>
      </w:r>
      <w:r w:rsidR="00D36A58">
        <w:t>análise de componentes principais</w:t>
      </w:r>
      <w:r w:rsidRPr="004D55DA">
        <w:t>, descritas na tabela 25,</w:t>
      </w:r>
      <w:r w:rsidRPr="004D55DA">
        <w:rPr>
          <w:i/>
        </w:rPr>
        <w:t xml:space="preserve"> integração logística e organização do terminal, infraestrutura do porto/região, acessibilidades terrestres, serviços marítimos do terminal infraestrutura do terminal, especialização do porto em contentores e governação do terminal.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A variável dependente </w:t>
      </w:r>
      <w:r w:rsidRPr="004D55DA">
        <w:rPr>
          <w:i/>
        </w:rPr>
        <w:t>atividade</w:t>
      </w:r>
      <w:r w:rsidRPr="004D55DA">
        <w:t xml:space="preserve"> é explicada (R</w:t>
      </w:r>
      <w:r w:rsidRPr="004D55DA">
        <w:rPr>
          <w:vertAlign w:val="superscript"/>
        </w:rPr>
        <w:t>2</w:t>
      </w:r>
      <w:r w:rsidRPr="004D55DA">
        <w:t xml:space="preserve">=0,2595) pelas variáveis estatisticamente mais significativas </w:t>
      </w:r>
      <w:r w:rsidRPr="004D55DA">
        <w:rPr>
          <w:i/>
        </w:rPr>
        <w:t>infraestrutura do porto/região</w:t>
      </w:r>
      <w:r w:rsidRPr="004D55DA">
        <w:t xml:space="preserve">, </w:t>
      </w:r>
      <w:r w:rsidRPr="004D55DA">
        <w:rPr>
          <w:i/>
        </w:rPr>
        <w:t>serviços</w:t>
      </w:r>
      <w:r w:rsidRPr="004D55DA">
        <w:t xml:space="preserve"> </w:t>
      </w:r>
      <w:r w:rsidRPr="004D55DA">
        <w:rPr>
          <w:i/>
        </w:rPr>
        <w:t>marítimos do terminal</w:t>
      </w:r>
      <w:r w:rsidRPr="004D55DA">
        <w:t xml:space="preserve"> e </w:t>
      </w:r>
      <w:r w:rsidRPr="004D55DA">
        <w:rPr>
          <w:i/>
        </w:rPr>
        <w:t xml:space="preserve">especialização do porto em contentores </w:t>
      </w:r>
      <w:r w:rsidRPr="004D55DA">
        <w:t xml:space="preserve">(Tabela 28). Foi excluída da análise a variável </w:t>
      </w:r>
      <w:r w:rsidRPr="004D55DA">
        <w:rPr>
          <w:i/>
        </w:rPr>
        <w:t>infraestrutura do terminal</w:t>
      </w:r>
      <w:r w:rsidRPr="004D55DA">
        <w:t xml:space="preserve"> que corresponde à dimensão física quantitativa do terminal. A dimensão do terminal está intimamente correlacionada com a atividade do terminal, uma vez que a dimensão do terminal vai sendo gradualmente aumentada à medida das necessidades, ou seja do aumento da </w:t>
      </w:r>
      <w:r w:rsidR="00136906" w:rsidRPr="004D55DA">
        <w:t>atividade</w:t>
      </w:r>
      <w:r w:rsidRPr="004D55DA">
        <w:t>. Ou seja, a dimensão física do terminal não é factor explicativo do nível quantitativo da atividade. Este factor surge no modelo e na teoria como factor explicativo da eficiência e da satisfação do cliente do terminal, mas não da atividade.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Dos resultados, verifica-se que quanto mais próximo do mar e mais distante de outro porto próximo e maior a área de parqueamento, quanto melhores dos serviços marítimos do terminal e a dimensão dos navios e quanto maior a especialização do porto em contentores, maior é a atividade de contentores no terminal, o que confirma a teoria.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especificidade dos terminais e portos ibéricos, em que os que possuem maior desempenho nem sempre estão localizados em regiões com maior PIB </w:t>
      </w:r>
      <w:r w:rsidR="00136906">
        <w:t>“</w:t>
      </w:r>
      <w:r w:rsidRPr="004D55DA">
        <w:t>per capita</w:t>
      </w:r>
      <w:r w:rsidR="00136906">
        <w:t>”</w:t>
      </w:r>
      <w:r w:rsidRPr="004D55DA">
        <w:t>, nem em portos antigos, com maior número de terminais pequenos, como é o caso de Sines, Valência ou Algeciras, que servem regiões distantes ou o transhipment, implica que a teoria relativamente à relação entre o desempenho do terminal e o desempenho da região e a dimensão do porto não se verifique pontualmente.</w:t>
      </w:r>
    </w:p>
    <w:p w:rsidR="00104A12" w:rsidRPr="004D55DA" w:rsidRDefault="00104A12" w:rsidP="007F7964"/>
    <w:p w:rsidR="00104A12" w:rsidRPr="00D713C2" w:rsidRDefault="00104A12" w:rsidP="007F7964">
      <w:pPr>
        <w:pStyle w:val="Legenda"/>
        <w:keepNext/>
        <w:rPr>
          <w:sz w:val="24"/>
          <w:szCs w:val="24"/>
        </w:rPr>
      </w:pPr>
      <w:bookmarkStart w:id="173" w:name="_Toc396134151"/>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28</w:t>
      </w:r>
      <w:r w:rsidR="00372F0E" w:rsidRPr="00D713C2">
        <w:rPr>
          <w:noProof/>
          <w:sz w:val="24"/>
          <w:szCs w:val="24"/>
        </w:rPr>
        <w:fldChar w:fldCharType="end"/>
      </w:r>
      <w:r w:rsidRPr="00D713C2">
        <w:rPr>
          <w:sz w:val="24"/>
          <w:szCs w:val="24"/>
        </w:rPr>
        <w:t xml:space="preserve"> – Regressão de atividade, 2º inquérito, Portugal e Espanha robusta (OLS)</w:t>
      </w:r>
      <w:bookmarkEnd w:id="173"/>
    </w:p>
    <w:tbl>
      <w:tblPr>
        <w:tblW w:w="9182" w:type="dxa"/>
        <w:tblInd w:w="55" w:type="dxa"/>
        <w:tblCellMar>
          <w:left w:w="70" w:type="dxa"/>
          <w:right w:w="70" w:type="dxa"/>
        </w:tblCellMar>
        <w:tblLook w:val="00A0" w:firstRow="1" w:lastRow="0" w:firstColumn="1" w:lastColumn="0" w:noHBand="0" w:noVBand="0"/>
      </w:tblPr>
      <w:tblGrid>
        <w:gridCol w:w="2992"/>
        <w:gridCol w:w="284"/>
        <w:gridCol w:w="850"/>
        <w:gridCol w:w="186"/>
        <w:gridCol w:w="794"/>
        <w:gridCol w:w="56"/>
        <w:gridCol w:w="924"/>
        <w:gridCol w:w="156"/>
        <w:gridCol w:w="824"/>
        <w:gridCol w:w="196"/>
        <w:gridCol w:w="784"/>
        <w:gridCol w:w="176"/>
        <w:gridCol w:w="960"/>
      </w:tblGrid>
      <w:tr w:rsidR="00104A12" w:rsidRPr="004D55DA" w:rsidTr="001B28B2">
        <w:trPr>
          <w:trHeight w:val="454"/>
        </w:trPr>
        <w:tc>
          <w:tcPr>
            <w:tcW w:w="3276"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Atividade</w:t>
            </w:r>
          </w:p>
        </w:tc>
        <w:tc>
          <w:tcPr>
            <w:tcW w:w="1036"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850"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1080"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1020"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60" w:type="dxa"/>
            <w:gridSpan w:val="2"/>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6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1B28B2">
        <w:trPr>
          <w:trHeight w:val="288"/>
        </w:trPr>
        <w:tc>
          <w:tcPr>
            <w:tcW w:w="3276" w:type="dxa"/>
            <w:gridSpan w:val="2"/>
            <w:tcBorders>
              <w:top w:val="single" w:sz="4" w:space="0" w:color="auto"/>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1036"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0,036</w:t>
            </w:r>
          </w:p>
        </w:tc>
        <w:tc>
          <w:tcPr>
            <w:tcW w:w="85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0,094</w:t>
            </w:r>
          </w:p>
        </w:tc>
        <w:tc>
          <w:tcPr>
            <w:tcW w:w="108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0,380</w:t>
            </w:r>
          </w:p>
        </w:tc>
        <w:tc>
          <w:tcPr>
            <w:tcW w:w="102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0,702</w:t>
            </w:r>
          </w:p>
        </w:tc>
        <w:tc>
          <w:tcPr>
            <w:tcW w:w="96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-0,150</w:t>
            </w:r>
          </w:p>
        </w:tc>
        <w:tc>
          <w:tcPr>
            <w:tcW w:w="96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0,221</w:t>
            </w:r>
          </w:p>
        </w:tc>
      </w:tr>
      <w:tr w:rsidR="00104A12" w:rsidRPr="004D55DA" w:rsidTr="00A10FDA">
        <w:trPr>
          <w:trHeight w:val="288"/>
        </w:trPr>
        <w:tc>
          <w:tcPr>
            <w:tcW w:w="3276" w:type="dxa"/>
            <w:gridSpan w:val="2"/>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Infraestrutura do porto/região </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0,311</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0,060</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5,170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0,192</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0,429</w:t>
            </w:r>
          </w:p>
        </w:tc>
      </w:tr>
      <w:tr w:rsidR="00104A12" w:rsidRPr="004D55DA" w:rsidTr="00A10FDA">
        <w:trPr>
          <w:trHeight w:val="288"/>
        </w:trPr>
        <w:tc>
          <w:tcPr>
            <w:tcW w:w="3276" w:type="dxa"/>
            <w:gridSpan w:val="2"/>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-0,115</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0,109</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-1,060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0,291</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0,099</w:t>
            </w:r>
          </w:p>
        </w:tc>
      </w:tr>
      <w:tr w:rsidR="00104A12" w:rsidRPr="004D55DA" w:rsidTr="00A10FDA">
        <w:trPr>
          <w:trHeight w:val="288"/>
        </w:trPr>
        <w:tc>
          <w:tcPr>
            <w:tcW w:w="3276" w:type="dxa"/>
            <w:gridSpan w:val="2"/>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0,338</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0,083</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4,090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0,175</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0,501</w:t>
            </w:r>
          </w:p>
        </w:tc>
      </w:tr>
      <w:tr w:rsidR="00104A12" w:rsidRPr="004D55DA" w:rsidTr="00A10FDA">
        <w:trPr>
          <w:trHeight w:val="288"/>
        </w:trPr>
        <w:tc>
          <w:tcPr>
            <w:tcW w:w="3276" w:type="dxa"/>
            <w:gridSpan w:val="2"/>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Especialização do porto em contentores</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0,182</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0,063</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2,900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0,004</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0,058</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0,306</w:t>
            </w:r>
          </w:p>
        </w:tc>
      </w:tr>
      <w:tr w:rsidR="00104A12" w:rsidRPr="004D55DA" w:rsidTr="00A10FDA">
        <w:trPr>
          <w:trHeight w:val="288"/>
        </w:trPr>
        <w:tc>
          <w:tcPr>
            <w:tcW w:w="3276" w:type="dxa"/>
            <w:gridSpan w:val="2"/>
            <w:tcBorders>
              <w:top w:val="nil"/>
              <w:left w:val="nil"/>
              <w:bottom w:val="nil"/>
              <w:right w:val="nil"/>
            </w:tcBorders>
            <w:shd w:val="clear" w:color="000000" w:fill="FFFFFF"/>
            <w:noWrap/>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Governação do terminal</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-0,028</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0,085</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-0,330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0,742</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-0,196</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0,140</w:t>
            </w:r>
          </w:p>
        </w:tc>
      </w:tr>
      <w:tr w:rsidR="00104A12" w:rsidRPr="004D55DA" w:rsidTr="00A10FDA">
        <w:trPr>
          <w:trHeight w:val="288"/>
        </w:trPr>
        <w:tc>
          <w:tcPr>
            <w:tcW w:w="3276"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_cons</w:t>
            </w:r>
          </w:p>
        </w:tc>
        <w:tc>
          <w:tcPr>
            <w:tcW w:w="1036"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85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0,071</w:t>
            </w:r>
          </w:p>
        </w:tc>
        <w:tc>
          <w:tcPr>
            <w:tcW w:w="108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102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60" w:type="dxa"/>
            <w:gridSpan w:val="2"/>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-0,141</w:t>
            </w:r>
          </w:p>
        </w:tc>
        <w:tc>
          <w:tcPr>
            <w:tcW w:w="9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0,141</w:t>
            </w:r>
          </w:p>
        </w:tc>
      </w:tr>
      <w:tr w:rsidR="00104A12" w:rsidRPr="004D55DA" w:rsidTr="001B28B2">
        <w:trPr>
          <w:trHeight w:val="340"/>
        </w:trPr>
        <w:tc>
          <w:tcPr>
            <w:tcW w:w="2992"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(6,144): 8,4</w:t>
            </w:r>
          </w:p>
        </w:tc>
        <w:tc>
          <w:tcPr>
            <w:tcW w:w="98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22,43</w:t>
            </w:r>
          </w:p>
        </w:tc>
        <w:tc>
          <w:tcPr>
            <w:tcW w:w="98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19,74</w:t>
            </w:r>
          </w:p>
        </w:tc>
        <w:tc>
          <w:tcPr>
            <w:tcW w:w="98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70,12</w:t>
            </w:r>
          </w:p>
        </w:tc>
        <w:tc>
          <w:tcPr>
            <w:tcW w:w="980"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5,2</w:t>
            </w:r>
          </w:p>
        </w:tc>
        <w:tc>
          <w:tcPr>
            <w:tcW w:w="1136" w:type="dxa"/>
            <w:gridSpan w:val="2"/>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y:7,39</w:t>
            </w:r>
          </w:p>
        </w:tc>
      </w:tr>
      <w:tr w:rsidR="00104A12" w:rsidRPr="004D55DA" w:rsidTr="001B28B2">
        <w:trPr>
          <w:trHeight w:val="340"/>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0,2595</w:t>
            </w:r>
          </w:p>
        </w:tc>
        <w:tc>
          <w:tcPr>
            <w:tcW w:w="1134"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80"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0,001</w:t>
            </w:r>
          </w:p>
        </w:tc>
        <w:tc>
          <w:tcPr>
            <w:tcW w:w="980"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80"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80"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1136" w:type="dxa"/>
            <w:gridSpan w:val="2"/>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0,0001</w:t>
            </w:r>
          </w:p>
        </w:tc>
      </w:tr>
    </w:tbl>
    <w:p w:rsidR="00104A12" w:rsidRPr="004D55DA" w:rsidRDefault="00104A12" w:rsidP="007F7964">
      <w:pPr>
        <w:spacing w:line="360" w:lineRule="auto"/>
        <w:jc w:val="both"/>
        <w:rPr>
          <w:sz w:val="18"/>
          <w:szCs w:val="16"/>
        </w:rPr>
      </w:pPr>
      <w:r w:rsidRPr="004D55DA">
        <w:rPr>
          <w:sz w:val="18"/>
          <w:szCs w:val="16"/>
        </w:rPr>
        <w:t>Nota 1: os resultados dos testes referem-se a exercício antes da regressão robusta (após regressão robusta o software não calcula os testes)</w:t>
      </w:r>
    </w:p>
    <w:p w:rsidR="00104A12" w:rsidRPr="004D55DA" w:rsidRDefault="00104A12" w:rsidP="007F7964">
      <w:pPr>
        <w:spacing w:line="360" w:lineRule="auto"/>
        <w:jc w:val="both"/>
        <w:rPr>
          <w:sz w:val="20"/>
        </w:rPr>
      </w:pPr>
      <w:r w:rsidRPr="004D55DA">
        <w:rPr>
          <w:sz w:val="20"/>
        </w:rPr>
        <w:t>Nota 2 sobre a legenda dos testes: R</w:t>
      </w:r>
      <w:r w:rsidRPr="004D55DA">
        <w:rPr>
          <w:sz w:val="20"/>
          <w:vertAlign w:val="superscript"/>
        </w:rPr>
        <w:t>2</w:t>
      </w:r>
      <w:r w:rsidRPr="004D55DA">
        <w:rPr>
          <w:sz w:val="20"/>
        </w:rPr>
        <w:t xml:space="preserve"> – coeficiente de determinação, F – teste F, BP – teste </w:t>
      </w:r>
      <w:hyperlink r:id="rId55"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“Path Analysis” conjunta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Numa segunda fase, com vista a </w:t>
      </w:r>
      <w:r w:rsidR="000B49EE">
        <w:t>analisar</w:t>
      </w:r>
      <w:r w:rsidRPr="004D55DA">
        <w:t xml:space="preserve"> os resultados obtidos com as regressões, relativos aos </w:t>
      </w:r>
      <w:r w:rsidR="00136906" w:rsidRPr="004D55DA">
        <w:t>fatores</w:t>
      </w:r>
      <w:r w:rsidRPr="004D55DA">
        <w:t xml:space="preserve"> latentes independentes determinantes de cada variável latente dependente e seus coeficientes, recorreu-se à metodologia “path analysis” dos modelos de equações estruturais.</w:t>
      </w:r>
    </w:p>
    <w:p w:rsidR="00104A12" w:rsidRPr="004D55DA" w:rsidRDefault="00104A12" w:rsidP="007F7964">
      <w:pPr>
        <w:spacing w:line="360" w:lineRule="auto"/>
        <w:jc w:val="both"/>
      </w:pPr>
      <w:r w:rsidRPr="004D55DA">
        <w:t>Foram obtidos resultados globais significativos (Figura 24), com os seguintes indicadores de adequação do ajustamento ou</w:t>
      </w:r>
      <w:r w:rsidR="00136906">
        <w:t xml:space="preserve"> “Goodness-of-fit” </w:t>
      </w:r>
      <w:r w:rsidRPr="004D55DA">
        <w:t xml:space="preserve">(GoF) do modelo, </w:t>
      </w:r>
      <w:r w:rsidRPr="004D55DA">
        <w:rPr>
          <w:lang w:val="en-GB"/>
        </w:rPr>
        <w:t>χ</w:t>
      </w:r>
      <w:r w:rsidRPr="004D55DA">
        <w:rPr>
          <w:vertAlign w:val="superscript"/>
        </w:rPr>
        <w:t>2</w:t>
      </w:r>
      <w:r w:rsidRPr="004D55DA">
        <w:t xml:space="preserve"> 4,458; </w:t>
      </w:r>
      <w:r w:rsidRPr="004D55DA">
        <w:rPr>
          <w:lang w:val="en-GB"/>
        </w:rPr>
        <w:t>χ</w:t>
      </w:r>
      <w:r w:rsidRPr="004D55DA">
        <w:rPr>
          <w:vertAlign w:val="superscript"/>
        </w:rPr>
        <w:t>2</w:t>
      </w:r>
      <w:r w:rsidRPr="004D55DA">
        <w:t>/df 0,495; IFI: 1,023 (&gt;0,9); CFI: 1,00 (&gt;0,9); RMSEA: &lt;0,0001 (&lt;0,1), indicando um bom ajustamento do modelo de medida das variáveis latentes</w:t>
      </w:r>
    </w:p>
    <w:p w:rsidR="00104A12" w:rsidRPr="004D55DA" w:rsidRDefault="00104A12" w:rsidP="007F7964">
      <w:pPr>
        <w:spacing w:line="360" w:lineRule="auto"/>
        <w:jc w:val="both"/>
      </w:pPr>
    </w:p>
    <w:p w:rsidR="00104A12" w:rsidRPr="004D55DA" w:rsidRDefault="00D24F6E" w:rsidP="007F7964">
      <w:pPr>
        <w:spacing w:line="360" w:lineRule="auto"/>
        <w:jc w:val="both"/>
      </w:pPr>
      <w:r>
        <w:t>Não se rejeita</w:t>
      </w:r>
      <w:r w:rsidR="00104A12" w:rsidRPr="004D55DA">
        <w:t xml:space="preserve"> que a </w:t>
      </w:r>
      <w:r w:rsidR="00104A12" w:rsidRPr="004D55DA">
        <w:rPr>
          <w:i/>
        </w:rPr>
        <w:t>satisfação do cliente</w:t>
      </w:r>
      <w:r w:rsidR="00104A12" w:rsidRPr="004D55DA">
        <w:t xml:space="preserve"> (R</w:t>
      </w:r>
      <w:r w:rsidR="00104A12" w:rsidRPr="004D55DA">
        <w:rPr>
          <w:vertAlign w:val="superscript"/>
        </w:rPr>
        <w:t>2</w:t>
      </w:r>
      <w:r w:rsidR="00104A12" w:rsidRPr="004D55DA">
        <w:t xml:space="preserve">=0,69) é explicada pela </w:t>
      </w:r>
      <w:r w:rsidR="00104A12" w:rsidRPr="004D55DA">
        <w:rPr>
          <w:i/>
        </w:rPr>
        <w:t>integração logística e organização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=0,68), </w:t>
      </w:r>
      <w:r w:rsidR="00104A12" w:rsidRPr="004D55DA">
        <w:rPr>
          <w:i/>
        </w:rPr>
        <w:t>acessibilidades terrestres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=0,40)</w:t>
      </w:r>
      <w:r w:rsidR="00104A12" w:rsidRPr="004D55DA">
        <w:rPr>
          <w:i/>
        </w:rPr>
        <w:t>, especialização do porto em contentores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=0,25)</w:t>
      </w:r>
      <w:r w:rsidR="00104A12" w:rsidRPr="004D55DA">
        <w:rPr>
          <w:i/>
        </w:rPr>
        <w:t xml:space="preserve"> e 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=0,10), não se tendo irevelado significativa a </w:t>
      </w:r>
      <w:r w:rsidR="00104A12" w:rsidRPr="004D55DA">
        <w:rPr>
          <w:i/>
        </w:rPr>
        <w:t>infraestrutura do terminal</w:t>
      </w:r>
      <w:r w:rsidR="00104A12" w:rsidRPr="004D55DA">
        <w:t xml:space="preserve"> como factor explicativo, o que ajuda a explicar os resultados não esperados desta variável na regressão.</w:t>
      </w:r>
    </w:p>
    <w:p w:rsidR="00104A12" w:rsidRPr="004D55DA" w:rsidRDefault="00D24F6E" w:rsidP="007F7964">
      <w:pPr>
        <w:spacing w:line="360" w:lineRule="auto"/>
        <w:jc w:val="both"/>
      </w:pPr>
      <w:r>
        <w:t>Não se rejeita</w:t>
      </w:r>
      <w:r w:rsidR="00104A12" w:rsidRPr="004D55DA">
        <w:t xml:space="preserve"> ainda que a </w:t>
      </w:r>
      <w:r w:rsidR="00104A12" w:rsidRPr="004D55DA">
        <w:rPr>
          <w:i/>
        </w:rPr>
        <w:t xml:space="preserve">atividade </w:t>
      </w:r>
      <w:r w:rsidR="00104A12" w:rsidRPr="004D55DA">
        <w:t>(R</w:t>
      </w:r>
      <w:r w:rsidR="00104A12" w:rsidRPr="004D55DA">
        <w:rPr>
          <w:vertAlign w:val="superscript"/>
        </w:rPr>
        <w:t>2</w:t>
      </w:r>
      <w:r w:rsidR="00104A12" w:rsidRPr="004D55DA">
        <w:t xml:space="preserve">=0,15) é explicada pela </w:t>
      </w:r>
      <w:r w:rsidR="00104A12" w:rsidRPr="004D55DA">
        <w:rPr>
          <w:i/>
        </w:rPr>
        <w:t>especialização do porto em contentores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=0,18)</w:t>
      </w:r>
      <w:r w:rsidR="00104A12" w:rsidRPr="004D55DA">
        <w:rPr>
          <w:i/>
        </w:rPr>
        <w:t xml:space="preserve"> e 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=0,34), não se tendo revelado </w:t>
      </w:r>
      <w:r w:rsidR="0043431A" w:rsidRPr="004D55DA">
        <w:t xml:space="preserve">como significativa </w:t>
      </w:r>
      <w:r w:rsidR="00104A12" w:rsidRPr="004D55DA">
        <w:t xml:space="preserve">a </w:t>
      </w:r>
      <w:r w:rsidR="00104A12" w:rsidRPr="004D55DA">
        <w:rPr>
          <w:i/>
        </w:rPr>
        <w:t>infraestrutura do porto/região</w:t>
      </w:r>
      <w:r w:rsidR="00104A12" w:rsidRPr="004D55DA">
        <w:t>.</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74" w:name="_Toc396134188"/>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24</w:t>
      </w:r>
      <w:r w:rsidR="00372F0E" w:rsidRPr="00D713C2">
        <w:rPr>
          <w:noProof/>
          <w:sz w:val="24"/>
          <w:szCs w:val="24"/>
        </w:rPr>
        <w:fldChar w:fldCharType="end"/>
      </w:r>
      <w:r w:rsidR="003E367B" w:rsidRPr="00D713C2">
        <w:rPr>
          <w:sz w:val="24"/>
          <w:szCs w:val="24"/>
        </w:rPr>
        <w:t xml:space="preserve"> – Path Analysis do 2º inq.</w:t>
      </w:r>
      <w:r w:rsidRPr="00D713C2">
        <w:rPr>
          <w:sz w:val="24"/>
          <w:szCs w:val="24"/>
        </w:rPr>
        <w:t>, Portugal e Espanha</w:t>
      </w:r>
      <w:r w:rsidR="003217CF" w:rsidRPr="00D713C2">
        <w:rPr>
          <w:sz w:val="24"/>
          <w:szCs w:val="24"/>
        </w:rPr>
        <w:t xml:space="preserve"> (estimativas estandardizadas)</w:t>
      </w:r>
      <w:bookmarkEnd w:id="174"/>
    </w:p>
    <w:p w:rsidR="00104A12" w:rsidRPr="004D55DA" w:rsidRDefault="00104A12" w:rsidP="007F7964"/>
    <w:p w:rsidR="00104A12" w:rsidRPr="004D55DA" w:rsidRDefault="00BF31C8" w:rsidP="007F7964">
      <w:pPr>
        <w:spacing w:line="360" w:lineRule="auto"/>
        <w:jc w:val="both"/>
      </w:pPr>
      <w:r w:rsidRPr="004D55DA">
        <w:rPr>
          <w:noProof/>
        </w:rPr>
        <w:drawing>
          <wp:inline distT="0" distB="0" distL="0" distR="0" wp14:anchorId="028476AC" wp14:editId="2EC95CD5">
            <wp:extent cx="5584190" cy="1850571"/>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6">
                      <a:extLst>
                        <a:ext uri="{28A0092B-C50C-407E-A947-70E740481C1C}">
                          <a14:useLocalDpi xmlns:a14="http://schemas.microsoft.com/office/drawing/2010/main" val="0"/>
                        </a:ext>
                      </a:extLst>
                    </a:blip>
                    <a:srcRect l="23636" t="55025" r="19141" b="16400"/>
                    <a:stretch>
                      <a:fillRect/>
                    </a:stretch>
                  </pic:blipFill>
                  <pic:spPr bwMode="auto">
                    <a:xfrm>
                      <a:off x="0" y="0"/>
                      <a:ext cx="5584190" cy="1850571"/>
                    </a:xfrm>
                    <a:prstGeom prst="rect">
                      <a:avLst/>
                    </a:prstGeom>
                    <a:noFill/>
                    <a:ln>
                      <a:noFill/>
                    </a:ln>
                  </pic:spPr>
                </pic:pic>
              </a:graphicData>
            </a:graphic>
          </wp:inline>
        </w:drawing>
      </w:r>
    </w:p>
    <w:p w:rsidR="00104A12" w:rsidRPr="004D55DA" w:rsidRDefault="00104A12" w:rsidP="007F7964">
      <w:pPr>
        <w:spacing w:line="360" w:lineRule="auto"/>
        <w:jc w:val="both"/>
        <w:rPr>
          <w:sz w:val="14"/>
        </w:rPr>
      </w:pPr>
    </w:p>
    <w:p w:rsidR="003C67B9" w:rsidRPr="004D55DA" w:rsidRDefault="003C67B9" w:rsidP="003C67B9">
      <w:pPr>
        <w:spacing w:line="360" w:lineRule="auto"/>
        <w:jc w:val="both"/>
      </w:pPr>
      <w:r w:rsidRPr="004D55DA">
        <w:t>Tendo em consideração dos</w:t>
      </w:r>
      <w:r>
        <w:t xml:space="preserve"> maus</w:t>
      </w:r>
      <w:r w:rsidRPr="004D55DA">
        <w:t xml:space="preserve"> resultados das regressões, optou-se ainda por testar </w:t>
      </w:r>
      <w:r>
        <w:t>um modelo explicativo d</w:t>
      </w:r>
      <w:r w:rsidRPr="004D55DA">
        <w:t>as variáveis observadas</w:t>
      </w:r>
      <w:r>
        <w:t xml:space="preserve"> quantitativas</w:t>
      </w:r>
      <w:r w:rsidRPr="004D55DA">
        <w:t xml:space="preserve"> da </w:t>
      </w:r>
      <w:r w:rsidRPr="004D55DA">
        <w:rPr>
          <w:i/>
        </w:rPr>
        <w:t xml:space="preserve">atividade, </w:t>
      </w:r>
      <w:r w:rsidRPr="004D55DA">
        <w:t>a saber</w:t>
      </w:r>
      <w:r w:rsidRPr="004D55DA">
        <w:rPr>
          <w:i/>
        </w:rPr>
        <w:t xml:space="preserve"> eficiência do </w:t>
      </w:r>
      <w:r w:rsidRPr="004D55DA">
        <w:rPr>
          <w:i/>
        </w:rPr>
        <w:lastRenderedPageBreak/>
        <w:t xml:space="preserve">terminal (DEA) e número de contentores </w:t>
      </w:r>
      <w:r w:rsidRPr="004D55DA">
        <w:t>movimentado</w:t>
      </w:r>
      <w:r>
        <w:t>s</w:t>
      </w:r>
      <w:r w:rsidRPr="004D55DA">
        <w:t xml:space="preserve">, em vez do seu constructo, tendo-se recorrido a variáveis independentes </w:t>
      </w:r>
      <w:r>
        <w:t>quantitativas.</w:t>
      </w:r>
    </w:p>
    <w:p w:rsidR="00104A12" w:rsidRPr="004D55DA" w:rsidRDefault="00104A12" w:rsidP="007F7964">
      <w:pPr>
        <w:spacing w:line="360" w:lineRule="auto"/>
        <w:jc w:val="both"/>
      </w:pPr>
      <w:r w:rsidRPr="004D55DA">
        <w:t>Foram obtidos resultados globais significativos (Figura 25), com os seguintes indicadores de adequação do ajustamento ou</w:t>
      </w:r>
      <w:r w:rsidR="00136906">
        <w:t xml:space="preserve"> “Goodness-of-fit” </w:t>
      </w:r>
      <w:r w:rsidRPr="004D55DA">
        <w:t xml:space="preserve">(GoF) do modelo, </w:t>
      </w:r>
      <w:r w:rsidRPr="004D55DA">
        <w:rPr>
          <w:lang w:val="en-GB"/>
        </w:rPr>
        <w:t>χ</w:t>
      </w:r>
      <w:r w:rsidRPr="004D55DA">
        <w:rPr>
          <w:vertAlign w:val="superscript"/>
        </w:rPr>
        <w:t>2</w:t>
      </w:r>
      <w:r w:rsidRPr="004D55DA">
        <w:t xml:space="preserve"> 3,822; </w:t>
      </w:r>
      <w:r w:rsidRPr="004D55DA">
        <w:rPr>
          <w:lang w:val="en-GB"/>
        </w:rPr>
        <w:t>χ</w:t>
      </w:r>
      <w:r w:rsidRPr="004D55DA">
        <w:rPr>
          <w:vertAlign w:val="superscript"/>
        </w:rPr>
        <w:t>2</w:t>
      </w:r>
      <w:r w:rsidRPr="004D55DA">
        <w:t>/df 3,822; IFI: 0,991 (&gt;0,9); CFI: 0,991 (&gt;0,9); RMSEA: &lt;0,137 (&lt;0,1), indicando um ajustamento sofrível do modelo de medida das variáveis latentes, o que se deve à muito reduzida amostra em termos de número de terminais, uma vez que se está perante as características físicas desses terminais, mas é um caminho a explorar em investigações futuras com maiores amostras.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Concluiu-se que 23% da variância da </w:t>
      </w:r>
      <w:r w:rsidRPr="004D55DA">
        <w:rPr>
          <w:i/>
        </w:rPr>
        <w:t>eficiência do terminal</w:t>
      </w:r>
      <w:r w:rsidRPr="004D55DA">
        <w:t xml:space="preserve"> é explicada pelo </w:t>
      </w:r>
      <w:r w:rsidRPr="004D55DA">
        <w:rPr>
          <w:i/>
        </w:rPr>
        <w:t>Número de pórticos por metro de cais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=0,48) (esta variável indica a capacidade infraestrutural para a exploração intensiva do cais com elevada produtividade) e 80% da variância do </w:t>
      </w:r>
      <w:r w:rsidRPr="004D55DA">
        <w:rPr>
          <w:i/>
        </w:rPr>
        <w:t>Número de contentores</w:t>
      </w:r>
      <w:r w:rsidRPr="004D55DA">
        <w:t xml:space="preserve"> movimentado anualmente pelo terminal é explicada pela pelo </w:t>
      </w:r>
      <w:r w:rsidRPr="004D55DA">
        <w:rPr>
          <w:i/>
        </w:rPr>
        <w:t>número de pórticos por metro de cais (“hard-port”)</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=0,57), pelo </w:t>
      </w:r>
      <w:r w:rsidRPr="004D55DA">
        <w:rPr>
          <w:i/>
        </w:rPr>
        <w:t>PIB da região (“position-port”)</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=0,18), pela </w:t>
      </w:r>
      <w:r w:rsidRPr="004D55DA">
        <w:rPr>
          <w:i/>
        </w:rPr>
        <w:t>própria eficiência</w:t>
      </w:r>
      <w:r w:rsidRPr="004D55DA">
        <w:t xml:space="preserve"> (</w:t>
      </w:r>
      <m:oMath>
        <m:acc>
          <m:accPr>
            <m:ctrlPr>
              <w:rPr>
                <w:rFonts w:ascii="Cambria Math" w:hAnsi="Cambria Math"/>
                <w:i/>
              </w:rPr>
            </m:ctrlPr>
          </m:accPr>
          <m:e>
            <m:r>
              <w:rPr>
                <w:rFonts w:ascii="Cambria Math" w:hAnsi="Cambria Math"/>
              </w:rPr>
              <m:t>β</m:t>
            </m:r>
          </m:e>
        </m:acc>
      </m:oMath>
      <w:r w:rsidRPr="004D55DA">
        <w:t>=0,53) como mediadora, mostrando que a atividade do terminal depende mais de factores económicos de localização, da eficiência física do terminal e do seu equipamento, que dos serviços do terminal ou das características do porto. Como esperado, no caso ibérico, o PIB regional contribui pouco, mas tem a sua importância na atividade dos portos.</w:t>
      </w:r>
    </w:p>
    <w:p w:rsidR="00104A12" w:rsidRPr="004D55DA" w:rsidRDefault="00104A12" w:rsidP="0043431A"/>
    <w:p w:rsidR="00104A12" w:rsidRPr="00D713C2" w:rsidRDefault="00104A12" w:rsidP="007F7964">
      <w:pPr>
        <w:pStyle w:val="Legenda"/>
        <w:rPr>
          <w:sz w:val="24"/>
          <w:szCs w:val="24"/>
        </w:rPr>
      </w:pPr>
      <w:bookmarkStart w:id="175" w:name="_Toc396134189"/>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25</w:t>
      </w:r>
      <w:r w:rsidR="00372F0E" w:rsidRPr="00D713C2">
        <w:rPr>
          <w:noProof/>
          <w:sz w:val="24"/>
          <w:szCs w:val="24"/>
        </w:rPr>
        <w:fldChar w:fldCharType="end"/>
      </w:r>
      <w:r w:rsidRPr="00D713C2">
        <w:rPr>
          <w:sz w:val="24"/>
          <w:szCs w:val="24"/>
        </w:rPr>
        <w:t xml:space="preserve"> – Path Analysis da Atividade, 2º Inquérito, Portugal e Espanha</w:t>
      </w:r>
      <w:bookmarkEnd w:id="175"/>
    </w:p>
    <w:p w:rsidR="00104A12" w:rsidRPr="004D55DA" w:rsidRDefault="00BF31C8" w:rsidP="007F7964">
      <w:pPr>
        <w:spacing w:line="360" w:lineRule="auto"/>
        <w:jc w:val="both"/>
      </w:pPr>
      <w:r w:rsidRPr="004D55DA">
        <w:rPr>
          <w:noProof/>
        </w:rPr>
        <w:drawing>
          <wp:inline distT="0" distB="0" distL="0" distR="0" wp14:anchorId="7DFB21A2" wp14:editId="264634EC">
            <wp:extent cx="5678805" cy="2378710"/>
            <wp:effectExtent l="0" t="0" r="0" b="2540"/>
            <wp:docPr id="10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57">
                      <a:extLst>
                        <a:ext uri="{28A0092B-C50C-407E-A947-70E740481C1C}">
                          <a14:useLocalDpi xmlns:a14="http://schemas.microsoft.com/office/drawing/2010/main" val="0"/>
                        </a:ext>
                      </a:extLst>
                    </a:blip>
                    <a:srcRect l="5287" t="25934" r="5287" b="22894"/>
                    <a:stretch>
                      <a:fillRect/>
                    </a:stretch>
                  </pic:blipFill>
                  <pic:spPr bwMode="auto">
                    <a:xfrm>
                      <a:off x="0" y="0"/>
                      <a:ext cx="5678805" cy="2378710"/>
                    </a:xfrm>
                    <a:prstGeom prst="rect">
                      <a:avLst/>
                    </a:prstGeom>
                    <a:noFill/>
                    <a:ln>
                      <a:noFill/>
                    </a:ln>
                  </pic:spPr>
                </pic:pic>
              </a:graphicData>
            </a:graphic>
          </wp:inline>
        </w:drawing>
      </w:r>
      <w:r w:rsidR="00104A12" w:rsidRPr="004D55DA">
        <w:br w:type="page"/>
      </w:r>
    </w:p>
    <w:p w:rsidR="00104A12" w:rsidRPr="004D55DA" w:rsidRDefault="00104A12" w:rsidP="007F7964">
      <w:pPr>
        <w:spacing w:line="360" w:lineRule="auto"/>
        <w:jc w:val="both"/>
      </w:pPr>
    </w:p>
    <w:p w:rsidR="00104A12" w:rsidRPr="00D713C2" w:rsidRDefault="0043431A" w:rsidP="005958FF">
      <w:pPr>
        <w:pStyle w:val="Cabealho3"/>
        <w:ind w:left="0" w:firstLine="0"/>
        <w:rPr>
          <w:sz w:val="24"/>
          <w:szCs w:val="24"/>
          <w:u w:val="none"/>
          <w:lang w:val="pt-PT"/>
        </w:rPr>
      </w:pPr>
      <w:bookmarkStart w:id="176" w:name="_Toc395292667"/>
      <w:bookmarkStart w:id="177" w:name="_Toc395730157"/>
      <w:r w:rsidRPr="00D713C2">
        <w:rPr>
          <w:sz w:val="24"/>
          <w:szCs w:val="24"/>
          <w:u w:val="none"/>
          <w:lang w:val="pt-PT"/>
        </w:rPr>
        <w:t>Modelo de equações estruturais</w:t>
      </w:r>
      <w:bookmarkEnd w:id="176"/>
      <w:bookmarkEnd w:id="177"/>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Tendo por base o modelo de investigação inicial definido no capítulo 3.1, o conhecimento das variáveis latentes determinadas na análise exploratória </w:t>
      </w:r>
      <w:r w:rsidR="00136906" w:rsidRPr="004D55DA">
        <w:t>fatorial</w:t>
      </w:r>
      <w:r w:rsidRPr="004D55DA">
        <w:t xml:space="preserve"> anterior e os resultados relativos à significância dos </w:t>
      </w:r>
      <w:r w:rsidR="00136906" w:rsidRPr="004D55DA">
        <w:t>fatores</w:t>
      </w:r>
      <w:r w:rsidRPr="004D55DA">
        <w:t xml:space="preserve"> explicativos do desempenho dos terminais de contentores com recurso às regressões e “path analysis”, foi possível aplicar a metodologia dos modelos de equações estruturais tendo em vista permitir a análise do modelo de investigação e as respetivas hipóteses numa perspetiva holística das relações. Foram utilizadas as variáveis base recolhidas para determinar as latentes no próprio modelo de medida SEM e não as latentes resultantes da </w:t>
      </w:r>
      <w:r w:rsidR="00D36A58">
        <w:t>análise de componentes principais</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modelo resultante não corresponde exatamente ao modelo de investigação inicial, tendo sido eliminadas diversas variáveis não significativas para a determinação das variáveis latentes no modelo de medida. As latentes encontradas vão ao encontro dos resultados da </w:t>
      </w:r>
      <w:r w:rsidR="00D36A58">
        <w:t>análise de componentes principais</w:t>
      </w:r>
      <w:r w:rsidRPr="004D55DA">
        <w:t xml:space="preserve">, mas não correspondem exatamente ao modelo de investigação inicial, sendo sim uma aproximação a essas variáveis, mas com alguns ajustamentos. Ainda assim, os resultados </w:t>
      </w:r>
      <w:r w:rsidR="008C6D33">
        <w:t>não permitem rejeitar</w:t>
      </w:r>
      <w:r w:rsidRPr="004D55DA">
        <w:t xml:space="preserve"> a estrutura base teórica do modelo, embora com ajustamentos. Não foi possível </w:t>
      </w:r>
      <w:r w:rsidR="000B49EE">
        <w:t>verificar</w:t>
      </w:r>
      <w:r w:rsidRPr="004D55DA">
        <w:t xml:space="preserve"> o modelo SEM para a endógena </w:t>
      </w:r>
      <w:r w:rsidRPr="004D55DA">
        <w:rPr>
          <w:i/>
        </w:rPr>
        <w:t>atividade</w:t>
      </w:r>
      <w:r w:rsidRPr="004D55DA">
        <w:t xml:space="preserve"> por não apresentar resultados com significância, ou seja, as variáveis do modelo não explicam a variável </w:t>
      </w:r>
      <w:r w:rsidR="00136906" w:rsidRPr="004D55DA">
        <w:t>atividade</w:t>
      </w:r>
      <w:r w:rsidRPr="004D55DA">
        <w:t>.</w:t>
      </w:r>
    </w:p>
    <w:p w:rsidR="00104A12" w:rsidRPr="004D55DA" w:rsidRDefault="00104A12" w:rsidP="007F7964">
      <w:pPr>
        <w:spacing w:line="360" w:lineRule="auto"/>
        <w:jc w:val="both"/>
      </w:pPr>
    </w:p>
    <w:p w:rsidR="00104A12" w:rsidRPr="004D55DA" w:rsidRDefault="00136906" w:rsidP="007F7964">
      <w:pPr>
        <w:spacing w:line="360" w:lineRule="auto"/>
        <w:jc w:val="both"/>
      </w:pPr>
      <w:r w:rsidRPr="004D55DA">
        <w:t>Começando com o modelo de medida</w:t>
      </w:r>
      <w:r>
        <w:t xml:space="preserve"> com as variáveis latentes de primeiro nível incluídas na Figura 26</w:t>
      </w:r>
      <w:r w:rsidRPr="004D55DA">
        <w:t xml:space="preserve">, obtiveram coeficientes significativos para as relações das latentes com as variáveis indicadoras ou observadas (&gt;0,5), verificando-se a validade de convergência do modelo (Anderson et al., 1987; Garver &amp; Mantzer, 1999), garantindo a adequação do modelo aos dados de </w:t>
      </w:r>
      <w:r>
        <w:t>"</w:t>
      </w:r>
      <w:r w:rsidRPr="004D55DA">
        <w:t>input</w:t>
      </w:r>
      <w:r>
        <w:t>"</w:t>
      </w:r>
      <w:r w:rsidRPr="004D55DA">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Verifica-se também a existência de validade de conteúdo (“face validity”) das variáveis latentes, uma vez que cada variável latente determinada possui de facto consistência com os conceitos e definições existentes na literatura e com o modelo teórico. O modelo de medida </w:t>
      </w:r>
      <w:r w:rsidRPr="004D55DA">
        <w:lastRenderedPageBreak/>
        <w:t>tem como finalidade constituir variáveis latentes distintas e robustas. Os coeficientes R</w:t>
      </w:r>
      <w:r w:rsidRPr="004D55DA">
        <w:rPr>
          <w:vertAlign w:val="superscript"/>
        </w:rPr>
        <w:t>2</w:t>
      </w:r>
      <w:r w:rsidRPr="004D55DA">
        <w:t xml:space="preserve"> das variáveis latentes do modelo são elevados, o que indica igualmente a robustez do modelo.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Na Tabela 29 verifica-se que a correlação entre as variáveis latentes é inferior a 0,85 e é inferior aos valores da raiz quadrada de variância média explicada (VME ou AVE) das latentes, que está na diagonal da Tabela, indicando que são variáveis latentes distintas entre si. Ou seja, não se confundem.</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valores de AVE das variáveis latentes de primeiro nível, indicador de consistência interna das latentes de potência superior ao Alpha de Cronbach, são sempre superiores a 0,5. Estes resultados indiciam a robustez do modelo de equações estruturais, das variáveis latentes, ou seja a validade discriminante do modelo (Fornell &amp; Larcker, 1981; Kline, 2005).</w:t>
      </w:r>
    </w:p>
    <w:p w:rsidR="00104A12" w:rsidRPr="004D55DA" w:rsidRDefault="00104A12" w:rsidP="007F7964">
      <w:pPr>
        <w:spacing w:line="360" w:lineRule="auto"/>
        <w:jc w:val="both"/>
      </w:pPr>
    </w:p>
    <w:p w:rsidR="00104A12" w:rsidRPr="00D713C2" w:rsidRDefault="00104A12" w:rsidP="007F7964">
      <w:pPr>
        <w:pStyle w:val="Legenda"/>
        <w:rPr>
          <w:color w:val="000000"/>
          <w:sz w:val="24"/>
          <w:szCs w:val="24"/>
        </w:rPr>
      </w:pPr>
      <w:bookmarkStart w:id="178" w:name="_Toc396134152"/>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29</w:t>
      </w:r>
      <w:r w:rsidR="00372F0E" w:rsidRPr="00D713C2">
        <w:rPr>
          <w:noProof/>
          <w:sz w:val="24"/>
          <w:szCs w:val="24"/>
        </w:rPr>
        <w:fldChar w:fldCharType="end"/>
      </w:r>
      <w:r w:rsidRPr="00D713C2">
        <w:rPr>
          <w:sz w:val="24"/>
          <w:szCs w:val="24"/>
        </w:rPr>
        <w:t xml:space="preserve"> – </w:t>
      </w:r>
      <w:r w:rsidRPr="00D713C2">
        <w:rPr>
          <w:color w:val="000000"/>
          <w:sz w:val="24"/>
          <w:szCs w:val="24"/>
        </w:rPr>
        <w:t>AVE e correlação entre latentes, modelo de medida, 2º inq</w:t>
      </w:r>
      <w:r w:rsidR="00FC74C5" w:rsidRPr="00D713C2">
        <w:rPr>
          <w:color w:val="000000"/>
          <w:sz w:val="24"/>
          <w:szCs w:val="24"/>
        </w:rPr>
        <w:t>.</w:t>
      </w:r>
      <w:r w:rsidRPr="00D713C2">
        <w:rPr>
          <w:color w:val="000000"/>
          <w:sz w:val="24"/>
          <w:szCs w:val="24"/>
        </w:rPr>
        <w:t xml:space="preserve">, </w:t>
      </w:r>
      <w:r w:rsidR="00FC74C5" w:rsidRPr="00D713C2">
        <w:rPr>
          <w:color w:val="000000"/>
          <w:sz w:val="24"/>
          <w:szCs w:val="24"/>
        </w:rPr>
        <w:t>PT e ES</w:t>
      </w:r>
      <w:bookmarkEnd w:id="178"/>
    </w:p>
    <w:p w:rsidR="00104A12" w:rsidRPr="004D55DA" w:rsidRDefault="00104A12" w:rsidP="007F7964"/>
    <w:tbl>
      <w:tblPr>
        <w:tblW w:w="8264" w:type="dxa"/>
        <w:tblInd w:w="55" w:type="dxa"/>
        <w:tblCellMar>
          <w:left w:w="70" w:type="dxa"/>
          <w:right w:w="70" w:type="dxa"/>
        </w:tblCellMar>
        <w:tblLook w:val="00A0" w:firstRow="1" w:lastRow="0" w:firstColumn="1" w:lastColumn="0" w:noHBand="0" w:noVBand="0"/>
      </w:tblPr>
      <w:tblGrid>
        <w:gridCol w:w="3559"/>
        <w:gridCol w:w="776"/>
        <w:gridCol w:w="559"/>
        <w:gridCol w:w="864"/>
        <w:gridCol w:w="567"/>
        <w:gridCol w:w="141"/>
        <w:gridCol w:w="426"/>
        <w:gridCol w:w="141"/>
        <w:gridCol w:w="426"/>
        <w:gridCol w:w="141"/>
        <w:gridCol w:w="426"/>
        <w:gridCol w:w="141"/>
        <w:gridCol w:w="298"/>
        <w:gridCol w:w="141"/>
      </w:tblGrid>
      <w:tr w:rsidR="00104A12" w:rsidRPr="004D55DA" w:rsidTr="00E860E8">
        <w:trPr>
          <w:trHeight w:val="240"/>
        </w:trPr>
        <w:tc>
          <w:tcPr>
            <w:tcW w:w="3559" w:type="dxa"/>
            <w:tcBorders>
              <w:top w:val="single" w:sz="4" w:space="0" w:color="auto"/>
              <w:left w:val="nil"/>
              <w:bottom w:val="single" w:sz="4" w:space="0" w:color="auto"/>
              <w:right w:val="nil"/>
            </w:tcBorders>
            <w:shd w:val="clear" w:color="000000" w:fill="FFFFFF"/>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Latente</w:t>
            </w:r>
          </w:p>
        </w:tc>
        <w:tc>
          <w:tcPr>
            <w:tcW w:w="434" w:type="dxa"/>
            <w:tcBorders>
              <w:top w:val="single" w:sz="4" w:space="0" w:color="auto"/>
              <w:left w:val="nil"/>
              <w:bottom w:val="single" w:sz="4" w:space="0" w:color="auto"/>
              <w:right w:val="nil"/>
            </w:tcBorders>
            <w:shd w:val="clear" w:color="000000" w:fill="FFFFFF"/>
            <w:vAlign w:val="center"/>
          </w:tcPr>
          <w:p w:rsidR="00104A12" w:rsidRPr="004D55DA" w:rsidRDefault="0043431A" w:rsidP="007F7964">
            <w:pPr>
              <w:jc w:val="right"/>
              <w:rPr>
                <w:rFonts w:ascii="Cambria" w:hAnsi="Cambria" w:cs="Arial"/>
                <w:color w:val="000000"/>
                <w:sz w:val="16"/>
                <w:szCs w:val="16"/>
              </w:rPr>
            </w:pPr>
            <w:r>
              <w:rPr>
                <w:rFonts w:ascii="Cambria" w:hAnsi="Cambria" w:cs="Arial"/>
                <w:color w:val="000000"/>
                <w:sz w:val="16"/>
                <w:szCs w:val="16"/>
              </w:rPr>
              <w:t>Variáveis</w:t>
            </w:r>
          </w:p>
        </w:tc>
        <w:tc>
          <w:tcPr>
            <w:tcW w:w="559" w:type="dxa"/>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AVE</w:t>
            </w:r>
          </w:p>
        </w:tc>
        <w:tc>
          <w:tcPr>
            <w:tcW w:w="864" w:type="dxa"/>
            <w:tcBorders>
              <w:top w:val="single" w:sz="4" w:space="0" w:color="auto"/>
              <w:left w:val="single" w:sz="4" w:space="0" w:color="auto"/>
              <w:bottom w:val="single" w:sz="4" w:space="0" w:color="auto"/>
              <w:right w:val="single" w:sz="4" w:space="0" w:color="auto"/>
            </w:tcBorders>
            <w:shd w:val="clear" w:color="000000" w:fill="FFFFFF"/>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1(2ºNivel)</w:t>
            </w:r>
          </w:p>
        </w:tc>
        <w:tc>
          <w:tcPr>
            <w:tcW w:w="708" w:type="dxa"/>
            <w:gridSpan w:val="2"/>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w:t>
            </w:r>
          </w:p>
        </w:tc>
        <w:tc>
          <w:tcPr>
            <w:tcW w:w="567" w:type="dxa"/>
            <w:gridSpan w:val="2"/>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w:t>
            </w:r>
          </w:p>
        </w:tc>
        <w:tc>
          <w:tcPr>
            <w:tcW w:w="567" w:type="dxa"/>
            <w:gridSpan w:val="2"/>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w:t>
            </w:r>
          </w:p>
        </w:tc>
        <w:tc>
          <w:tcPr>
            <w:tcW w:w="567" w:type="dxa"/>
            <w:gridSpan w:val="2"/>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w:t>
            </w:r>
          </w:p>
        </w:tc>
        <w:tc>
          <w:tcPr>
            <w:tcW w:w="439" w:type="dxa"/>
            <w:gridSpan w:val="2"/>
            <w:tcBorders>
              <w:top w:val="single" w:sz="4" w:space="0" w:color="auto"/>
              <w:left w:val="nil"/>
              <w:bottom w:val="single" w:sz="4" w:space="0" w:color="auto"/>
              <w:right w:val="nil"/>
            </w:tcBorders>
            <w:shd w:val="clear" w:color="000000" w:fill="FFFFFF"/>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w:t>
            </w:r>
          </w:p>
        </w:tc>
      </w:tr>
      <w:tr w:rsidR="00104A12" w:rsidRPr="004D55DA" w:rsidTr="00E860E8">
        <w:trPr>
          <w:trHeight w:val="240"/>
        </w:trPr>
        <w:tc>
          <w:tcPr>
            <w:tcW w:w="3559"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Características do terminal</w:t>
            </w:r>
          </w:p>
        </w:tc>
        <w:tc>
          <w:tcPr>
            <w:tcW w:w="4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w:t>
            </w:r>
          </w:p>
        </w:tc>
        <w:tc>
          <w:tcPr>
            <w:tcW w:w="559"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0,64</w:t>
            </w:r>
          </w:p>
        </w:tc>
        <w:tc>
          <w:tcPr>
            <w:tcW w:w="864" w:type="dxa"/>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0,80</w:t>
            </w:r>
          </w:p>
        </w:tc>
        <w:tc>
          <w:tcPr>
            <w:tcW w:w="708"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r>
      <w:tr w:rsidR="00104A12" w:rsidRPr="004D55DA" w:rsidTr="00E860E8">
        <w:trPr>
          <w:gridAfter w:val="1"/>
          <w:wAfter w:w="141" w:type="dxa"/>
          <w:trHeight w:val="240"/>
        </w:trPr>
        <w:tc>
          <w:tcPr>
            <w:tcW w:w="3559"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Especialização do porto em contentores</w:t>
            </w:r>
          </w:p>
        </w:tc>
        <w:tc>
          <w:tcPr>
            <w:tcW w:w="4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w:t>
            </w:r>
          </w:p>
        </w:tc>
        <w:tc>
          <w:tcPr>
            <w:tcW w:w="559"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0,60</w:t>
            </w:r>
          </w:p>
        </w:tc>
        <w:tc>
          <w:tcPr>
            <w:tcW w:w="864" w:type="dxa"/>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0,63</w:t>
            </w:r>
          </w:p>
        </w:tc>
        <w:tc>
          <w:tcPr>
            <w:tcW w:w="567" w:type="dxa"/>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0,78</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r>
      <w:tr w:rsidR="00104A12" w:rsidRPr="004D55DA" w:rsidTr="00E860E8">
        <w:trPr>
          <w:gridAfter w:val="1"/>
          <w:wAfter w:w="141" w:type="dxa"/>
          <w:trHeight w:val="240"/>
        </w:trPr>
        <w:tc>
          <w:tcPr>
            <w:tcW w:w="3559"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Serviços marítimos do terminal</w:t>
            </w:r>
          </w:p>
        </w:tc>
        <w:tc>
          <w:tcPr>
            <w:tcW w:w="4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w:t>
            </w:r>
          </w:p>
        </w:tc>
        <w:tc>
          <w:tcPr>
            <w:tcW w:w="559"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0,76</w:t>
            </w:r>
          </w:p>
        </w:tc>
        <w:tc>
          <w:tcPr>
            <w:tcW w:w="864" w:type="dxa"/>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0,56</w:t>
            </w:r>
          </w:p>
        </w:tc>
        <w:tc>
          <w:tcPr>
            <w:tcW w:w="567" w:type="dxa"/>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0,57</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0,87</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r>
      <w:tr w:rsidR="00104A12" w:rsidRPr="004D55DA" w:rsidTr="00E860E8">
        <w:trPr>
          <w:gridAfter w:val="1"/>
          <w:wAfter w:w="141" w:type="dxa"/>
          <w:trHeight w:val="240"/>
        </w:trPr>
        <w:tc>
          <w:tcPr>
            <w:tcW w:w="3559"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Integração logística e organização do terminal</w:t>
            </w:r>
          </w:p>
        </w:tc>
        <w:tc>
          <w:tcPr>
            <w:tcW w:w="4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w:t>
            </w:r>
          </w:p>
        </w:tc>
        <w:tc>
          <w:tcPr>
            <w:tcW w:w="559"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0,75</w:t>
            </w:r>
          </w:p>
        </w:tc>
        <w:tc>
          <w:tcPr>
            <w:tcW w:w="864" w:type="dxa"/>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0,80</w:t>
            </w:r>
          </w:p>
        </w:tc>
        <w:tc>
          <w:tcPr>
            <w:tcW w:w="567" w:type="dxa"/>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0,60</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0,53</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0,87</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r>
      <w:tr w:rsidR="00104A12" w:rsidRPr="004D55DA" w:rsidTr="00E860E8">
        <w:trPr>
          <w:gridAfter w:val="1"/>
          <w:wAfter w:w="141" w:type="dxa"/>
          <w:trHeight w:val="240"/>
        </w:trPr>
        <w:tc>
          <w:tcPr>
            <w:tcW w:w="3559"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Acessibilidades terrestres</w:t>
            </w:r>
          </w:p>
        </w:tc>
        <w:tc>
          <w:tcPr>
            <w:tcW w:w="4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w:t>
            </w:r>
          </w:p>
        </w:tc>
        <w:tc>
          <w:tcPr>
            <w:tcW w:w="559"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0,67</w:t>
            </w:r>
          </w:p>
        </w:tc>
        <w:tc>
          <w:tcPr>
            <w:tcW w:w="864" w:type="dxa"/>
            <w:tcBorders>
              <w:top w:val="nil"/>
              <w:left w:val="single" w:sz="4" w:space="0" w:color="auto"/>
              <w:bottom w:val="nil"/>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0,69</w:t>
            </w:r>
          </w:p>
        </w:tc>
        <w:tc>
          <w:tcPr>
            <w:tcW w:w="567" w:type="dxa"/>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0,44</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0,39</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0,66</w:t>
            </w:r>
          </w:p>
        </w:tc>
        <w:tc>
          <w:tcPr>
            <w:tcW w:w="567" w:type="dxa"/>
            <w:gridSpan w:val="2"/>
            <w:tcBorders>
              <w:top w:val="nil"/>
              <w:left w:val="nil"/>
              <w:bottom w:val="nil"/>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0,82</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w:t>
            </w:r>
          </w:p>
        </w:tc>
      </w:tr>
      <w:tr w:rsidR="00104A12" w:rsidRPr="004D55DA" w:rsidTr="00E860E8">
        <w:trPr>
          <w:gridAfter w:val="1"/>
          <w:wAfter w:w="141" w:type="dxa"/>
          <w:trHeight w:val="240"/>
        </w:trPr>
        <w:tc>
          <w:tcPr>
            <w:tcW w:w="3559" w:type="dxa"/>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4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w:t>
            </w:r>
          </w:p>
        </w:tc>
        <w:tc>
          <w:tcPr>
            <w:tcW w:w="559"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0,84</w:t>
            </w:r>
          </w:p>
        </w:tc>
        <w:tc>
          <w:tcPr>
            <w:tcW w:w="864" w:type="dxa"/>
            <w:tcBorders>
              <w:top w:val="nil"/>
              <w:left w:val="single" w:sz="4" w:space="0" w:color="auto"/>
              <w:bottom w:val="single" w:sz="4" w:space="0" w:color="auto"/>
              <w:right w:val="single" w:sz="4" w:space="0" w:color="auto"/>
            </w:tcBorders>
            <w:shd w:val="clear" w:color="000000" w:fill="FFFFFF"/>
            <w:vAlign w:val="bottom"/>
          </w:tcPr>
          <w:p w:rsidR="00104A12" w:rsidRPr="004D55DA" w:rsidRDefault="00104A12" w:rsidP="007F7964">
            <w:pPr>
              <w:ind w:firstLineChars="100" w:firstLine="160"/>
              <w:jc w:val="center"/>
              <w:rPr>
                <w:rFonts w:ascii="Cambria" w:hAnsi="Cambria" w:cs="Arial"/>
                <w:color w:val="000000"/>
                <w:sz w:val="16"/>
                <w:szCs w:val="16"/>
              </w:rPr>
            </w:pPr>
            <w:r w:rsidRPr="004D55DA">
              <w:rPr>
                <w:rFonts w:ascii="Cambria" w:hAnsi="Cambria" w:cs="Arial"/>
                <w:color w:val="000000"/>
                <w:sz w:val="16"/>
                <w:szCs w:val="16"/>
              </w:rPr>
              <w:t>0,79</w:t>
            </w:r>
          </w:p>
        </w:tc>
        <w:tc>
          <w:tcPr>
            <w:tcW w:w="567" w:type="dxa"/>
            <w:tcBorders>
              <w:top w:val="nil"/>
              <w:left w:val="nil"/>
              <w:bottom w:val="single" w:sz="4" w:space="0" w:color="auto"/>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0,53</w:t>
            </w:r>
          </w:p>
        </w:tc>
        <w:tc>
          <w:tcPr>
            <w:tcW w:w="567" w:type="dxa"/>
            <w:gridSpan w:val="2"/>
            <w:tcBorders>
              <w:top w:val="nil"/>
              <w:left w:val="nil"/>
              <w:bottom w:val="single" w:sz="4" w:space="0" w:color="auto"/>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0,46</w:t>
            </w:r>
          </w:p>
        </w:tc>
        <w:tc>
          <w:tcPr>
            <w:tcW w:w="567" w:type="dxa"/>
            <w:gridSpan w:val="2"/>
            <w:tcBorders>
              <w:top w:val="nil"/>
              <w:left w:val="nil"/>
              <w:bottom w:val="single" w:sz="4" w:space="0" w:color="auto"/>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0,80</w:t>
            </w:r>
          </w:p>
        </w:tc>
        <w:tc>
          <w:tcPr>
            <w:tcW w:w="567" w:type="dxa"/>
            <w:gridSpan w:val="2"/>
            <w:tcBorders>
              <w:top w:val="nil"/>
              <w:left w:val="nil"/>
              <w:bottom w:val="single" w:sz="4" w:space="0" w:color="auto"/>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0,58</w:t>
            </w:r>
          </w:p>
        </w:tc>
        <w:tc>
          <w:tcPr>
            <w:tcW w:w="439" w:type="dxa"/>
            <w:gridSpan w:val="2"/>
            <w:tcBorders>
              <w:top w:val="nil"/>
              <w:left w:val="nil"/>
              <w:bottom w:val="single" w:sz="4" w:space="0" w:color="auto"/>
              <w:right w:val="nil"/>
            </w:tcBorders>
            <w:shd w:val="clear" w:color="000000" w:fill="FFFFFF"/>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0,92</w:t>
            </w:r>
          </w:p>
        </w:tc>
      </w:tr>
      <w:tr w:rsidR="00104A12" w:rsidRPr="004D55DA" w:rsidTr="00E860E8">
        <w:trPr>
          <w:trHeight w:val="240"/>
        </w:trPr>
        <w:tc>
          <w:tcPr>
            <w:tcW w:w="3559"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SQRT(AVE) in diagonal</w:t>
            </w:r>
          </w:p>
        </w:tc>
        <w:tc>
          <w:tcPr>
            <w:tcW w:w="434" w:type="dxa"/>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559" w:type="dxa"/>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864" w:type="dxa"/>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708"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567"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c>
          <w:tcPr>
            <w:tcW w:w="439" w:type="dxa"/>
            <w:gridSpan w:val="2"/>
            <w:tcBorders>
              <w:top w:val="nil"/>
              <w:left w:val="nil"/>
              <w:bottom w:val="nil"/>
              <w:right w:val="nil"/>
            </w:tcBorders>
            <w:shd w:val="clear" w:color="000000" w:fill="FFFFFF"/>
            <w:noWrap/>
            <w:vAlign w:val="bottom"/>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 </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apontam ainda para a validade da unidimensionalidade do modelo de equações estruturais (Hair e tal., 1998; Tabachnick e Fidell, 2001), com os seguintes indicadores de adequação do ajustamento ou </w:t>
      </w:r>
      <w:r w:rsidR="00136906">
        <w:t>“Goodness-</w:t>
      </w:r>
      <w:r w:rsidRPr="004D55DA">
        <w:t>of</w:t>
      </w:r>
      <w:r w:rsidR="00136906">
        <w:t>-</w:t>
      </w:r>
      <w:r w:rsidRPr="004D55DA">
        <w:t>fit</w:t>
      </w:r>
      <w:r w:rsidR="00136906">
        <w:t>”</w:t>
      </w:r>
      <w:r w:rsidRPr="004D55DA">
        <w:t xml:space="preserve"> (GoF) do modelo de medida do segundo inquérito, </w:t>
      </w:r>
      <w:r w:rsidRPr="004D55DA">
        <w:rPr>
          <w:lang w:val="en-GB"/>
        </w:rPr>
        <w:t>χ</w:t>
      </w:r>
      <w:r w:rsidRPr="004D55DA">
        <w:rPr>
          <w:vertAlign w:val="superscript"/>
        </w:rPr>
        <w:t>2</w:t>
      </w:r>
      <w:r w:rsidRPr="004D55DA">
        <w:t xml:space="preserve"> 808,959; </w:t>
      </w:r>
      <w:r w:rsidRPr="004D55DA">
        <w:rPr>
          <w:lang w:val="en-GB"/>
        </w:rPr>
        <w:t>χ</w:t>
      </w:r>
      <w:r w:rsidRPr="004D55DA">
        <w:rPr>
          <w:vertAlign w:val="superscript"/>
        </w:rPr>
        <w:t>2</w:t>
      </w:r>
      <w:r w:rsidRPr="004D55DA">
        <w:t>/df 2,033; IFI: 0,902 (&gt;0,9); CFI: 0,901 (&gt;0,9); RMSEA: 0,083 (&lt;0,1), indicando um ajustamento bom do modelo de medida das variáveis latentes.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modelo de medida resultante </w:t>
      </w:r>
      <w:r w:rsidR="0043431A">
        <w:t>não permitem rejeitar</w:t>
      </w:r>
      <w:r w:rsidRPr="004D55DA">
        <w:t xml:space="preserve"> a existência da latente endógena </w:t>
      </w:r>
      <w:r w:rsidRPr="004D55DA">
        <w:rPr>
          <w:i/>
        </w:rPr>
        <w:t>satisfação do cliente</w:t>
      </w:r>
      <w:r w:rsidRPr="004D55DA">
        <w:t xml:space="preserve">, </w:t>
      </w:r>
      <w:r w:rsidR="0043431A">
        <w:t>nem</w:t>
      </w:r>
      <w:r w:rsidRPr="004D55DA">
        <w:t xml:space="preserve"> a existência de quatro variáveis latentes exógenas: </w:t>
      </w:r>
      <w:r w:rsidRPr="004D55DA">
        <w:rPr>
          <w:i/>
        </w:rPr>
        <w:t xml:space="preserve">integração logística e organização do terminal </w:t>
      </w:r>
      <w:r w:rsidRPr="004D55DA">
        <w:t xml:space="preserve">(que junta os constructos teóricos “softlogis-terminal” e “softorg-terminal”), </w:t>
      </w:r>
      <w:r w:rsidRPr="004D55DA">
        <w:rPr>
          <w:i/>
        </w:rPr>
        <w:t xml:space="preserve">serviços marítimos do terminal </w:t>
      </w:r>
      <w:r w:rsidRPr="004D55DA">
        <w:t xml:space="preserve">(que corresponde ao constructo teórico “softsea-terminal”), </w:t>
      </w:r>
      <w:r w:rsidRPr="004D55DA">
        <w:rPr>
          <w:i/>
        </w:rPr>
        <w:t xml:space="preserve">acessibilidades terrestres </w:t>
      </w:r>
      <w:r w:rsidRPr="004D55DA">
        <w:t xml:space="preserve">(que representa o constructo teórico “hard-port”) e </w:t>
      </w:r>
      <w:r w:rsidRPr="004D55DA">
        <w:rPr>
          <w:i/>
        </w:rPr>
        <w:t>especialização do porto em contentores</w:t>
      </w:r>
      <w:r w:rsidRPr="004D55DA">
        <w:t xml:space="preserve"> (que representa o constructo teórico “soft-port”). Não foi possível demonstrar a influência do factor teórico “position-port”, talvez pela </w:t>
      </w:r>
      <w:r w:rsidRPr="004D55DA">
        <w:lastRenderedPageBreak/>
        <w:t xml:space="preserve">reduzida influência no caso da Península Ibérica, na opinião dos utilizadores. Os resultados demonstram o modelo inicial e </w:t>
      </w:r>
      <w:r w:rsidR="008C6D33">
        <w:t>não permitem rejeitar</w:t>
      </w:r>
      <w:r w:rsidRPr="004D55DA">
        <w:t xml:space="preserve"> a teoria parcialmente.</w:t>
      </w:r>
    </w:p>
    <w:p w:rsidR="00104A12" w:rsidRPr="004D55DA" w:rsidRDefault="00104A12" w:rsidP="007F7964">
      <w:pPr>
        <w:spacing w:line="360" w:lineRule="auto"/>
        <w:jc w:val="both"/>
        <w:rPr>
          <w:noProof/>
        </w:rPr>
      </w:pPr>
    </w:p>
    <w:p w:rsidR="00104A12" w:rsidRPr="004D55DA" w:rsidRDefault="00104A12" w:rsidP="007F7964">
      <w:pPr>
        <w:spacing w:line="360" w:lineRule="auto"/>
        <w:jc w:val="both"/>
      </w:pPr>
      <w:r w:rsidRPr="004D55DA">
        <w:t>A partir do modelo de equações estruturais de medida, passou-se ao modelo estrutural com relações causais entre as variáveis latentes</w:t>
      </w:r>
      <w:r w:rsidR="00176614">
        <w:t xml:space="preserve"> obtidas da análise exploratória efetuada e tendo por base o modelo de referência de investigação</w:t>
      </w:r>
      <w:r w:rsidRPr="004D55DA">
        <w:t xml:space="preserve">, com uma latente de segundo nível relativa às </w:t>
      </w:r>
      <w:r w:rsidRPr="004D55DA">
        <w:rPr>
          <w:i/>
        </w:rPr>
        <w:t>características do terminal,</w:t>
      </w:r>
      <w:r w:rsidRPr="004D55DA">
        <w:t xml:space="preserve"> explicativa das variáveis endógenas, com o qual se obtiveram coeficientes de regressão estandardizados com valores acima de 0,5 (Figura 26).</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do modelo apontam para o cumprimento dos critérios de unidimensionalidade do modelo de equações estruturais (Hair et al., 1998; Tabachnick &amp; Fidell, 2001), com os seguintes indicadores de um ajustamento sofrível com</w:t>
      </w:r>
      <w:r w:rsidR="00136906">
        <w:t xml:space="preserve"> “Goodness-of-fit” </w:t>
      </w:r>
      <w:r w:rsidRPr="004D55DA">
        <w:t xml:space="preserve">(GoF), </w:t>
      </w:r>
      <w:r w:rsidRPr="004D55DA">
        <w:rPr>
          <w:lang w:val="en-GB"/>
        </w:rPr>
        <w:t>χ</w:t>
      </w:r>
      <w:r w:rsidRPr="004D55DA">
        <w:rPr>
          <w:vertAlign w:val="superscript"/>
        </w:rPr>
        <w:t>2</w:t>
      </w:r>
      <w:r w:rsidRPr="004D55DA">
        <w:t xml:space="preserve"> 883,657; </w:t>
      </w:r>
      <w:r w:rsidRPr="004D55DA">
        <w:rPr>
          <w:lang w:val="en-GB"/>
        </w:rPr>
        <w:t>χ</w:t>
      </w:r>
      <w:r w:rsidRPr="004D55DA">
        <w:rPr>
          <w:vertAlign w:val="superscript"/>
        </w:rPr>
        <w:t>2</w:t>
      </w:r>
      <w:r w:rsidRPr="004D55DA">
        <w:t>/df 2,441; IFI: 0,868 (&gt;0,9); CFI: 0,867 (&gt;0,9); RMSEA: 0,098 (&lt;0,1).</w:t>
      </w:r>
    </w:p>
    <w:p w:rsidR="00104A12" w:rsidRPr="004D55DA" w:rsidRDefault="00104A12" w:rsidP="007F7964">
      <w:pPr>
        <w:spacing w:line="360" w:lineRule="auto"/>
        <w:jc w:val="both"/>
      </w:pPr>
    </w:p>
    <w:p w:rsidR="00104A12" w:rsidRPr="004D55DA" w:rsidRDefault="00176614" w:rsidP="007F7964">
      <w:pPr>
        <w:spacing w:line="360" w:lineRule="auto"/>
        <w:jc w:val="both"/>
      </w:pPr>
      <w:r>
        <w:t>Embora o modelo com todas as variáveis observadas permita uma visão holística, u</w:t>
      </w:r>
      <w:r w:rsidR="00104A12" w:rsidRPr="004D55DA">
        <w:t>ma das limitações deste modelo é a reduzida dimensão da amostra, constituída por 151 elementos, face ao elevado número de variáveis, quando nos modelos SEM é considerado adequado um número de observações que seja cerca de 10 vezes o número de variáveis observadas, ou seja, apenas poderíamos ter 15/16 variáveis observadas, quando temos 29 variáveis.</w:t>
      </w:r>
      <w:r>
        <w:t xml:space="preserve"> </w:t>
      </w:r>
      <w:r w:rsidR="00104A12" w:rsidRPr="004D55DA">
        <w:t xml:space="preserve">Com vista a </w:t>
      </w:r>
      <w:r w:rsidR="000B49EE">
        <w:t>analisar</w:t>
      </w:r>
      <w:r w:rsidR="00104A12" w:rsidRPr="004D55DA">
        <w:t xml:space="preserve"> os resultados respeitando este critério, foi simplificado o modelo, ficando apenas com 15 variáveis com melhores valores </w:t>
      </w:r>
      <m:oMath>
        <m:acc>
          <m:accPr>
            <m:ctrlPr>
              <w:rPr>
                <w:rFonts w:ascii="Cambria Math" w:hAnsi="Cambria Math"/>
                <w:i/>
              </w:rPr>
            </m:ctrlPr>
          </m:accPr>
          <m:e>
            <m:r>
              <w:rPr>
                <w:rFonts w:ascii="Cambria Math" w:hAnsi="Cambria Math"/>
              </w:rPr>
              <m:t>β</m:t>
            </m:r>
          </m:e>
        </m:acc>
      </m:oMath>
      <w:r w:rsidR="00104A12" w:rsidRPr="004D55DA">
        <w:t xml:space="preserve"> (Figura 27), o número mínimo que permitia manter as latentes explicativas inalteradas. Os resultados </w:t>
      </w:r>
      <w:r w:rsidR="008C6D33">
        <w:t>não permitem rejeitar</w:t>
      </w:r>
      <w:r w:rsidR="00104A12" w:rsidRPr="004D55DA">
        <w:t xml:space="preserve"> os do primeiro modelo, com os seguintes indicadores de um bom ajustamento</w:t>
      </w:r>
      <w:r w:rsidR="00136906">
        <w:t xml:space="preserve"> “Goodness-of-fit” </w:t>
      </w:r>
      <w:r w:rsidR="00104A12" w:rsidRPr="004D55DA">
        <w:t xml:space="preserve">(GoF), </w:t>
      </w:r>
      <w:r w:rsidR="00104A12" w:rsidRPr="004D55DA">
        <w:rPr>
          <w:lang w:val="en-GB"/>
        </w:rPr>
        <w:t>χ</w:t>
      </w:r>
      <w:r w:rsidR="00104A12" w:rsidRPr="004D55DA">
        <w:rPr>
          <w:vertAlign w:val="superscript"/>
        </w:rPr>
        <w:t>2</w:t>
      </w:r>
      <w:r w:rsidR="00104A12" w:rsidRPr="004D55DA">
        <w:t xml:space="preserve"> 197,734; </w:t>
      </w:r>
      <w:r w:rsidR="00104A12" w:rsidRPr="004D55DA">
        <w:rPr>
          <w:lang w:val="en-GB"/>
        </w:rPr>
        <w:t>χ</w:t>
      </w:r>
      <w:r w:rsidR="00104A12" w:rsidRPr="004D55DA">
        <w:rPr>
          <w:vertAlign w:val="superscript"/>
        </w:rPr>
        <w:t>2</w:t>
      </w:r>
      <w:r w:rsidR="00104A12" w:rsidRPr="004D55DA">
        <w:t>/df 2,326; IFI: 0,923 (&gt;0,9); CFI: 0,922 (&gt;0,9); RMSEA: 0,094 (&lt;0,1).</w:t>
      </w:r>
    </w:p>
    <w:p w:rsidR="00104A12" w:rsidRPr="004D55DA" w:rsidRDefault="00104A12" w:rsidP="007F7964">
      <w:pPr>
        <w:spacing w:line="360" w:lineRule="auto"/>
        <w:jc w:val="both"/>
      </w:pPr>
    </w:p>
    <w:p w:rsidR="00104A12" w:rsidRPr="004D55DA" w:rsidRDefault="00104A12" w:rsidP="007F7964"/>
    <w:p w:rsidR="00104A12" w:rsidRPr="004D55DA" w:rsidRDefault="00104A12" w:rsidP="007F7964">
      <w:pPr>
        <w:spacing w:line="360" w:lineRule="auto"/>
        <w:jc w:val="both"/>
        <w:sectPr w:rsidR="00104A12" w:rsidRPr="004D55DA" w:rsidSect="007F7964">
          <w:pgSz w:w="11906" w:h="16838" w:code="9"/>
          <w:pgMar w:top="1418" w:right="1133" w:bottom="1418" w:left="1701" w:header="709" w:footer="709" w:gutter="0"/>
          <w:cols w:space="708"/>
          <w:titlePg/>
          <w:docGrid w:linePitch="360"/>
        </w:sectPr>
      </w:pP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79" w:name="_Toc396134190"/>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26</w:t>
      </w:r>
      <w:r w:rsidR="00372F0E" w:rsidRPr="00D713C2">
        <w:rPr>
          <w:noProof/>
          <w:sz w:val="24"/>
          <w:szCs w:val="24"/>
        </w:rPr>
        <w:fldChar w:fldCharType="end"/>
      </w:r>
      <w:r w:rsidRPr="00D713C2">
        <w:rPr>
          <w:sz w:val="24"/>
          <w:szCs w:val="24"/>
        </w:rPr>
        <w:t xml:space="preserve"> - Modelo estrutural, 2º inquérito, Portugal e Espanha</w:t>
      </w:r>
      <w:bookmarkEnd w:id="179"/>
    </w:p>
    <w:p w:rsidR="00104A12" w:rsidRPr="004D55DA" w:rsidRDefault="00104A12" w:rsidP="007F7964"/>
    <w:p w:rsidR="00104A12" w:rsidRPr="004D55DA" w:rsidRDefault="00BF31C8" w:rsidP="007F7964">
      <w:r w:rsidRPr="004D55DA">
        <w:rPr>
          <w:noProof/>
        </w:rPr>
        <w:drawing>
          <wp:inline distT="0" distB="0" distL="0" distR="0" wp14:anchorId="6E68F8F4" wp14:editId="4C23A3D3">
            <wp:extent cx="8802370" cy="406146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a:extLst>
                        <a:ext uri="{28A0092B-C50C-407E-A947-70E740481C1C}">
                          <a14:useLocalDpi xmlns:a14="http://schemas.microsoft.com/office/drawing/2010/main" val="0"/>
                        </a:ext>
                      </a:extLst>
                    </a:blip>
                    <a:srcRect l="2141" t="24017" r="4053" b="11900"/>
                    <a:stretch>
                      <a:fillRect/>
                    </a:stretch>
                  </pic:blipFill>
                  <pic:spPr bwMode="auto">
                    <a:xfrm>
                      <a:off x="0" y="0"/>
                      <a:ext cx="8802370" cy="4061460"/>
                    </a:xfrm>
                    <a:prstGeom prst="rect">
                      <a:avLst/>
                    </a:prstGeom>
                    <a:noFill/>
                    <a:ln>
                      <a:noFill/>
                    </a:ln>
                  </pic:spPr>
                </pic:pic>
              </a:graphicData>
            </a:graphic>
          </wp:inline>
        </w:drawing>
      </w:r>
    </w:p>
    <w:p w:rsidR="00104A12" w:rsidRPr="004D55DA" w:rsidRDefault="00104A12" w:rsidP="007F7964"/>
    <w:p w:rsidR="00104A12" w:rsidRPr="004D55DA" w:rsidRDefault="00104A12" w:rsidP="007F7964">
      <w:r w:rsidRPr="004D55DA">
        <w:br w:type="page"/>
      </w:r>
    </w:p>
    <w:p w:rsidR="00104A12" w:rsidRPr="00D713C2" w:rsidRDefault="00104A12" w:rsidP="007F7964">
      <w:pPr>
        <w:pStyle w:val="Legenda"/>
        <w:rPr>
          <w:sz w:val="24"/>
          <w:szCs w:val="24"/>
        </w:rPr>
      </w:pPr>
      <w:bookmarkStart w:id="180" w:name="_Toc396134191"/>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27</w:t>
      </w:r>
      <w:r w:rsidR="00372F0E" w:rsidRPr="00D713C2">
        <w:rPr>
          <w:noProof/>
          <w:sz w:val="24"/>
          <w:szCs w:val="24"/>
        </w:rPr>
        <w:fldChar w:fldCharType="end"/>
      </w:r>
      <w:r w:rsidRPr="00D713C2">
        <w:rPr>
          <w:sz w:val="24"/>
          <w:szCs w:val="24"/>
        </w:rPr>
        <w:t xml:space="preserve"> - Modelo estrutural reflexivo, com menos variáveis observ</w:t>
      </w:r>
      <w:r w:rsidR="00FC74C5" w:rsidRPr="00D713C2">
        <w:rPr>
          <w:sz w:val="24"/>
          <w:szCs w:val="24"/>
        </w:rPr>
        <w:t>.</w:t>
      </w:r>
      <w:r w:rsidRPr="00D713C2">
        <w:rPr>
          <w:sz w:val="24"/>
          <w:szCs w:val="24"/>
        </w:rPr>
        <w:t>, 2º inq</w:t>
      </w:r>
      <w:r w:rsidR="00FC74C5" w:rsidRPr="00D713C2">
        <w:rPr>
          <w:sz w:val="24"/>
          <w:szCs w:val="24"/>
        </w:rPr>
        <w:t>.</w:t>
      </w:r>
      <w:r w:rsidRPr="00D713C2">
        <w:rPr>
          <w:sz w:val="24"/>
          <w:szCs w:val="24"/>
        </w:rPr>
        <w:t xml:space="preserve">o, </w:t>
      </w:r>
      <w:r w:rsidR="00FC74C5" w:rsidRPr="00D713C2">
        <w:rPr>
          <w:sz w:val="24"/>
          <w:szCs w:val="24"/>
        </w:rPr>
        <w:t>PT e ES</w:t>
      </w:r>
      <w:bookmarkEnd w:id="180"/>
    </w:p>
    <w:p w:rsidR="00104A12" w:rsidRPr="004D55DA" w:rsidRDefault="00104A12" w:rsidP="007F7964"/>
    <w:p w:rsidR="00104A12" w:rsidRPr="004D55DA" w:rsidRDefault="00BF31C8" w:rsidP="007F7964">
      <w:r w:rsidRPr="004D55DA">
        <w:rPr>
          <w:noProof/>
        </w:rPr>
        <w:drawing>
          <wp:inline distT="0" distB="0" distL="0" distR="0" wp14:anchorId="0E50A0CF" wp14:editId="4635DFCB">
            <wp:extent cx="9070975" cy="2918460"/>
            <wp:effectExtent l="0" t="0" r="0" b="0"/>
            <wp:docPr id="10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59">
                      <a:extLst>
                        <a:ext uri="{28A0092B-C50C-407E-A947-70E740481C1C}">
                          <a14:useLocalDpi xmlns:a14="http://schemas.microsoft.com/office/drawing/2010/main" val="0"/>
                        </a:ext>
                      </a:extLst>
                    </a:blip>
                    <a:srcRect l="2251" t="29849" r="3619" b="25734"/>
                    <a:stretch>
                      <a:fillRect/>
                    </a:stretch>
                  </pic:blipFill>
                  <pic:spPr bwMode="auto">
                    <a:xfrm>
                      <a:off x="0" y="0"/>
                      <a:ext cx="9070975" cy="2918460"/>
                    </a:xfrm>
                    <a:prstGeom prst="rect">
                      <a:avLst/>
                    </a:prstGeom>
                    <a:noFill/>
                    <a:ln>
                      <a:noFill/>
                    </a:ln>
                  </pic:spPr>
                </pic:pic>
              </a:graphicData>
            </a:graphic>
          </wp:inline>
        </w:drawing>
      </w:r>
    </w:p>
    <w:p w:rsidR="00104A12" w:rsidRPr="004D55DA" w:rsidRDefault="00104A12" w:rsidP="007F7964"/>
    <w:p w:rsidR="00104A12" w:rsidRPr="004D55DA" w:rsidRDefault="00104A12" w:rsidP="007F7964">
      <w:pPr>
        <w:spacing w:line="360" w:lineRule="auto"/>
        <w:jc w:val="both"/>
      </w:pPr>
    </w:p>
    <w:p w:rsidR="00104A12" w:rsidRPr="004D55DA" w:rsidRDefault="00104A12" w:rsidP="007F7964">
      <w:pPr>
        <w:sectPr w:rsidR="00104A12" w:rsidRPr="004D55DA" w:rsidSect="007F7964">
          <w:pgSz w:w="16838" w:h="11906" w:orient="landscape" w:code="9"/>
          <w:pgMar w:top="1701" w:right="1133" w:bottom="1134" w:left="1701" w:header="709" w:footer="709" w:gutter="0"/>
          <w:cols w:space="708"/>
          <w:titlePg/>
          <w:docGrid w:linePitch="360"/>
        </w:sectPr>
      </w:pPr>
    </w:p>
    <w:p w:rsidR="00104A12" w:rsidRPr="004D55DA" w:rsidRDefault="00104A12" w:rsidP="007F7964"/>
    <w:p w:rsidR="00104A12" w:rsidRPr="004D55DA" w:rsidRDefault="00104A12" w:rsidP="007F7964">
      <w:pPr>
        <w:spacing w:line="360" w:lineRule="auto"/>
        <w:jc w:val="both"/>
      </w:pPr>
      <w:r w:rsidRPr="004D55DA">
        <w:t xml:space="preserve">Com vista a </w:t>
      </w:r>
      <w:r w:rsidR="000B49EE">
        <w:t>analisar</w:t>
      </w:r>
      <w:r w:rsidRPr="004D55DA">
        <w:t xml:space="preserve"> este resultado, foi desenvolvido posteriormente um modelo formativo, por oposição ao modelo reflexivo anterior, que considera a latentes como </w:t>
      </w:r>
      <w:r w:rsidR="00136906" w:rsidRPr="004D55DA">
        <w:t>causa</w:t>
      </w:r>
      <w:r w:rsidRPr="004D55DA">
        <w:t xml:space="preserve"> das variáveis observadas, a abordagem menos frequentemente utilizada pelos investigadores com o SEM. No modelo formativo, face ao reflexivo anterior, alterou-se a direção das relações causais entre as latentes de primeiro nível e a latente de segundo nível </w:t>
      </w:r>
      <w:r w:rsidRPr="004D55DA">
        <w:rPr>
          <w:i/>
        </w:rPr>
        <w:t>características do terminal</w:t>
      </w:r>
      <w:r w:rsidRPr="004D55DA">
        <w:t xml:space="preserve">, tendo-se recorrido aos valores das latentes resultantes da </w:t>
      </w:r>
      <w:r w:rsidR="00D36A58">
        <w:t>análise de componentes principais</w:t>
      </w:r>
      <w:r w:rsidRPr="004D55DA">
        <w:t xml:space="preserve"> efetuada anteriormente, como se se tratassem de variáveis observadas neste modelo. Os resultados foram muito semelhantes, como se pode verificar na Figura 28, mas apenas para a endógena Satisfação do cliente.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Este modelo tem como resultados</w:t>
      </w:r>
      <w:r w:rsidR="00136906">
        <w:t xml:space="preserve"> “Goodness-of-fit” </w:t>
      </w:r>
      <w:r w:rsidRPr="004D55DA">
        <w:t xml:space="preserve">(GoF), </w:t>
      </w:r>
      <w:r w:rsidRPr="004D55DA">
        <w:rPr>
          <w:lang w:val="en-GB"/>
        </w:rPr>
        <w:t>χ</w:t>
      </w:r>
      <w:r w:rsidRPr="004D55DA">
        <w:rPr>
          <w:vertAlign w:val="superscript"/>
        </w:rPr>
        <w:t>2</w:t>
      </w:r>
      <w:r w:rsidRPr="004D55DA">
        <w:t xml:space="preserve"> 98,619; </w:t>
      </w:r>
      <w:r w:rsidRPr="004D55DA">
        <w:rPr>
          <w:lang w:val="en-GB"/>
        </w:rPr>
        <w:t>χ</w:t>
      </w:r>
      <w:r w:rsidRPr="004D55DA">
        <w:rPr>
          <w:vertAlign w:val="superscript"/>
        </w:rPr>
        <w:t>2</w:t>
      </w:r>
      <w:r w:rsidRPr="004D55DA">
        <w:t xml:space="preserve">/df 2,293; IFI: 0,926 (&gt;0,9); CFI: 0,924 (&gt;0,9); RMSEA: 0,093 (&lt;0,1), confirmando o bom ajustamento do modelo com recurso a uma variável latente compósita exógena das características do terminal. O modelo formativo mantém as conclusões do modelo reflexivo, mas a questão que se coloca aos modelos é se os </w:t>
      </w:r>
      <w:r w:rsidR="00136906" w:rsidRPr="004D55DA">
        <w:t>fatores</w:t>
      </w:r>
      <w:r w:rsidRPr="004D55DA">
        <w:t xml:space="preserve"> latentes de primeiro nível refletem apenas a latente </w:t>
      </w:r>
      <w:r w:rsidRPr="00136906">
        <w:rPr>
          <w:i/>
        </w:rPr>
        <w:t>características do terminal</w:t>
      </w:r>
      <w:r w:rsidRPr="004D55DA">
        <w:t>, de segundo nível, ou se são aspetos diversos desta, que podem ser aglomerados numa variável características do terminal que é apenas um agregado das mesmas.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Como já se referiu no primeiro inquérito, considera-se mais adequado o modelo reflexivo, tendo em conta os resultados que </w:t>
      </w:r>
      <w:r w:rsidR="008C6D33">
        <w:t>não permitem rejeitar</w:t>
      </w:r>
      <w:r w:rsidRPr="004D55DA">
        <w:t xml:space="preserve"> a existência de uma variável de segundo nível: </w:t>
      </w:r>
      <w:r w:rsidRPr="004D55DA">
        <w:rPr>
          <w:i/>
        </w:rPr>
        <w:t>características do terminal.</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r w:rsidRPr="004D55DA">
        <w:br w:type="page"/>
      </w:r>
    </w:p>
    <w:p w:rsidR="00104A12" w:rsidRPr="00D713C2" w:rsidRDefault="00104A12" w:rsidP="007F7964">
      <w:pPr>
        <w:pStyle w:val="Legenda"/>
        <w:rPr>
          <w:sz w:val="24"/>
          <w:szCs w:val="24"/>
        </w:rPr>
      </w:pPr>
      <w:bookmarkStart w:id="181" w:name="_Toc396134192"/>
      <w:r w:rsidRPr="00D713C2">
        <w:rPr>
          <w:sz w:val="24"/>
          <w:szCs w:val="24"/>
        </w:rPr>
        <w:lastRenderedPageBreak/>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28</w:t>
      </w:r>
      <w:r w:rsidR="00372F0E" w:rsidRPr="00D713C2">
        <w:rPr>
          <w:noProof/>
          <w:sz w:val="24"/>
          <w:szCs w:val="24"/>
        </w:rPr>
        <w:fldChar w:fldCharType="end"/>
      </w:r>
      <w:r w:rsidRPr="00D713C2">
        <w:rPr>
          <w:sz w:val="24"/>
          <w:szCs w:val="24"/>
        </w:rPr>
        <w:t xml:space="preserve"> - Modelo formativo, 2º inquérito, Portugal e Espanha</w:t>
      </w:r>
      <w:bookmarkEnd w:id="181"/>
    </w:p>
    <w:p w:rsidR="00104A12" w:rsidRPr="004D55DA" w:rsidRDefault="00885B13" w:rsidP="007F7964">
      <w:pPr>
        <w:spacing w:line="360" w:lineRule="auto"/>
        <w:jc w:val="both"/>
      </w:pPr>
      <w:r w:rsidRPr="00885B13">
        <w:rPr>
          <w:noProof/>
        </w:rPr>
        <w:drawing>
          <wp:inline distT="0" distB="0" distL="0" distR="0" wp14:anchorId="1BD74A3C" wp14:editId="2D47B152">
            <wp:extent cx="5791200" cy="3004457"/>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l="3315" t="1852" r="7459" b="3378"/>
                    <a:stretch/>
                  </pic:blipFill>
                  <pic:spPr bwMode="auto">
                    <a:xfrm>
                      <a:off x="0" y="0"/>
                      <a:ext cx="5793066" cy="3005425"/>
                    </a:xfrm>
                    <a:prstGeom prst="rect">
                      <a:avLst/>
                    </a:prstGeom>
                    <a:noFill/>
                    <a:ln>
                      <a:noFill/>
                    </a:ln>
                    <a:extLst>
                      <a:ext uri="{53640926-AAD7-44D8-BBD7-CCE9431645EC}">
                        <a14:shadowObscured xmlns:a14="http://schemas.microsoft.com/office/drawing/2010/main"/>
                      </a:ext>
                    </a:extLst>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 base no modelo formativo, adaptaram-se os resultados à terminologia do modelo de investigação inicial, obtendo-se os resultados patentes na Figura 29, que </w:t>
      </w:r>
      <w:r w:rsidR="008C6D33">
        <w:t>não permitem rejeitar</w:t>
      </w:r>
      <w:r w:rsidRPr="004D55DA">
        <w:t xml:space="preserve"> o modelo de investigação para o desempenho do terminal de contentores em termos de </w:t>
      </w:r>
      <w:r w:rsidRPr="004D55DA">
        <w:rPr>
          <w:i/>
        </w:rPr>
        <w:t>satisfação do cliente</w:t>
      </w:r>
      <w:r w:rsidRPr="004D55DA">
        <w:t xml:space="preserve">, com adaptações de </w:t>
      </w:r>
      <w:r w:rsidR="00136906" w:rsidRPr="004D55DA">
        <w:t>subdivisão</w:t>
      </w:r>
      <w:r w:rsidRPr="004D55DA">
        <w:t xml:space="preserve"> do constructo independente “soft-terminal” em três, “softsea-terminal”, “softlogis-terminal”/”softorg-terminal” e “softgov-terminal”. </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82" w:name="_Toc396134193"/>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29</w:t>
      </w:r>
      <w:r w:rsidR="00372F0E" w:rsidRPr="00D713C2">
        <w:rPr>
          <w:noProof/>
          <w:sz w:val="24"/>
          <w:szCs w:val="24"/>
        </w:rPr>
        <w:fldChar w:fldCharType="end"/>
      </w:r>
      <w:r w:rsidRPr="00D713C2">
        <w:rPr>
          <w:sz w:val="24"/>
          <w:szCs w:val="24"/>
        </w:rPr>
        <w:t xml:space="preserve"> - Modelo ajustado para o Desempenho, 2º inquérito, Portugal e Espanha</w:t>
      </w:r>
      <w:bookmarkEnd w:id="182"/>
    </w:p>
    <w:p w:rsidR="00104A12" w:rsidRPr="004D55DA" w:rsidRDefault="00361F19" w:rsidP="007F7964">
      <w:pPr>
        <w:spacing w:line="360" w:lineRule="auto"/>
        <w:jc w:val="both"/>
      </w:pPr>
      <w:r w:rsidRPr="00361F19">
        <w:rPr>
          <w:noProof/>
        </w:rPr>
        <w:drawing>
          <wp:inline distT="0" distB="0" distL="0" distR="0" wp14:anchorId="326A623E" wp14:editId="3647BAFE">
            <wp:extent cx="5648534" cy="2917371"/>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l="3315" r="7597" b="3687"/>
                    <a:stretch/>
                  </pic:blipFill>
                  <pic:spPr bwMode="auto">
                    <a:xfrm>
                      <a:off x="0" y="0"/>
                      <a:ext cx="5658505" cy="2922521"/>
                    </a:xfrm>
                    <a:prstGeom prst="rect">
                      <a:avLst/>
                    </a:prstGeom>
                    <a:noFill/>
                    <a:ln>
                      <a:noFill/>
                    </a:ln>
                    <a:extLst>
                      <a:ext uri="{53640926-AAD7-44D8-BBD7-CCE9431645EC}">
                        <a14:shadowObscured xmlns:a14="http://schemas.microsoft.com/office/drawing/2010/main"/>
                      </a:ext>
                    </a:extLst>
                  </pic:spPr>
                </pic:pic>
              </a:graphicData>
            </a:graphic>
          </wp:inline>
        </w:drawing>
      </w:r>
      <w:r w:rsidRPr="00361F19">
        <w:t xml:space="preserve"> </w:t>
      </w:r>
      <w:r w:rsidR="00104A12" w:rsidRPr="004D55DA">
        <w:br w:type="page"/>
      </w:r>
    </w:p>
    <w:p w:rsidR="00104A12" w:rsidRPr="00BE6593" w:rsidRDefault="00104A12" w:rsidP="005958FF">
      <w:pPr>
        <w:pStyle w:val="Cabealho2"/>
        <w:ind w:left="0" w:firstLine="0"/>
        <w:rPr>
          <w:sz w:val="24"/>
          <w:szCs w:val="24"/>
        </w:rPr>
      </w:pPr>
      <w:bookmarkStart w:id="183" w:name="_Toc395730158"/>
      <w:r w:rsidRPr="00BE6593">
        <w:rPr>
          <w:sz w:val="24"/>
          <w:szCs w:val="24"/>
        </w:rPr>
        <w:lastRenderedPageBreak/>
        <w:t>Segundo Inquérito – Europa</w:t>
      </w:r>
      <w:bookmarkEnd w:id="183"/>
    </w:p>
    <w:p w:rsidR="00104A12" w:rsidRPr="004D55DA" w:rsidRDefault="00104A12" w:rsidP="007F7964">
      <w:pPr>
        <w:spacing w:line="360" w:lineRule="auto"/>
        <w:jc w:val="both"/>
      </w:pPr>
      <w:r w:rsidRPr="004D55DA">
        <w:t>O objetivo da realização do segundo inq</w:t>
      </w:r>
      <w:r w:rsidR="00DB39DE">
        <w:t>uérito no âmbito da Europa</w:t>
      </w:r>
      <w:r w:rsidRPr="004D55DA">
        <w:t xml:space="preserve"> prende-se com a necessidade de </w:t>
      </w:r>
      <w:r w:rsidR="00DB39DE">
        <w:t>verificar</w:t>
      </w:r>
      <w:r w:rsidRPr="004D55DA">
        <w:t xml:space="preserve"> se as conclusões </w:t>
      </w:r>
      <w:r w:rsidR="00DB39DE">
        <w:t>do</w:t>
      </w:r>
      <w:r w:rsidRPr="004D55DA">
        <w:t xml:space="preserve"> inquérito </w:t>
      </w:r>
      <w:r w:rsidR="00DB39DE">
        <w:t>em</w:t>
      </w:r>
      <w:r w:rsidRPr="004D55DA">
        <w:t xml:space="preserve"> Portugal e Espanha poderão ser estendidas ao resto da Europa ou se apenas se aplicam à Península Ibérica e ao caso dos </w:t>
      </w:r>
      <w:r w:rsidR="00DB39DE">
        <w:t>terminais</w:t>
      </w:r>
      <w:r w:rsidRPr="004D55DA">
        <w:t xml:space="preserve"> analisados.</w:t>
      </w:r>
    </w:p>
    <w:p w:rsidR="00104A12" w:rsidRPr="004D55DA" w:rsidRDefault="00104A12" w:rsidP="007F7964">
      <w:pPr>
        <w:spacing w:line="360" w:lineRule="auto"/>
        <w:jc w:val="both"/>
      </w:pPr>
      <w:r w:rsidRPr="004D55DA">
        <w:t xml:space="preserve">Para isso foram enviados inquéritos aos especialistas utilizadores dos principais terminais de contentores dos países europeus, procurando abranger um largo espectro geográfico, utilizando-se uma </w:t>
      </w:r>
      <w:r w:rsidR="00136906" w:rsidRPr="004D55DA">
        <w:t>seleção</w:t>
      </w:r>
      <w:r w:rsidRPr="004D55DA">
        <w:t xml:space="preserve"> dos principais terminais em cada país. Foi obtida uma amostra de 57 observações de diversos países da Europa. Os resultados </w:t>
      </w:r>
      <w:r w:rsidR="00DB39DE">
        <w:t>são semelhantes aos</w:t>
      </w:r>
      <w:r w:rsidRPr="004D55DA">
        <w:t xml:space="preserve"> do inquérito para Portugal e Espanha, de forma geral.</w:t>
      </w:r>
    </w:p>
    <w:p w:rsidR="00104A12" w:rsidRPr="004D55DA" w:rsidRDefault="00136906" w:rsidP="007F7964">
      <w:pPr>
        <w:spacing w:line="360" w:lineRule="auto"/>
        <w:jc w:val="both"/>
      </w:pPr>
      <w:r w:rsidRPr="004D55DA">
        <w:t xml:space="preserve">Para quantificar a variável quantitativa do nível de eficiência dos terminais de contentores, foi calculado o indicador DEA, data envelopment analysis (Tabela 30), recorrendo ao modelo que utiliza a variável número de TEU (unidade equivalente de contentores de 20 pés) como output e às variáveis comprimento de cais, número de pórticos de cais e dimensão do terrapleno em metros quadrados, como fatores produtivos de </w:t>
      </w:r>
      <w:r>
        <w:t>"</w:t>
      </w:r>
      <w:r w:rsidRPr="004D55DA">
        <w:t>input</w:t>
      </w:r>
      <w:r>
        <w:t>"</w:t>
      </w:r>
      <w:r w:rsidRPr="004D55DA">
        <w:t>, conforme é utilizado por diversos autores de estudos sobre rankings de eficiência dos terminais de contentores (ex. So et al., 2007).</w:t>
      </w:r>
    </w:p>
    <w:p w:rsidR="00104A12" w:rsidRPr="004D55DA" w:rsidRDefault="00104A12" w:rsidP="007F7964">
      <w:pPr>
        <w:pStyle w:val="Legenda"/>
      </w:pPr>
    </w:p>
    <w:p w:rsidR="00104A12" w:rsidRPr="00D713C2" w:rsidRDefault="00104A12" w:rsidP="0050397D">
      <w:pPr>
        <w:pStyle w:val="Legenda"/>
        <w:ind w:right="3827"/>
        <w:rPr>
          <w:sz w:val="24"/>
          <w:szCs w:val="24"/>
        </w:rPr>
      </w:pPr>
      <w:bookmarkStart w:id="184" w:name="_Toc396134153"/>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30</w:t>
      </w:r>
      <w:r w:rsidR="00372F0E" w:rsidRPr="00D713C2">
        <w:rPr>
          <w:noProof/>
          <w:sz w:val="24"/>
          <w:szCs w:val="24"/>
        </w:rPr>
        <w:fldChar w:fldCharType="end"/>
      </w:r>
      <w:r w:rsidRPr="00D713C2">
        <w:rPr>
          <w:sz w:val="24"/>
          <w:szCs w:val="24"/>
        </w:rPr>
        <w:t xml:space="preserve"> </w:t>
      </w:r>
      <w:r w:rsidRPr="00D713C2">
        <w:rPr>
          <w:noProof/>
          <w:sz w:val="24"/>
          <w:szCs w:val="24"/>
        </w:rPr>
        <w:t xml:space="preserve">– Variável endógena </w:t>
      </w:r>
      <w:r w:rsidRPr="00D713C2">
        <w:rPr>
          <w:sz w:val="24"/>
          <w:szCs w:val="24"/>
        </w:rPr>
        <w:t>DEA, 2º inquérito, Europa</w:t>
      </w:r>
      <w:bookmarkEnd w:id="184"/>
    </w:p>
    <w:tbl>
      <w:tblPr>
        <w:tblW w:w="5260" w:type="dxa"/>
        <w:tblInd w:w="55" w:type="dxa"/>
        <w:tblCellMar>
          <w:left w:w="70" w:type="dxa"/>
          <w:right w:w="70" w:type="dxa"/>
        </w:tblCellMar>
        <w:tblLook w:val="00A0" w:firstRow="1" w:lastRow="0" w:firstColumn="1" w:lastColumn="0" w:noHBand="0" w:noVBand="0"/>
      </w:tblPr>
      <w:tblGrid>
        <w:gridCol w:w="2000"/>
        <w:gridCol w:w="3260"/>
      </w:tblGrid>
      <w:tr w:rsidR="00104A12" w:rsidRPr="004D55DA" w:rsidTr="00940D4E">
        <w:trPr>
          <w:trHeight w:val="204"/>
        </w:trPr>
        <w:tc>
          <w:tcPr>
            <w:tcW w:w="2000" w:type="dxa"/>
            <w:tcBorders>
              <w:top w:val="single" w:sz="4" w:space="0" w:color="auto"/>
              <w:left w:val="nil"/>
              <w:bottom w:val="single" w:sz="4" w:space="0" w:color="auto"/>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 </w:t>
            </w:r>
          </w:p>
        </w:tc>
        <w:tc>
          <w:tcPr>
            <w:tcW w:w="3260" w:type="dxa"/>
            <w:tcBorders>
              <w:top w:val="single" w:sz="4" w:space="0" w:color="auto"/>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Aarhus</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0,19</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Belfast</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Cardiff</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Copenhagen</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0,21</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Dublin</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0,39</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Felixstowe</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0,95</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Fredericia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Genoa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Gothenburg</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0,31</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Hamburg</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0,85</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Hamina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0,22</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Helsinki</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0,18</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Isafjordur</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Klaipeda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0,47</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Koper</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0,47</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Le Havre</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Marsaxlokk</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0,87</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Marsielle</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0,42</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Nantes Saint-Nazaire</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0,08</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Naples</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0,44</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Piraeus</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0,47</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Ravenna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0,16</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Riga</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0,25</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Rotterdam</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1,00</w:t>
            </w:r>
          </w:p>
        </w:tc>
      </w:tr>
      <w:tr w:rsidR="00104A12" w:rsidRPr="004D55DA" w:rsidTr="00940D4E">
        <w:trPr>
          <w:trHeight w:val="204"/>
        </w:trPr>
        <w:tc>
          <w:tcPr>
            <w:tcW w:w="200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Southampton</w:t>
            </w:r>
          </w:p>
        </w:tc>
        <w:tc>
          <w:tcPr>
            <w:tcW w:w="326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0,55</w:t>
            </w:r>
          </w:p>
        </w:tc>
      </w:tr>
      <w:tr w:rsidR="00104A12" w:rsidRPr="004D55DA" w:rsidTr="00940D4E">
        <w:trPr>
          <w:trHeight w:val="204"/>
        </w:trPr>
        <w:tc>
          <w:tcPr>
            <w:tcW w:w="2000"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Calibri"/>
                <w:color w:val="000000"/>
                <w:sz w:val="16"/>
                <w:szCs w:val="16"/>
              </w:rPr>
            </w:pPr>
            <w:r w:rsidRPr="004D55DA">
              <w:rPr>
                <w:rFonts w:ascii="Cambria" w:hAnsi="Cambria" w:cs="Calibri"/>
                <w:color w:val="000000"/>
                <w:sz w:val="16"/>
                <w:szCs w:val="16"/>
              </w:rPr>
              <w:t>Venice</w:t>
            </w:r>
          </w:p>
        </w:tc>
        <w:tc>
          <w:tcPr>
            <w:tcW w:w="326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0,25</w:t>
            </w:r>
          </w:p>
        </w:tc>
      </w:tr>
    </w:tbl>
    <w:p w:rsidR="00104A12" w:rsidRPr="004D55DA" w:rsidRDefault="00104A12" w:rsidP="007F7964">
      <w:pPr>
        <w:spacing w:line="360" w:lineRule="auto"/>
        <w:jc w:val="both"/>
      </w:pPr>
    </w:p>
    <w:p w:rsidR="00104A12" w:rsidRPr="00D713C2" w:rsidRDefault="00104A12" w:rsidP="005958FF">
      <w:pPr>
        <w:pStyle w:val="Cabealho3"/>
        <w:ind w:left="0" w:firstLine="0"/>
        <w:rPr>
          <w:sz w:val="24"/>
          <w:szCs w:val="24"/>
          <w:u w:val="none"/>
        </w:rPr>
      </w:pPr>
      <w:bookmarkStart w:id="185" w:name="_Toc374297040"/>
      <w:bookmarkStart w:id="186" w:name="_Toc395292669"/>
      <w:bookmarkStart w:id="187" w:name="_Toc395730159"/>
      <w:r w:rsidRPr="00D713C2">
        <w:rPr>
          <w:sz w:val="24"/>
          <w:szCs w:val="24"/>
          <w:u w:val="none"/>
        </w:rPr>
        <w:lastRenderedPageBreak/>
        <w:t>Análise descritiva</w:t>
      </w:r>
      <w:bookmarkEnd w:id="185"/>
      <w:bookmarkEnd w:id="186"/>
      <w:bookmarkEnd w:id="187"/>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Referem-se na Tabela 31 os resultados do segundo inquérito para os terminais de contentores da Europa</w:t>
      </w:r>
      <w:r w:rsidR="00FC05CE">
        <w:fldChar w:fldCharType="begin"/>
      </w:r>
      <w:r w:rsidR="00FC05CE">
        <w:instrText xml:space="preserve"> XE "</w:instrText>
      </w:r>
      <w:r w:rsidR="00FC05CE" w:rsidRPr="00FB7E9E">
        <w:instrText>Europa</w:instrText>
      </w:r>
      <w:r w:rsidR="00FC05CE">
        <w:instrText xml:space="preserve">" </w:instrText>
      </w:r>
      <w:r w:rsidR="00FC05CE">
        <w:fldChar w:fldCharType="end"/>
      </w:r>
      <w:r w:rsidRPr="004D55DA">
        <w:t>, classificados em termos qualitativos de 1 a 7 (Likert), dos quais se destacam as seguintes variáveis com maiores valores médios:</w:t>
      </w:r>
    </w:p>
    <w:p w:rsidR="00104A12" w:rsidRPr="004D55DA" w:rsidRDefault="00104A12" w:rsidP="005958FF">
      <w:pPr>
        <w:pStyle w:val="PargrafodaLista"/>
        <w:numPr>
          <w:ilvl w:val="0"/>
          <w:numId w:val="31"/>
        </w:numPr>
        <w:spacing w:line="360" w:lineRule="auto"/>
        <w:jc w:val="both"/>
        <w:rPr>
          <w:i/>
        </w:rPr>
      </w:pPr>
      <w:r w:rsidRPr="004D55DA">
        <w:rPr>
          <w:i/>
        </w:rPr>
        <w:t>qualidade dos serviços de reboque e pilotagem;</w:t>
      </w:r>
    </w:p>
    <w:p w:rsidR="00104A12" w:rsidRPr="004D55DA" w:rsidRDefault="00104A12" w:rsidP="005958FF">
      <w:pPr>
        <w:pStyle w:val="PargrafodaLista"/>
        <w:numPr>
          <w:ilvl w:val="0"/>
          <w:numId w:val="31"/>
        </w:numPr>
        <w:spacing w:line="360" w:lineRule="auto"/>
        <w:jc w:val="both"/>
        <w:rPr>
          <w:i/>
        </w:rPr>
      </w:pPr>
      <w:r w:rsidRPr="004D55DA">
        <w:rPr>
          <w:i/>
        </w:rPr>
        <w:t>especialização do porto contentores;</w:t>
      </w:r>
    </w:p>
    <w:p w:rsidR="00104A12" w:rsidRPr="004D55DA" w:rsidRDefault="00104A12" w:rsidP="005958FF">
      <w:pPr>
        <w:pStyle w:val="PargrafodaLista"/>
        <w:numPr>
          <w:ilvl w:val="0"/>
          <w:numId w:val="31"/>
        </w:numPr>
        <w:spacing w:line="360" w:lineRule="auto"/>
        <w:jc w:val="both"/>
        <w:rPr>
          <w:i/>
        </w:rPr>
      </w:pPr>
      <w:r w:rsidRPr="004D55DA">
        <w:rPr>
          <w:i/>
        </w:rPr>
        <w:t>proximidade à origem das cargas no “hinterland”;</w:t>
      </w:r>
    </w:p>
    <w:p w:rsidR="00104A12" w:rsidRPr="004D55DA" w:rsidRDefault="00104A12" w:rsidP="005958FF">
      <w:pPr>
        <w:pStyle w:val="PargrafodaLista"/>
        <w:numPr>
          <w:ilvl w:val="0"/>
          <w:numId w:val="31"/>
        </w:numPr>
        <w:spacing w:line="360" w:lineRule="auto"/>
        <w:jc w:val="both"/>
        <w:rPr>
          <w:i/>
        </w:rPr>
      </w:pPr>
      <w:r w:rsidRPr="004D55DA">
        <w:rPr>
          <w:i/>
        </w:rPr>
        <w:t>tempo de operação dos navios;</w:t>
      </w:r>
    </w:p>
    <w:p w:rsidR="00104A12" w:rsidRPr="004D55DA" w:rsidRDefault="00104A12" w:rsidP="005958FF">
      <w:pPr>
        <w:pStyle w:val="PargrafodaLista"/>
        <w:numPr>
          <w:ilvl w:val="0"/>
          <w:numId w:val="31"/>
        </w:numPr>
        <w:spacing w:line="360" w:lineRule="auto"/>
        <w:jc w:val="both"/>
        <w:rPr>
          <w:i/>
        </w:rPr>
      </w:pPr>
      <w:r w:rsidRPr="004D55DA">
        <w:rPr>
          <w:i/>
        </w:rPr>
        <w:t>fiabilidade do terminal;</w:t>
      </w:r>
    </w:p>
    <w:p w:rsidR="00104A12" w:rsidRPr="004D55DA" w:rsidRDefault="00104A12" w:rsidP="005958FF">
      <w:pPr>
        <w:pStyle w:val="PargrafodaLista"/>
        <w:numPr>
          <w:ilvl w:val="0"/>
          <w:numId w:val="31"/>
        </w:numPr>
        <w:spacing w:line="360" w:lineRule="auto"/>
        <w:jc w:val="both"/>
        <w:rPr>
          <w:i/>
        </w:rPr>
      </w:pPr>
      <w:r w:rsidRPr="004D55DA">
        <w:rPr>
          <w:i/>
        </w:rPr>
        <w:t>satisfação do dono da carga;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As variáveis quantitativas que foram transformadas para a escala de Likert, para facilitar a comparação no âmbito do SEM são aquelas que apresentam menores valores médios, uma vez que se utilizou toda a escala.</w:t>
      </w:r>
      <w:r w:rsidR="005958FF">
        <w:t xml:space="preserve"> </w:t>
      </w:r>
      <w:r w:rsidRPr="004D55DA">
        <w:t xml:space="preserve">Analisando a distribuição de cada variável pela escala de Likert de 1 a 7 valores (Figura 30), podemos observar que as variáveis recaem sobretudo nos valores 4 e 5, com exceção das variáveis quantitativas transformadas para a escala de Likert (1-7). As variáveis relacionadas com a localização não são homogéneas, já que refletem dimensões muito diferentes entre si, embora estejam encaixadas no mesmo constructo teórico. </w:t>
      </w:r>
    </w:p>
    <w:p w:rsidR="00DB39DE" w:rsidRDefault="00DB39DE" w:rsidP="007F7964">
      <w:pPr>
        <w:spacing w:line="360" w:lineRule="auto"/>
        <w:jc w:val="both"/>
      </w:pPr>
    </w:p>
    <w:p w:rsidR="00104A12" w:rsidRPr="004D55DA" w:rsidRDefault="00104A12" w:rsidP="007F7964">
      <w:pPr>
        <w:spacing w:line="360" w:lineRule="auto"/>
        <w:jc w:val="both"/>
      </w:pPr>
      <w:r w:rsidRPr="004D55DA">
        <w:t>As variáveis quantitativas transformadas para a escala de Likert apresentam menores valores médios e maiores desvios padrão, porque existe uma grande diferença quantitativa de dimensão entre os terminais observados, tendo sido utilizada a escala para os diferenciar. É o caso do movimento de contentores, as distâncias quilométricas ao centro da europa, ao Mediterrâneo e a outros portos, o PIB da região, o número de terminais, o comprimento dos cais, as áreas e terraplenos, os equipamentos e pórticos (Figura 23).</w:t>
      </w:r>
    </w:p>
    <w:p w:rsidR="00DB39DE" w:rsidRDefault="00DB39DE" w:rsidP="007F7964">
      <w:pPr>
        <w:spacing w:line="360" w:lineRule="auto"/>
        <w:jc w:val="both"/>
      </w:pPr>
    </w:p>
    <w:p w:rsidR="00104A12" w:rsidRPr="004D55DA" w:rsidRDefault="00104A12" w:rsidP="007F7964">
      <w:pPr>
        <w:spacing w:line="360" w:lineRule="auto"/>
        <w:jc w:val="both"/>
      </w:pPr>
      <w:r w:rsidRPr="004D55DA">
        <w:t xml:space="preserve">No concerne à correlação entre as variáveis, refira-se existir uma forte correlação entre as variáveis relativas aos serviços e organização do terminal, o que pode mais uma vez indiciar a existência de uma variável latente com consistência neste caso (ver </w:t>
      </w:r>
      <w:r w:rsidR="00BC3DD5">
        <w:t>Apêndice</w:t>
      </w:r>
      <w:r w:rsidRPr="004D55DA">
        <w:t xml:space="preserve"> 11).</w:t>
      </w: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88" w:name="_Toc396134194"/>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30</w:t>
      </w:r>
      <w:r w:rsidR="00372F0E" w:rsidRPr="00D713C2">
        <w:rPr>
          <w:noProof/>
          <w:sz w:val="24"/>
          <w:szCs w:val="24"/>
        </w:rPr>
        <w:fldChar w:fldCharType="end"/>
      </w:r>
      <w:r w:rsidRPr="00D713C2">
        <w:rPr>
          <w:sz w:val="24"/>
          <w:szCs w:val="24"/>
        </w:rPr>
        <w:t xml:space="preserve"> - Gráfico de frequências</w:t>
      </w:r>
      <w:r w:rsidR="00DB39DE" w:rsidRPr="00D713C2">
        <w:rPr>
          <w:sz w:val="24"/>
          <w:szCs w:val="24"/>
        </w:rPr>
        <w:t xml:space="preserve"> com Likert(7)</w:t>
      </w:r>
      <w:r w:rsidRPr="00D713C2">
        <w:rPr>
          <w:sz w:val="24"/>
          <w:szCs w:val="24"/>
        </w:rPr>
        <w:t>, segundo inquérito, Europa</w:t>
      </w:r>
      <w:bookmarkEnd w:id="188"/>
    </w:p>
    <w:p w:rsidR="00104A12" w:rsidRPr="004D55DA" w:rsidRDefault="00BF31C8" w:rsidP="007F7964">
      <w:pPr>
        <w:spacing w:line="360" w:lineRule="auto"/>
        <w:jc w:val="both"/>
      </w:pPr>
      <w:r w:rsidRPr="004D55DA">
        <w:rPr>
          <w:noProof/>
        </w:rPr>
        <w:drawing>
          <wp:inline distT="0" distB="0" distL="0" distR="0" wp14:anchorId="78DD6D46" wp14:editId="61B60FD0">
            <wp:extent cx="5746115" cy="7023735"/>
            <wp:effectExtent l="0" t="0" r="6985" b="5715"/>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6115" cy="7023735"/>
                    </a:xfrm>
                    <a:prstGeom prst="rect">
                      <a:avLst/>
                    </a:prstGeom>
                    <a:noFill/>
                    <a:ln>
                      <a:noFill/>
                    </a:ln>
                  </pic:spPr>
                </pic:pic>
              </a:graphicData>
            </a:graphic>
          </wp:inline>
        </w:drawing>
      </w: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189" w:name="_Toc396134154"/>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31</w:t>
      </w:r>
      <w:r w:rsidR="00372F0E" w:rsidRPr="00D713C2">
        <w:rPr>
          <w:noProof/>
          <w:sz w:val="24"/>
          <w:szCs w:val="24"/>
        </w:rPr>
        <w:fldChar w:fldCharType="end"/>
      </w:r>
      <w:r w:rsidRPr="00D713C2">
        <w:rPr>
          <w:sz w:val="24"/>
          <w:szCs w:val="24"/>
        </w:rPr>
        <w:t xml:space="preserve"> - </w:t>
      </w:r>
      <w:r w:rsidRPr="00D713C2">
        <w:rPr>
          <w:color w:val="000000"/>
          <w:sz w:val="24"/>
          <w:szCs w:val="24"/>
        </w:rPr>
        <w:t>Estatística Descritiva, 2º inquérito, Europa</w:t>
      </w:r>
      <w:bookmarkEnd w:id="189"/>
    </w:p>
    <w:tbl>
      <w:tblPr>
        <w:tblW w:w="7865" w:type="dxa"/>
        <w:tblInd w:w="55" w:type="dxa"/>
        <w:tblCellMar>
          <w:left w:w="70" w:type="dxa"/>
          <w:right w:w="70" w:type="dxa"/>
        </w:tblCellMar>
        <w:tblLook w:val="00A0" w:firstRow="1" w:lastRow="0" w:firstColumn="1" w:lastColumn="0" w:noHBand="0" w:noVBand="0"/>
      </w:tblPr>
      <w:tblGrid>
        <w:gridCol w:w="3417"/>
        <w:gridCol w:w="740"/>
        <w:gridCol w:w="760"/>
        <w:gridCol w:w="620"/>
        <w:gridCol w:w="800"/>
        <w:gridCol w:w="811"/>
        <w:gridCol w:w="717"/>
      </w:tblGrid>
      <w:tr w:rsidR="00104A12" w:rsidRPr="004D55DA" w:rsidTr="00924A2F">
        <w:trPr>
          <w:trHeight w:val="204"/>
        </w:trPr>
        <w:tc>
          <w:tcPr>
            <w:tcW w:w="3417" w:type="dxa"/>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Calibri"/>
                <w:sz w:val="16"/>
                <w:szCs w:val="16"/>
              </w:rPr>
            </w:pPr>
          </w:p>
        </w:tc>
        <w:tc>
          <w:tcPr>
            <w:tcW w:w="74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Min</w:t>
            </w:r>
          </w:p>
        </w:tc>
        <w:tc>
          <w:tcPr>
            <w:tcW w:w="76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Max</w:t>
            </w:r>
          </w:p>
        </w:tc>
        <w:tc>
          <w:tcPr>
            <w:tcW w:w="62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Mean</w:t>
            </w:r>
          </w:p>
        </w:tc>
        <w:tc>
          <w:tcPr>
            <w:tcW w:w="800"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Std. Deviation</w:t>
            </w:r>
          </w:p>
        </w:tc>
        <w:tc>
          <w:tcPr>
            <w:tcW w:w="811"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Skewness</w:t>
            </w:r>
          </w:p>
        </w:tc>
        <w:tc>
          <w:tcPr>
            <w:tcW w:w="717" w:type="dxa"/>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Calibri"/>
                <w:color w:val="000000"/>
                <w:sz w:val="16"/>
                <w:szCs w:val="16"/>
              </w:rPr>
            </w:pPr>
            <w:r w:rsidRPr="004D55DA">
              <w:rPr>
                <w:rFonts w:ascii="Cambria" w:hAnsi="Cambria" w:cs="Calibri"/>
                <w:color w:val="000000"/>
                <w:sz w:val="16"/>
                <w:szCs w:val="16"/>
              </w:rPr>
              <w:t>Kurtosis</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Movimento de contentores com “hinterland”</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5,09</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1,825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-,406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Número de contentores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2,54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2,108</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1,208</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,102</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Movimento de contentores de transhipment</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3,72</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1,753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,291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-,814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Produtividade</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5,17</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1,370</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-,632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Eficiência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3,22</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1,939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,399</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-1,351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Satisfação do dono da carga</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1,302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-,060</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Satisfação do armador</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1,294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-,612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-,074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Satisfação do agente e transitário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4,98</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1,367</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-,656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-,218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Contributo para a economia</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1,071</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-,616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,411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Distância ao centro portuário da Europa</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3,59</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1,394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,734</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,274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Distância ao porto mais próximo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2,96</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1,981</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,885</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-,401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Distância ao Mar Mediterrâneo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2,87</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1,567</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,345</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-,453</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Proximidade da origem das cargas no “hinterland”</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5,30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1,253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-,890</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,878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GDP da região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3,74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1,707</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-,099</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-1,151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Acesso marítimo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5,09</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1,964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-,987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-,130</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Acessibilidades ferroviárias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4,48</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2,090</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-,392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-1,123</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Acessibilidades rodoviárias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5,17</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1,622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-,803</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-,376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Comprimento dos cais do porto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3,13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1,505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,633</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,344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Áreas logísticas junto ao porto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4,70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1,586</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,036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Número de terminais de contentores no porto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1,76</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1,715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2,278</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3,764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Distância ao mar aberto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1,85</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1,309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2,171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4,849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Especialização do porto em contentores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5,43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1,435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-1,078</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,762</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Qualidade dos serviços de reboques e pilotagem</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5,61</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1,140</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,679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Dinamismo da Autoridade e Comunidade Portuária</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4,96</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1,492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-,395</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Taxas portuárias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4,04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1,590</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-,581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Profundidade do cais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1,613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-,510</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Equipamento de cais e parque</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5,02</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1,325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-,440</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-,372</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Frente de cais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2,94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1,898</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1,201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,389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Comprimento de cais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2,46</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1,538</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1,267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1,279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Área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2,94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1,888</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1,237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,444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Número de pórticos de cais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1,364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-,029</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-,281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Número de pórticos por metros de cais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3,52</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1,539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,287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-,406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Área do parque por metro de cais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1,535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-,716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,240</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Largura do terrapleno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4,61</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1,559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-,401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-,666</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4"/>
                <w:szCs w:val="14"/>
              </w:rPr>
            </w:pPr>
            <w:r>
              <w:rPr>
                <w:rFonts w:ascii="Cambria" w:hAnsi="Cambria" w:cs="Arial"/>
                <w:sz w:val="14"/>
                <w:szCs w:val="14"/>
              </w:rPr>
              <w:t>D</w:t>
            </w:r>
            <w:r w:rsidR="00104A12" w:rsidRPr="004D55DA">
              <w:rPr>
                <w:rFonts w:ascii="Cambria" w:hAnsi="Cambria" w:cs="Arial"/>
                <w:sz w:val="14"/>
                <w:szCs w:val="14"/>
              </w:rPr>
              <w:t>imensão dos navios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4,67</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1,833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-,497</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-,681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Ligações ferroviárias a terminais de 2ªlinha</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3,93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1,800</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-,208</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-1,043</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Agilidade face a alterações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4,83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1,437</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-,251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-,824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Fiabilidade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5,28</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1,472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-,761</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,059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Flexibilidade operacional e comercial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5,09</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1,496</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-,902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,531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Imagem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1,566</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-,704</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,018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Integração do terminal nas cadeias logísticas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4,72</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1,323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-,883</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,195</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4"/>
                <w:szCs w:val="14"/>
              </w:rPr>
            </w:pPr>
            <w:r>
              <w:rPr>
                <w:rFonts w:ascii="Cambria" w:hAnsi="Cambria" w:cs="Arial"/>
                <w:sz w:val="14"/>
                <w:szCs w:val="14"/>
              </w:rPr>
              <w:t>"Layout"</w:t>
            </w:r>
            <w:r w:rsidRPr="004D55DA">
              <w:rPr>
                <w:rFonts w:ascii="Cambria" w:hAnsi="Cambria" w:cs="Arial"/>
                <w:sz w:val="14"/>
                <w:szCs w:val="14"/>
              </w:rPr>
              <w:t xml:space="preserve">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4,93</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1,399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-,422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-,003</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Organização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1,454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-,765</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,419</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Terminal gerido por operador do Top10</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4,31</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2,153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-,166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-1,294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Frequência de serviços marítimos SSS/feeder</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4,65</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1,362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-,860</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,550</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Frequência de linhas Top10</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4,19</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1,749</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-,646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-,691</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Qualidade geral dos serviços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1,274</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-,398</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-,272</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Tempo de espera dos navios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5,24</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1,181</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-,275</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-,683</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Serviços logísticos de valor acrescentado</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4,70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1,192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-,506</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,974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Sistema de informações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5,15</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1,522</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-1,093</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,964</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Tipo de gestor do terminal</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4,91</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1,617</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-,763</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,048</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Tempo de operação dos navios</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5,30</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1,253</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-,472</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-,267</w:t>
            </w:r>
          </w:p>
        </w:tc>
      </w:tr>
      <w:tr w:rsidR="00104A12" w:rsidRPr="004D55DA" w:rsidTr="00924A2F">
        <w:trPr>
          <w:trHeight w:val="204"/>
        </w:trPr>
        <w:tc>
          <w:tcPr>
            <w:tcW w:w="3417"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Orientação do terminal para o cliente</w:t>
            </w:r>
          </w:p>
        </w:tc>
        <w:tc>
          <w:tcPr>
            <w:tcW w:w="74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w:t>
            </w:r>
          </w:p>
        </w:tc>
        <w:tc>
          <w:tcPr>
            <w:tcW w:w="76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4,85</w:t>
            </w:r>
          </w:p>
        </w:tc>
        <w:tc>
          <w:tcPr>
            <w:tcW w:w="800"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1,235</w:t>
            </w:r>
          </w:p>
        </w:tc>
        <w:tc>
          <w:tcPr>
            <w:tcW w:w="811"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-,020</w:t>
            </w:r>
          </w:p>
        </w:tc>
        <w:tc>
          <w:tcPr>
            <w:tcW w:w="71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-,904</w:t>
            </w:r>
          </w:p>
        </w:tc>
      </w:tr>
      <w:tr w:rsidR="00104A12" w:rsidRPr="004D55DA" w:rsidTr="00924A2F">
        <w:trPr>
          <w:trHeight w:val="204"/>
        </w:trPr>
        <w:tc>
          <w:tcPr>
            <w:tcW w:w="3417" w:type="dxa"/>
            <w:tcBorders>
              <w:top w:val="nil"/>
              <w:left w:val="nil"/>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Tarifa de handling do terminal</w:t>
            </w:r>
          </w:p>
        </w:tc>
        <w:tc>
          <w:tcPr>
            <w:tcW w:w="740"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3,65</w:t>
            </w:r>
          </w:p>
        </w:tc>
        <w:tc>
          <w:tcPr>
            <w:tcW w:w="800"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1,544</w:t>
            </w:r>
          </w:p>
        </w:tc>
        <w:tc>
          <w:tcPr>
            <w:tcW w:w="811"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-,018</w:t>
            </w:r>
          </w:p>
        </w:tc>
        <w:tc>
          <w:tcPr>
            <w:tcW w:w="717" w:type="dxa"/>
            <w:tcBorders>
              <w:top w:val="nil"/>
              <w:left w:val="nil"/>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-,820</w:t>
            </w:r>
          </w:p>
        </w:tc>
      </w:tr>
      <w:tr w:rsidR="00104A12" w:rsidRPr="004D55DA" w:rsidTr="00924A2F">
        <w:trPr>
          <w:trHeight w:val="204"/>
        </w:trPr>
        <w:tc>
          <w:tcPr>
            <w:tcW w:w="3417" w:type="dxa"/>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sz w:val="14"/>
                <w:szCs w:val="14"/>
              </w:rPr>
            </w:pPr>
            <w:r w:rsidRPr="004D55DA">
              <w:rPr>
                <w:rFonts w:ascii="Cambria" w:hAnsi="Cambria" w:cs="Arial"/>
                <w:sz w:val="14"/>
                <w:szCs w:val="14"/>
              </w:rPr>
              <w:t>Terminal com gestão privada</w:t>
            </w:r>
          </w:p>
        </w:tc>
        <w:tc>
          <w:tcPr>
            <w:tcW w:w="7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w:t>
            </w:r>
          </w:p>
        </w:tc>
        <w:tc>
          <w:tcPr>
            <w:tcW w:w="7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7</w:t>
            </w:r>
          </w:p>
        </w:tc>
        <w:tc>
          <w:tcPr>
            <w:tcW w:w="62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5,19</w:t>
            </w:r>
          </w:p>
        </w:tc>
        <w:tc>
          <w:tcPr>
            <w:tcW w:w="80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1,661</w:t>
            </w:r>
          </w:p>
        </w:tc>
        <w:tc>
          <w:tcPr>
            <w:tcW w:w="81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-,948</w:t>
            </w:r>
          </w:p>
        </w:tc>
        <w:tc>
          <w:tcPr>
            <w:tcW w:w="717"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Calibri"/>
                <w:color w:val="000000"/>
                <w:sz w:val="16"/>
                <w:szCs w:val="16"/>
              </w:rPr>
            </w:pPr>
            <w:r w:rsidRPr="004D55DA">
              <w:rPr>
                <w:rFonts w:ascii="Cambria" w:hAnsi="Cambria" w:cs="Calibri"/>
                <w:color w:val="000000"/>
                <w:sz w:val="16"/>
                <w:szCs w:val="16"/>
              </w:rPr>
              <w:t>,507</w:t>
            </w:r>
          </w:p>
        </w:tc>
      </w:tr>
    </w:tbl>
    <w:p w:rsidR="00104A12" w:rsidRPr="004D55DA" w:rsidRDefault="00104A12" w:rsidP="007F7964"/>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5958FF">
      <w:pPr>
        <w:pStyle w:val="Cabealho3"/>
        <w:ind w:left="0" w:firstLine="0"/>
        <w:rPr>
          <w:sz w:val="24"/>
          <w:szCs w:val="24"/>
          <w:u w:val="none"/>
        </w:rPr>
      </w:pPr>
      <w:bookmarkStart w:id="190" w:name="_Toc374297041"/>
      <w:bookmarkStart w:id="191" w:name="_Toc395292670"/>
      <w:bookmarkStart w:id="192" w:name="_Toc395730160"/>
      <w:r w:rsidRPr="00D713C2">
        <w:rPr>
          <w:sz w:val="24"/>
          <w:szCs w:val="24"/>
          <w:u w:val="none"/>
        </w:rPr>
        <w:t>Análise exploratória</w:t>
      </w:r>
      <w:bookmarkEnd w:id="190"/>
      <w:bookmarkEnd w:id="191"/>
      <w:bookmarkEnd w:id="192"/>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Face ao elevado número de variáveis e com vista a determinar em termos exploratórios a existência de </w:t>
      </w:r>
      <w:r w:rsidR="00136906" w:rsidRPr="004D55DA">
        <w:t>fatores</w:t>
      </w:r>
      <w:r w:rsidRPr="004D55DA">
        <w:t xml:space="preserve"> que englobem diversas variáveis do estudo, recorreu-se à </w:t>
      </w:r>
      <w:r w:rsidR="00D36A58">
        <w:t>análise de componentes principais</w:t>
      </w:r>
      <w:r w:rsidRPr="004D55DA">
        <w:t xml:space="preserve">, que permite a redução do número de </w:t>
      </w:r>
      <w:r w:rsidR="00136906" w:rsidRPr="004D55DA">
        <w:t>fatores</w:t>
      </w:r>
      <w:r w:rsidRPr="004D55DA">
        <w:t xml:space="preserve"> para utilização posterior com a técnica de regressão e de modelos de equações estruturais. Foram verificados os pressupostos da inexistência de </w:t>
      </w:r>
      <w:r w:rsidR="00136906">
        <w:t>"</w:t>
      </w:r>
      <w:r w:rsidR="00136906" w:rsidRPr="004D55DA">
        <w:t>outliers</w:t>
      </w:r>
      <w:r w:rsidR="00136906">
        <w:t>"</w:t>
      </w:r>
      <w:r w:rsidRPr="004D55DA">
        <w:t xml:space="preserve"> e da simetria e achatamento das variáveis para as análises fatoriais efetuadas.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Primeiro efetuou-se a </w:t>
      </w:r>
      <w:r w:rsidR="00D36A58">
        <w:t>análise de componentes principais</w:t>
      </w:r>
      <w:r w:rsidRPr="004D55DA">
        <w:t xml:space="preserve"> apenas para as variáveis do constructo desempenho do modelo especificado no ponto 3.1, recorrendo-se ao método das componentes principais. Foi obtido um elevado valor da estatística KMO de 0,636, ou seja, os resultados são considerados razoáveis, representando os 2 </w:t>
      </w:r>
      <w:r w:rsidR="00136906" w:rsidRPr="004D55DA">
        <w:t>fatores</w:t>
      </w:r>
      <w:r w:rsidRPr="004D55DA">
        <w:t xml:space="preserve"> determinados 63,3% da variância (ver </w:t>
      </w:r>
      <w:r w:rsidR="00BC3DD5">
        <w:t>Apêndice</w:t>
      </w:r>
      <w:r w:rsidRPr="004D55DA">
        <w:t xml:space="preserve"> 14).</w:t>
      </w:r>
    </w:p>
    <w:p w:rsidR="00104A12" w:rsidRPr="004D55DA" w:rsidRDefault="00104A12" w:rsidP="007F7964">
      <w:pPr>
        <w:spacing w:line="360" w:lineRule="auto"/>
        <w:jc w:val="both"/>
      </w:pPr>
    </w:p>
    <w:p w:rsidR="00104A12" w:rsidRPr="00D713C2" w:rsidRDefault="00104A12" w:rsidP="0050397D">
      <w:pPr>
        <w:pStyle w:val="Legenda"/>
        <w:keepNext/>
        <w:ind w:right="3118"/>
        <w:rPr>
          <w:sz w:val="24"/>
          <w:szCs w:val="24"/>
        </w:rPr>
      </w:pPr>
      <w:bookmarkStart w:id="193" w:name="_Toc396134155"/>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32</w:t>
      </w:r>
      <w:r w:rsidR="00372F0E" w:rsidRPr="00D713C2">
        <w:rPr>
          <w:noProof/>
          <w:sz w:val="24"/>
          <w:szCs w:val="24"/>
        </w:rPr>
        <w:fldChar w:fldCharType="end"/>
      </w:r>
      <w:r w:rsidRPr="00D713C2">
        <w:rPr>
          <w:noProof/>
          <w:sz w:val="24"/>
          <w:szCs w:val="24"/>
        </w:rPr>
        <w:t xml:space="preserve"> – KMO, 2º inquérito, Europa, PCA, variáveis endógenas</w:t>
      </w:r>
      <w:bookmarkEnd w:id="193"/>
    </w:p>
    <w:tbl>
      <w:tblPr>
        <w:tblW w:w="5969" w:type="dxa"/>
        <w:tblInd w:w="55" w:type="dxa"/>
        <w:tblCellMar>
          <w:left w:w="70" w:type="dxa"/>
          <w:right w:w="70" w:type="dxa"/>
        </w:tblCellMar>
        <w:tblLook w:val="00A0" w:firstRow="1" w:lastRow="0" w:firstColumn="1" w:lastColumn="0" w:noHBand="0" w:noVBand="0"/>
      </w:tblPr>
      <w:tblGrid>
        <w:gridCol w:w="2380"/>
        <w:gridCol w:w="1240"/>
        <w:gridCol w:w="2349"/>
      </w:tblGrid>
      <w:tr w:rsidR="00104A12" w:rsidRPr="004D55DA" w:rsidTr="001269FE">
        <w:trPr>
          <w:trHeight w:val="300"/>
        </w:trPr>
        <w:tc>
          <w:tcPr>
            <w:tcW w:w="2380"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lang w:val="en-US"/>
              </w:rPr>
            </w:pPr>
            <w:r w:rsidRPr="004D55DA">
              <w:rPr>
                <w:rFonts w:ascii="Cambria" w:hAnsi="Cambria" w:cs="Arial"/>
                <w:color w:val="000000"/>
                <w:sz w:val="16"/>
                <w:szCs w:val="16"/>
                <w:lang w:val="en-US"/>
              </w:rPr>
              <w:t xml:space="preserve">Teste Kaiser-Meyer-Olkin </w:t>
            </w:r>
          </w:p>
        </w:tc>
        <w:tc>
          <w:tcPr>
            <w:tcW w:w="1240"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Cambria" w:hAnsi="Cambria" w:cs="Arial"/>
                <w:sz w:val="16"/>
                <w:szCs w:val="16"/>
                <w:lang w:val="en-US"/>
              </w:rPr>
            </w:pPr>
            <w:r w:rsidRPr="004D55DA">
              <w:rPr>
                <w:rFonts w:ascii="Cambria" w:hAnsi="Cambria" w:cs="Arial"/>
                <w:sz w:val="16"/>
                <w:szCs w:val="16"/>
                <w:lang w:val="en-US"/>
              </w:rPr>
              <w:t> </w:t>
            </w:r>
          </w:p>
        </w:tc>
        <w:tc>
          <w:tcPr>
            <w:tcW w:w="2349"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0,636</w:t>
            </w:r>
          </w:p>
        </w:tc>
      </w:tr>
      <w:tr w:rsidR="00104A12" w:rsidRPr="004D55DA" w:rsidTr="005C64F9">
        <w:trPr>
          <w:trHeight w:val="456"/>
        </w:trPr>
        <w:tc>
          <w:tcPr>
            <w:tcW w:w="238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lang w:val="en-US"/>
              </w:rPr>
            </w:pPr>
            <w:r w:rsidRPr="004D55DA">
              <w:rPr>
                <w:rFonts w:ascii="Cambria" w:hAnsi="Cambria" w:cs="Arial"/>
                <w:color w:val="000000"/>
                <w:sz w:val="16"/>
                <w:szCs w:val="16"/>
                <w:lang w:val="en-US"/>
              </w:rPr>
              <w:t>Teste Bartlett</w:t>
            </w:r>
          </w:p>
        </w:tc>
        <w:tc>
          <w:tcPr>
            <w:tcW w:w="12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chi-quadrado</w:t>
            </w:r>
          </w:p>
        </w:tc>
        <w:tc>
          <w:tcPr>
            <w:tcW w:w="234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260,941</w:t>
            </w:r>
          </w:p>
        </w:tc>
      </w:tr>
      <w:tr w:rsidR="00104A12" w:rsidRPr="004D55DA" w:rsidTr="005C64F9">
        <w:trPr>
          <w:trHeight w:val="288"/>
        </w:trPr>
        <w:tc>
          <w:tcPr>
            <w:tcW w:w="2380" w:type="dxa"/>
            <w:tcBorders>
              <w:top w:val="nil"/>
              <w:left w:val="nil"/>
              <w:bottom w:val="nil"/>
              <w:right w:val="nil"/>
            </w:tcBorders>
            <w:shd w:val="clear" w:color="000000" w:fill="FFFFFF"/>
            <w:noWrap/>
            <w:vAlign w:val="center"/>
          </w:tcPr>
          <w:p w:rsidR="00104A12" w:rsidRPr="004D55DA" w:rsidRDefault="00104A12" w:rsidP="007F7964">
            <w:pPr>
              <w:rPr>
                <w:rFonts w:ascii="Cambria" w:hAnsi="Cambria" w:cs="Arial"/>
                <w:sz w:val="16"/>
                <w:szCs w:val="16"/>
              </w:rPr>
            </w:pPr>
            <w:r w:rsidRPr="004D55DA">
              <w:rPr>
                <w:rFonts w:ascii="Cambria" w:hAnsi="Cambria" w:cs="Arial"/>
                <w:sz w:val="16"/>
                <w:szCs w:val="16"/>
              </w:rPr>
              <w:t> </w:t>
            </w:r>
          </w:p>
        </w:tc>
        <w:tc>
          <w:tcPr>
            <w:tcW w:w="124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graus de liberdade</w:t>
            </w:r>
          </w:p>
        </w:tc>
        <w:tc>
          <w:tcPr>
            <w:tcW w:w="234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36</w:t>
            </w:r>
          </w:p>
        </w:tc>
      </w:tr>
      <w:tr w:rsidR="00104A12" w:rsidRPr="004D55DA" w:rsidTr="005C64F9">
        <w:trPr>
          <w:trHeight w:val="288"/>
        </w:trPr>
        <w:tc>
          <w:tcPr>
            <w:tcW w:w="2380"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sz w:val="16"/>
                <w:szCs w:val="16"/>
              </w:rPr>
            </w:pPr>
            <w:r w:rsidRPr="004D55DA">
              <w:rPr>
                <w:rFonts w:ascii="Cambria" w:hAnsi="Cambria" w:cs="Arial"/>
                <w:sz w:val="16"/>
                <w:szCs w:val="16"/>
              </w:rPr>
              <w:t> </w:t>
            </w:r>
          </w:p>
        </w:tc>
        <w:tc>
          <w:tcPr>
            <w:tcW w:w="124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p-value</w:t>
            </w:r>
          </w:p>
        </w:tc>
        <w:tc>
          <w:tcPr>
            <w:tcW w:w="234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solução rodada permitiu encontrar as variáveis latentes </w:t>
      </w:r>
      <w:r w:rsidRPr="004D55DA">
        <w:rPr>
          <w:b/>
          <w:i/>
        </w:rPr>
        <w:t>satisfação do cliente</w:t>
      </w:r>
      <w:r w:rsidRPr="004D55DA">
        <w:t xml:space="preserve"> – que inclui as variáveis qualitativas como a </w:t>
      </w:r>
      <w:r w:rsidRPr="004D55DA">
        <w:rPr>
          <w:i/>
        </w:rPr>
        <w:t>satisfação do agente, do armador e do dono da carga, bem como a produtividade, o contributo para a economia e o seu movimento de contentores</w:t>
      </w:r>
      <w:r w:rsidRPr="004D55DA">
        <w:t xml:space="preserve"> com o “hinterland” medido pela </w:t>
      </w:r>
      <w:r w:rsidR="00136906" w:rsidRPr="004D55DA">
        <w:t>perceção</w:t>
      </w:r>
      <w:r w:rsidRPr="004D55DA">
        <w:t xml:space="preserve"> dos especialistas entrevistados e a - </w:t>
      </w:r>
      <w:r w:rsidRPr="004D55DA">
        <w:rPr>
          <w:b/>
          <w:i/>
        </w:rPr>
        <w:t>atividade</w:t>
      </w:r>
      <w:r w:rsidRPr="004D55DA">
        <w:rPr>
          <w:rFonts w:ascii="Arial" w:hAnsi="Arial" w:cs="Arial"/>
          <w:b/>
          <w:sz w:val="16"/>
          <w:szCs w:val="16"/>
        </w:rPr>
        <w:t xml:space="preserve"> </w:t>
      </w:r>
      <w:r w:rsidRPr="004D55DA">
        <w:t xml:space="preserve">– que inclui as variáveis quantitativas como o </w:t>
      </w:r>
      <w:r w:rsidRPr="004D55DA">
        <w:rPr>
          <w:i/>
        </w:rPr>
        <w:t>número de contentores do movimentado, o movimento de contentores de “transhipment” e a eficiência do terminal</w:t>
      </w:r>
      <w:r w:rsidRPr="004D55DA">
        <w:t xml:space="preserve">, em termos de indicador DEA -, como se pode verificar na Tabela 33, </w:t>
      </w:r>
      <w:r w:rsidR="00732E07">
        <w:t>não permitindo rejeitar</w:t>
      </w:r>
      <w:r w:rsidRPr="004D55DA">
        <w:t xml:space="preserve"> o modelo teórico com algum ajustamento.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A produtividade e o contributo para a economia surgem junto à satisfação do cliente, mostrando que estão ligados, na opinião dos utilizadores. É interessante ainda verificar que existe elevada correlação entre o número de contentores movimentados no terminal e o índice de eficiência DEA do terminal, indicando que a escala está relacionada com a eficiência.</w:t>
      </w:r>
    </w:p>
    <w:p w:rsidR="00104A12" w:rsidRPr="004D55DA" w:rsidRDefault="00104A12" w:rsidP="007F7964">
      <w:pPr>
        <w:spacing w:line="360" w:lineRule="auto"/>
        <w:jc w:val="both"/>
      </w:pPr>
    </w:p>
    <w:p w:rsidR="00104A12" w:rsidRPr="00D713C2" w:rsidRDefault="00104A12" w:rsidP="0050397D">
      <w:pPr>
        <w:pStyle w:val="Legenda"/>
        <w:keepNext/>
        <w:ind w:right="1417"/>
        <w:rPr>
          <w:noProof/>
          <w:sz w:val="24"/>
          <w:szCs w:val="24"/>
        </w:rPr>
      </w:pPr>
      <w:bookmarkStart w:id="194" w:name="_Toc396134156"/>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33</w:t>
      </w:r>
      <w:r w:rsidR="00372F0E" w:rsidRPr="00D713C2">
        <w:rPr>
          <w:noProof/>
          <w:sz w:val="24"/>
          <w:szCs w:val="24"/>
        </w:rPr>
        <w:fldChar w:fldCharType="end"/>
      </w:r>
      <w:r w:rsidRPr="00D713C2">
        <w:rPr>
          <w:noProof/>
          <w:sz w:val="24"/>
          <w:szCs w:val="24"/>
        </w:rPr>
        <w:t xml:space="preserve"> - </w:t>
      </w:r>
      <w:r w:rsidRPr="00D713C2">
        <w:rPr>
          <w:color w:val="000000"/>
          <w:sz w:val="24"/>
          <w:szCs w:val="24"/>
        </w:rPr>
        <w:t>Rotated Factor Matrix, 2º inquérito, Europa, PCA</w:t>
      </w:r>
      <w:r w:rsidR="003217CF" w:rsidRPr="00D713C2">
        <w:rPr>
          <w:color w:val="000000"/>
          <w:sz w:val="24"/>
          <w:szCs w:val="24"/>
        </w:rPr>
        <w:t>/varimax</w:t>
      </w:r>
      <w:r w:rsidRPr="00D713C2">
        <w:rPr>
          <w:color w:val="000000"/>
          <w:sz w:val="24"/>
          <w:szCs w:val="24"/>
        </w:rPr>
        <w:t xml:space="preserve">, </w:t>
      </w:r>
      <w:r w:rsidRPr="00D713C2">
        <w:rPr>
          <w:noProof/>
          <w:sz w:val="24"/>
          <w:szCs w:val="24"/>
        </w:rPr>
        <w:t>var. endógenas</w:t>
      </w:r>
      <w:bookmarkEnd w:id="194"/>
    </w:p>
    <w:p w:rsidR="00104A12" w:rsidRPr="004D55DA" w:rsidRDefault="00104A12" w:rsidP="007F7964"/>
    <w:tbl>
      <w:tblPr>
        <w:tblW w:w="7634" w:type="dxa"/>
        <w:tblInd w:w="55" w:type="dxa"/>
        <w:tblCellMar>
          <w:left w:w="70" w:type="dxa"/>
          <w:right w:w="70" w:type="dxa"/>
        </w:tblCellMar>
        <w:tblLook w:val="00A0" w:firstRow="1" w:lastRow="0" w:firstColumn="1" w:lastColumn="0" w:noHBand="0" w:noVBand="0"/>
      </w:tblPr>
      <w:tblGrid>
        <w:gridCol w:w="3134"/>
        <w:gridCol w:w="1240"/>
        <w:gridCol w:w="960"/>
        <w:gridCol w:w="2300"/>
      </w:tblGrid>
      <w:tr w:rsidR="00104A12" w:rsidRPr="004D55DA" w:rsidTr="004C2E2C">
        <w:trPr>
          <w:trHeight w:val="288"/>
        </w:trPr>
        <w:tc>
          <w:tcPr>
            <w:tcW w:w="3134" w:type="dxa"/>
            <w:vMerge w:val="restart"/>
            <w:tcBorders>
              <w:top w:val="single" w:sz="4" w:space="0" w:color="auto"/>
              <w:left w:val="nil"/>
              <w:bottom w:val="single" w:sz="4" w:space="0" w:color="000000"/>
              <w:right w:val="nil"/>
            </w:tcBorders>
            <w:shd w:val="clear" w:color="000000" w:fill="FFFFFF"/>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Variáveis</w:t>
            </w:r>
          </w:p>
        </w:tc>
        <w:tc>
          <w:tcPr>
            <w:tcW w:w="2200" w:type="dxa"/>
            <w:gridSpan w:val="2"/>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Componentes</w:t>
            </w:r>
          </w:p>
        </w:tc>
        <w:tc>
          <w:tcPr>
            <w:tcW w:w="230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Variáveis</w:t>
            </w:r>
          </w:p>
        </w:tc>
      </w:tr>
      <w:tr w:rsidR="00104A12" w:rsidRPr="004D55DA" w:rsidTr="004C2E2C">
        <w:trPr>
          <w:trHeight w:val="288"/>
        </w:trPr>
        <w:tc>
          <w:tcPr>
            <w:tcW w:w="3134" w:type="dxa"/>
            <w:vMerge/>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sz w:val="16"/>
                <w:szCs w:val="16"/>
              </w:rPr>
            </w:pPr>
          </w:p>
        </w:tc>
        <w:tc>
          <w:tcPr>
            <w:tcW w:w="12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w:t>
            </w:r>
          </w:p>
        </w:tc>
        <w:tc>
          <w:tcPr>
            <w:tcW w:w="9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w:t>
            </w:r>
          </w:p>
        </w:tc>
        <w:tc>
          <w:tcPr>
            <w:tcW w:w="230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Latentes</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dono da carga</w:t>
            </w:r>
          </w:p>
        </w:tc>
        <w:tc>
          <w:tcPr>
            <w:tcW w:w="124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,918</w:t>
            </w:r>
          </w:p>
        </w:tc>
        <w:tc>
          <w:tcPr>
            <w:tcW w:w="96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armador</w:t>
            </w:r>
          </w:p>
        </w:tc>
        <w:tc>
          <w:tcPr>
            <w:tcW w:w="124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,881</w:t>
            </w:r>
          </w:p>
        </w:tc>
        <w:tc>
          <w:tcPr>
            <w:tcW w:w="96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Satisfação do agente e transitário</w:t>
            </w:r>
          </w:p>
        </w:tc>
        <w:tc>
          <w:tcPr>
            <w:tcW w:w="124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,835</w:t>
            </w:r>
          </w:p>
        </w:tc>
        <w:tc>
          <w:tcPr>
            <w:tcW w:w="96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Satisfação do Cliente</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Produtividade</w:t>
            </w:r>
          </w:p>
        </w:tc>
        <w:tc>
          <w:tcPr>
            <w:tcW w:w="124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,810</w:t>
            </w:r>
          </w:p>
        </w:tc>
        <w:tc>
          <w:tcPr>
            <w:tcW w:w="96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α = 0,840</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Movimento de contentores com “hinterland”</w:t>
            </w:r>
          </w:p>
        </w:tc>
        <w:tc>
          <w:tcPr>
            <w:tcW w:w="124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,577</w:t>
            </w:r>
          </w:p>
        </w:tc>
        <w:tc>
          <w:tcPr>
            <w:tcW w:w="96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916FE5">
        <w:trPr>
          <w:trHeight w:val="288"/>
        </w:trPr>
        <w:tc>
          <w:tcPr>
            <w:tcW w:w="3134"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Contributo para a economia</w:t>
            </w:r>
          </w:p>
        </w:tc>
        <w:tc>
          <w:tcPr>
            <w:tcW w:w="124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,481</w:t>
            </w:r>
          </w:p>
        </w:tc>
        <w:tc>
          <w:tcPr>
            <w:tcW w:w="96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230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916FE5">
        <w:trPr>
          <w:trHeight w:val="288"/>
        </w:trPr>
        <w:tc>
          <w:tcPr>
            <w:tcW w:w="3134"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Número de contentores</w:t>
            </w:r>
          </w:p>
        </w:tc>
        <w:tc>
          <w:tcPr>
            <w:tcW w:w="1240" w:type="dxa"/>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960" w:type="dxa"/>
            <w:tcBorders>
              <w:top w:val="single" w:sz="4" w:space="0" w:color="auto"/>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,933</w:t>
            </w:r>
          </w:p>
        </w:tc>
        <w:tc>
          <w:tcPr>
            <w:tcW w:w="2300"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r>
      <w:tr w:rsidR="00104A12" w:rsidRPr="004D55DA" w:rsidTr="004C2E2C">
        <w:trPr>
          <w:trHeight w:val="288"/>
        </w:trPr>
        <w:tc>
          <w:tcPr>
            <w:tcW w:w="3134"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Eficiência do terminal</w:t>
            </w:r>
          </w:p>
        </w:tc>
        <w:tc>
          <w:tcPr>
            <w:tcW w:w="1240" w:type="dxa"/>
            <w:tcBorders>
              <w:top w:val="nil"/>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96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,875</w:t>
            </w:r>
          </w:p>
        </w:tc>
        <w:tc>
          <w:tcPr>
            <w:tcW w:w="2300"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Atividade</w:t>
            </w:r>
          </w:p>
        </w:tc>
      </w:tr>
      <w:tr w:rsidR="00104A12" w:rsidRPr="004D55DA" w:rsidTr="004C2E2C">
        <w:trPr>
          <w:trHeight w:val="288"/>
        </w:trPr>
        <w:tc>
          <w:tcPr>
            <w:tcW w:w="3134"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Movimento de contentores de transhipment</w:t>
            </w:r>
          </w:p>
        </w:tc>
        <w:tc>
          <w:tcPr>
            <w:tcW w:w="124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p>
        </w:tc>
        <w:tc>
          <w:tcPr>
            <w:tcW w:w="96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,497</w:t>
            </w:r>
          </w:p>
        </w:tc>
        <w:tc>
          <w:tcPr>
            <w:tcW w:w="2300"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α =0,705</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rStyle w:val="st"/>
        </w:rPr>
      </w:pPr>
      <w:r w:rsidRPr="004D55DA">
        <w:t xml:space="preserve">Seguidamente, efetuou-se a </w:t>
      </w:r>
      <w:r w:rsidR="00D36A58">
        <w:t>análise de componentes principais</w:t>
      </w:r>
      <w:r w:rsidRPr="004D55DA">
        <w:t xml:space="preserve"> para as variáveis das características do porto e do terminal, recorrendo-se à análise das componentes principais</w:t>
      </w:r>
      <w:r w:rsidRPr="004D55DA">
        <w:rPr>
          <w:rStyle w:val="nfase"/>
          <w:i w:val="0"/>
          <w:iCs/>
        </w:rPr>
        <w:t>, tendo-se eliminado algumas variáveis com menores resultados no sentido de apurar melhor as componentes e a respetiva interpretação de acordo com a teoria</w:t>
      </w:r>
      <w:r w:rsidRPr="004D55DA">
        <w:rPr>
          <w:rStyle w:val="st"/>
        </w:rPr>
        <w:t>.</w:t>
      </w:r>
    </w:p>
    <w:p w:rsidR="00104A12" w:rsidRPr="004D55DA" w:rsidRDefault="00104A12" w:rsidP="007F7964">
      <w:pPr>
        <w:spacing w:line="360" w:lineRule="auto"/>
        <w:jc w:val="both"/>
      </w:pPr>
      <w:r w:rsidRPr="004D55DA">
        <w:t xml:space="preserve">Foi obtido um valor elevado para a estatística KMO de 0,606, ou seja, os resultados são satisfatórios, representando os 8 </w:t>
      </w:r>
      <w:r w:rsidR="00136906" w:rsidRPr="004D55DA">
        <w:t>fatores</w:t>
      </w:r>
      <w:r w:rsidRPr="004D55DA">
        <w:t xml:space="preserve"> 79,9% da variância (ver </w:t>
      </w:r>
      <w:r w:rsidR="00BC3DD5">
        <w:t>Apêndice</w:t>
      </w:r>
      <w:r w:rsidRPr="004D55DA">
        <w:t xml:space="preserve"> 15).</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195" w:name="_Toc396134157"/>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34</w:t>
      </w:r>
      <w:r w:rsidR="00372F0E" w:rsidRPr="00D713C2">
        <w:rPr>
          <w:noProof/>
          <w:sz w:val="24"/>
          <w:szCs w:val="24"/>
        </w:rPr>
        <w:fldChar w:fldCharType="end"/>
      </w:r>
      <w:r w:rsidRPr="00D713C2">
        <w:rPr>
          <w:noProof/>
          <w:sz w:val="24"/>
          <w:szCs w:val="24"/>
        </w:rPr>
        <w:t xml:space="preserve"> - KMO, 2º inquérito, Europa, PCA, variáveis exógenas</w:t>
      </w:r>
      <w:bookmarkEnd w:id="195"/>
    </w:p>
    <w:tbl>
      <w:tblPr>
        <w:tblW w:w="5969" w:type="dxa"/>
        <w:tblInd w:w="55" w:type="dxa"/>
        <w:tblCellMar>
          <w:left w:w="70" w:type="dxa"/>
          <w:right w:w="70" w:type="dxa"/>
        </w:tblCellMar>
        <w:tblLook w:val="00A0" w:firstRow="1" w:lastRow="0" w:firstColumn="1" w:lastColumn="0" w:noHBand="0" w:noVBand="0"/>
      </w:tblPr>
      <w:tblGrid>
        <w:gridCol w:w="2800"/>
        <w:gridCol w:w="1260"/>
        <w:gridCol w:w="1909"/>
      </w:tblGrid>
      <w:tr w:rsidR="00104A12" w:rsidRPr="004D55DA" w:rsidTr="001269FE">
        <w:trPr>
          <w:trHeight w:val="288"/>
        </w:trPr>
        <w:tc>
          <w:tcPr>
            <w:tcW w:w="4060" w:type="dxa"/>
            <w:gridSpan w:val="2"/>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 xml:space="preserve">Teste Kaiser-Meyer-Olkin </w:t>
            </w:r>
          </w:p>
        </w:tc>
        <w:tc>
          <w:tcPr>
            <w:tcW w:w="1909"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0,606</w:t>
            </w:r>
          </w:p>
        </w:tc>
      </w:tr>
      <w:tr w:rsidR="00104A12" w:rsidRPr="004D55DA" w:rsidTr="00030FC7">
        <w:trPr>
          <w:trHeight w:val="456"/>
        </w:trPr>
        <w:tc>
          <w:tcPr>
            <w:tcW w:w="2800" w:type="dxa"/>
            <w:vMerge w:val="restart"/>
            <w:tcBorders>
              <w:top w:val="nil"/>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Teste Bartlett</w:t>
            </w:r>
          </w:p>
        </w:tc>
        <w:tc>
          <w:tcPr>
            <w:tcW w:w="12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chi-quadrado</w:t>
            </w:r>
          </w:p>
        </w:tc>
        <w:tc>
          <w:tcPr>
            <w:tcW w:w="190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2002,206</w:t>
            </w:r>
          </w:p>
        </w:tc>
      </w:tr>
      <w:tr w:rsidR="00104A12" w:rsidRPr="004D55DA" w:rsidTr="00B16D8D">
        <w:trPr>
          <w:trHeight w:val="70"/>
        </w:trPr>
        <w:tc>
          <w:tcPr>
            <w:tcW w:w="280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1260"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graus de liberdade</w:t>
            </w:r>
          </w:p>
        </w:tc>
        <w:tc>
          <w:tcPr>
            <w:tcW w:w="190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595</w:t>
            </w:r>
          </w:p>
        </w:tc>
      </w:tr>
      <w:tr w:rsidR="00104A12" w:rsidRPr="004D55DA" w:rsidTr="00030FC7">
        <w:trPr>
          <w:trHeight w:val="288"/>
        </w:trPr>
        <w:tc>
          <w:tcPr>
            <w:tcW w:w="2800" w:type="dxa"/>
            <w:vMerge/>
            <w:tcBorders>
              <w:top w:val="nil"/>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1260"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p-value</w:t>
            </w:r>
          </w:p>
        </w:tc>
        <w:tc>
          <w:tcPr>
            <w:tcW w:w="190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solução rodada permitiu encontrar as seguintes variáveis latentes:</w:t>
      </w:r>
    </w:p>
    <w:p w:rsidR="00104A12" w:rsidRPr="004D55DA" w:rsidRDefault="00104A12" w:rsidP="005958FF">
      <w:pPr>
        <w:pStyle w:val="PargrafodaLista"/>
        <w:numPr>
          <w:ilvl w:val="0"/>
          <w:numId w:val="29"/>
        </w:numPr>
        <w:spacing w:line="360" w:lineRule="auto"/>
        <w:ind w:left="0" w:firstLine="0"/>
        <w:jc w:val="both"/>
      </w:pPr>
      <w:r w:rsidRPr="004D55DA">
        <w:rPr>
          <w:b/>
          <w:i/>
        </w:rPr>
        <w:t>integração logística e organização do terminal (</w:t>
      </w:r>
      <w:r w:rsidR="00E56C1B" w:rsidRPr="004D55DA">
        <w:rPr>
          <w:b/>
          <w:i/>
        </w:rPr>
        <w:t>“s</w:t>
      </w:r>
      <w:r w:rsidRPr="004D55DA">
        <w:rPr>
          <w:b/>
          <w:i/>
        </w:rPr>
        <w:t xml:space="preserve">oftlogis-terminal e </w:t>
      </w:r>
      <w:r w:rsidR="00E56C1B" w:rsidRPr="004D55DA">
        <w:rPr>
          <w:b/>
          <w:i/>
        </w:rPr>
        <w:t>s</w:t>
      </w:r>
      <w:r w:rsidRPr="004D55DA">
        <w:rPr>
          <w:b/>
          <w:i/>
        </w:rPr>
        <w:t>oftorg-terminal</w:t>
      </w:r>
      <w:r w:rsidR="00E56C1B" w:rsidRPr="004D55DA">
        <w:rPr>
          <w:b/>
          <w:i/>
        </w:rPr>
        <w:t>”</w:t>
      </w:r>
      <w:r w:rsidRPr="004D55DA">
        <w:rPr>
          <w:b/>
          <w:i/>
        </w:rPr>
        <w:t>)</w:t>
      </w:r>
      <w:r w:rsidRPr="004D55DA">
        <w:t xml:space="preserve"> – que inclui variáveis qualitativas relacionadas com a flexibilidade, agilidade e </w:t>
      </w:r>
      <w:r w:rsidRPr="004D55DA">
        <w:lastRenderedPageBreak/>
        <w:t>fiabilidade da gestão, tipo de gestão, imagem do terminal, foco no cliente, produtividade de cais, qualidade do serviço, sistemas de informação, preço, integração logística e dinâmica do porto (semelhante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infraestrutura do terminal</w:t>
      </w:r>
      <w:r w:rsidRPr="004D55DA">
        <w:rPr>
          <w:b/>
        </w:rPr>
        <w:t xml:space="preserve"> (</w:t>
      </w:r>
      <w:r w:rsidR="00E56C1B" w:rsidRPr="004D55DA">
        <w:rPr>
          <w:b/>
        </w:rPr>
        <w:t>“h</w:t>
      </w:r>
      <w:r w:rsidRPr="004D55DA">
        <w:rPr>
          <w:b/>
        </w:rPr>
        <w:t>ardsea-terminal</w:t>
      </w:r>
      <w:r w:rsidR="00E56C1B" w:rsidRPr="004D55DA">
        <w:rPr>
          <w:b/>
        </w:rPr>
        <w:t>”</w:t>
      </w:r>
      <w:r w:rsidRPr="004D55DA">
        <w:rPr>
          <w:b/>
        </w:rPr>
        <w:t>)</w:t>
      </w:r>
      <w:r w:rsidRPr="004D55DA">
        <w:t xml:space="preserve"> - que inclui variáveis quantitativas como a área do terminal, o comprimento do cais do terminal, o número de pórticos de cais e a qualitativa número de linhas regulares intercontinentais do terminal do TOP 10 (semelhante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 xml:space="preserve">serviços marítimos do terminal </w:t>
      </w:r>
      <w:r w:rsidRPr="004D55DA">
        <w:rPr>
          <w:b/>
        </w:rPr>
        <w:t>(</w:t>
      </w:r>
      <w:r w:rsidR="00E56C1B" w:rsidRPr="004D55DA">
        <w:rPr>
          <w:b/>
        </w:rPr>
        <w:t>“s</w:t>
      </w:r>
      <w:r w:rsidRPr="004D55DA">
        <w:rPr>
          <w:b/>
        </w:rPr>
        <w:t>oftsea_terminal</w:t>
      </w:r>
      <w:r w:rsidR="00E56C1B" w:rsidRPr="004D55DA">
        <w:rPr>
          <w:b/>
        </w:rPr>
        <w:t>”</w:t>
      </w:r>
      <w:r w:rsidRPr="004D55DA">
        <w:rPr>
          <w:b/>
        </w:rPr>
        <w:t>)</w:t>
      </w:r>
      <w:r w:rsidRPr="004D55DA">
        <w:t xml:space="preserve"> – que inclui os fundos do cais e do porto, a dimensão dos navios e o comprimento do cais (semelhante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acessibilidades terrestres</w:t>
      </w:r>
      <w:r w:rsidRPr="004D55DA">
        <w:rPr>
          <w:b/>
        </w:rPr>
        <w:t xml:space="preserve"> (</w:t>
      </w:r>
      <w:r w:rsidR="00E56C1B" w:rsidRPr="004D55DA">
        <w:rPr>
          <w:b/>
        </w:rPr>
        <w:t>“h</w:t>
      </w:r>
      <w:r w:rsidRPr="004D55DA">
        <w:rPr>
          <w:b/>
        </w:rPr>
        <w:t>ardland-terminal</w:t>
      </w:r>
      <w:r w:rsidR="00E56C1B" w:rsidRPr="004D55DA">
        <w:rPr>
          <w:b/>
        </w:rPr>
        <w:t>”</w:t>
      </w:r>
      <w:r w:rsidRPr="004D55DA">
        <w:rPr>
          <w:b/>
        </w:rPr>
        <w:t>)</w:t>
      </w:r>
      <w:r w:rsidRPr="004D55DA">
        <w:t xml:space="preserve"> – que inclui as acessibilidades rodo-ferroviárias ao terminal (semelhante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infraestrutura do porto</w:t>
      </w:r>
      <w:r w:rsidRPr="004D55DA">
        <w:rPr>
          <w:b/>
        </w:rPr>
        <w:t xml:space="preserve"> (</w:t>
      </w:r>
      <w:r w:rsidR="00E56C1B" w:rsidRPr="004D55DA">
        <w:rPr>
          <w:b/>
        </w:rPr>
        <w:t>“h</w:t>
      </w:r>
      <w:r w:rsidRPr="004D55DA">
        <w:rPr>
          <w:b/>
        </w:rPr>
        <w:t>ard-port</w:t>
      </w:r>
      <w:r w:rsidR="00E56C1B" w:rsidRPr="004D55DA">
        <w:rPr>
          <w:b/>
        </w:rPr>
        <w:t>”</w:t>
      </w:r>
      <w:r w:rsidRPr="004D55DA">
        <w:rPr>
          <w:b/>
        </w:rPr>
        <w:t>)</w:t>
      </w:r>
      <w:r w:rsidRPr="004D55DA">
        <w:t xml:space="preserve"> – que inclui variáveis quantitativas como a dimensão do porto (comprimento de cais), o número de terminais concorrentes no porto e a dimensão do terrapleno do terminal (semelhante ao caso ibérico, mas sem variáveis da região);</w:t>
      </w:r>
    </w:p>
    <w:p w:rsidR="00104A12" w:rsidRPr="004D55DA" w:rsidRDefault="00104A12" w:rsidP="005958FF">
      <w:pPr>
        <w:pStyle w:val="PargrafodaLista"/>
        <w:numPr>
          <w:ilvl w:val="0"/>
          <w:numId w:val="29"/>
        </w:numPr>
        <w:spacing w:line="360" w:lineRule="auto"/>
        <w:ind w:left="0" w:firstLine="0"/>
        <w:jc w:val="both"/>
      </w:pPr>
      <w:r w:rsidRPr="004D55DA">
        <w:rPr>
          <w:b/>
          <w:i/>
        </w:rPr>
        <w:t xml:space="preserve">localização Regional </w:t>
      </w:r>
      <w:r w:rsidRPr="004D55DA">
        <w:rPr>
          <w:b/>
        </w:rPr>
        <w:t>(</w:t>
      </w:r>
      <w:r w:rsidR="00E56C1B" w:rsidRPr="004D55DA">
        <w:rPr>
          <w:b/>
        </w:rPr>
        <w:t>“r</w:t>
      </w:r>
      <w:r w:rsidRPr="004D55DA">
        <w:rPr>
          <w:b/>
        </w:rPr>
        <w:t>egional position-port</w:t>
      </w:r>
      <w:r w:rsidR="00E56C1B" w:rsidRPr="004D55DA">
        <w:rPr>
          <w:b/>
          <w:i/>
        </w:rPr>
        <w:t>”</w:t>
      </w:r>
      <w:r w:rsidRPr="004D55DA">
        <w:rPr>
          <w:b/>
        </w:rPr>
        <w:t>)</w:t>
      </w:r>
      <w:r w:rsidRPr="004D55DA">
        <w:t xml:space="preserve"> – que inclui as áreas logísticas do porto e a distância às áreas de produção e consumo (novidade face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localização na Europa</w:t>
      </w:r>
      <w:r w:rsidRPr="004D55DA">
        <w:rPr>
          <w:b/>
        </w:rPr>
        <w:t xml:space="preserve"> (</w:t>
      </w:r>
      <w:r w:rsidR="00E56C1B" w:rsidRPr="004D55DA">
        <w:rPr>
          <w:b/>
        </w:rPr>
        <w:t>“c</w:t>
      </w:r>
      <w:r w:rsidRPr="004D55DA">
        <w:rPr>
          <w:b/>
        </w:rPr>
        <w:t>ontinental position-port</w:t>
      </w:r>
      <w:r w:rsidR="00E56C1B" w:rsidRPr="004D55DA">
        <w:rPr>
          <w:b/>
        </w:rPr>
        <w:t>”</w:t>
      </w:r>
      <w:r w:rsidRPr="004D55DA">
        <w:rPr>
          <w:b/>
        </w:rPr>
        <w:t>)</w:t>
      </w:r>
      <w:r w:rsidRPr="004D55DA">
        <w:t xml:space="preserve"> – que inclui a distância ao centro da Europa e ao Mediterrâneo e o desempenho económico da região onde está inserido o terminal (novidade face ao caso ibérico);</w:t>
      </w:r>
    </w:p>
    <w:p w:rsidR="00104A12" w:rsidRPr="004D55DA" w:rsidRDefault="00104A12" w:rsidP="005958FF">
      <w:pPr>
        <w:pStyle w:val="PargrafodaLista"/>
        <w:numPr>
          <w:ilvl w:val="0"/>
          <w:numId w:val="29"/>
        </w:numPr>
        <w:spacing w:line="360" w:lineRule="auto"/>
        <w:ind w:left="0" w:firstLine="0"/>
        <w:jc w:val="both"/>
      </w:pPr>
      <w:r w:rsidRPr="004D55DA">
        <w:rPr>
          <w:b/>
          <w:i/>
        </w:rPr>
        <w:t>governação do terminal</w:t>
      </w:r>
      <w:r w:rsidRPr="004D55DA">
        <w:rPr>
          <w:b/>
        </w:rPr>
        <w:t xml:space="preserve"> (</w:t>
      </w:r>
      <w:r w:rsidR="00E56C1B" w:rsidRPr="004D55DA">
        <w:rPr>
          <w:b/>
        </w:rPr>
        <w:t>“s</w:t>
      </w:r>
      <w:r w:rsidRPr="004D55DA">
        <w:rPr>
          <w:b/>
        </w:rPr>
        <w:t>oftgov-terminal</w:t>
      </w:r>
      <w:r w:rsidR="00E56C1B" w:rsidRPr="004D55DA">
        <w:rPr>
          <w:b/>
        </w:rPr>
        <w:t>”</w:t>
      </w:r>
      <w:r w:rsidRPr="004D55DA">
        <w:rPr>
          <w:b/>
        </w:rPr>
        <w:t>)</w:t>
      </w:r>
      <w:r w:rsidRPr="004D55DA">
        <w:t xml:space="preserve"> – que se refere à participação de armadores globais na gestão do terminal (semelhante ao caso ibérico).</w:t>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keepNext/>
        <w:rPr>
          <w:sz w:val="22"/>
          <w:szCs w:val="22"/>
        </w:rPr>
      </w:pPr>
      <w:bookmarkStart w:id="196" w:name="_Toc396134158"/>
      <w:r w:rsidRPr="00D713C2">
        <w:rPr>
          <w:sz w:val="22"/>
          <w:szCs w:val="22"/>
        </w:rPr>
        <w:t xml:space="preserve">Tabela </w:t>
      </w:r>
      <w:r w:rsidR="00372F0E" w:rsidRPr="00D713C2">
        <w:rPr>
          <w:sz w:val="22"/>
          <w:szCs w:val="22"/>
        </w:rPr>
        <w:fldChar w:fldCharType="begin"/>
      </w:r>
      <w:r w:rsidR="00372F0E" w:rsidRPr="00D713C2">
        <w:rPr>
          <w:sz w:val="22"/>
          <w:szCs w:val="22"/>
        </w:rPr>
        <w:instrText xml:space="preserve"> SEQ Tabela \* ARABIC </w:instrText>
      </w:r>
      <w:r w:rsidR="00372F0E" w:rsidRPr="00D713C2">
        <w:rPr>
          <w:sz w:val="22"/>
          <w:szCs w:val="22"/>
        </w:rPr>
        <w:fldChar w:fldCharType="separate"/>
      </w:r>
      <w:r w:rsidR="008D1B65">
        <w:rPr>
          <w:noProof/>
          <w:sz w:val="22"/>
          <w:szCs w:val="22"/>
        </w:rPr>
        <w:t>35</w:t>
      </w:r>
      <w:r w:rsidR="00372F0E" w:rsidRPr="00D713C2">
        <w:rPr>
          <w:noProof/>
          <w:sz w:val="22"/>
          <w:szCs w:val="22"/>
        </w:rPr>
        <w:fldChar w:fldCharType="end"/>
      </w:r>
      <w:r w:rsidRPr="00D713C2">
        <w:rPr>
          <w:noProof/>
          <w:sz w:val="22"/>
          <w:szCs w:val="22"/>
        </w:rPr>
        <w:t xml:space="preserve"> - </w:t>
      </w:r>
      <w:r w:rsidRPr="00D713C2">
        <w:rPr>
          <w:color w:val="000000"/>
          <w:sz w:val="22"/>
          <w:szCs w:val="22"/>
        </w:rPr>
        <w:t>Rot</w:t>
      </w:r>
      <w:r w:rsidR="003E367B" w:rsidRPr="00D713C2">
        <w:rPr>
          <w:color w:val="000000"/>
          <w:sz w:val="22"/>
          <w:szCs w:val="22"/>
        </w:rPr>
        <w:t>ated Factor Matrix, 2º inq.</w:t>
      </w:r>
      <w:r w:rsidRPr="00D713C2">
        <w:rPr>
          <w:color w:val="000000"/>
          <w:sz w:val="22"/>
          <w:szCs w:val="22"/>
        </w:rPr>
        <w:t>, Europa, PCA</w:t>
      </w:r>
      <w:r w:rsidR="003217CF" w:rsidRPr="00D713C2">
        <w:rPr>
          <w:color w:val="000000"/>
          <w:sz w:val="22"/>
          <w:szCs w:val="22"/>
        </w:rPr>
        <w:t>/varima</w:t>
      </w:r>
      <w:r w:rsidR="003E367B" w:rsidRPr="00D713C2">
        <w:rPr>
          <w:color w:val="000000"/>
          <w:sz w:val="22"/>
          <w:szCs w:val="22"/>
        </w:rPr>
        <w:t>x</w:t>
      </w:r>
      <w:r w:rsidRPr="00D713C2">
        <w:rPr>
          <w:color w:val="000000"/>
          <w:sz w:val="22"/>
          <w:szCs w:val="22"/>
        </w:rPr>
        <w:t xml:space="preserve">, </w:t>
      </w:r>
      <w:r w:rsidRPr="00D713C2">
        <w:rPr>
          <w:noProof/>
          <w:sz w:val="22"/>
          <w:szCs w:val="22"/>
        </w:rPr>
        <w:t>variáveis exógenas</w:t>
      </w:r>
      <w:bookmarkEnd w:id="196"/>
    </w:p>
    <w:tbl>
      <w:tblPr>
        <w:tblW w:w="8946" w:type="dxa"/>
        <w:tblInd w:w="55" w:type="dxa"/>
        <w:tblLayout w:type="fixed"/>
        <w:tblCellMar>
          <w:left w:w="70" w:type="dxa"/>
          <w:right w:w="70" w:type="dxa"/>
        </w:tblCellMar>
        <w:tblLook w:val="00A0" w:firstRow="1" w:lastRow="0" w:firstColumn="1" w:lastColumn="0" w:noHBand="0" w:noVBand="0"/>
      </w:tblPr>
      <w:tblGrid>
        <w:gridCol w:w="3276"/>
        <w:gridCol w:w="425"/>
        <w:gridCol w:w="425"/>
        <w:gridCol w:w="425"/>
        <w:gridCol w:w="426"/>
        <w:gridCol w:w="425"/>
        <w:gridCol w:w="425"/>
        <w:gridCol w:w="567"/>
        <w:gridCol w:w="426"/>
        <w:gridCol w:w="1984"/>
        <w:gridCol w:w="142"/>
      </w:tblGrid>
      <w:tr w:rsidR="00104A12" w:rsidRPr="004D55DA" w:rsidTr="009E2D7C">
        <w:trPr>
          <w:gridAfter w:val="1"/>
          <w:wAfter w:w="142" w:type="dxa"/>
          <w:trHeight w:val="300"/>
        </w:trPr>
        <w:tc>
          <w:tcPr>
            <w:tcW w:w="3276" w:type="dxa"/>
            <w:tcBorders>
              <w:top w:val="single" w:sz="4" w:space="0" w:color="auto"/>
              <w:left w:val="nil"/>
              <w:bottom w:val="nil"/>
              <w:right w:val="nil"/>
            </w:tcBorders>
            <w:shd w:val="clear" w:color="000000" w:fill="FFFFFF"/>
            <w:vAlign w:val="center"/>
          </w:tcPr>
          <w:p w:rsidR="00104A12" w:rsidRPr="004D55DA" w:rsidRDefault="00104A12" w:rsidP="007F7964">
            <w:pPr>
              <w:rPr>
                <w:rFonts w:ascii="Cambria" w:hAnsi="Cambria" w:cs="Arial"/>
                <w:sz w:val="14"/>
                <w:szCs w:val="14"/>
              </w:rPr>
            </w:pPr>
          </w:p>
        </w:tc>
        <w:tc>
          <w:tcPr>
            <w:tcW w:w="3544" w:type="dxa"/>
            <w:gridSpan w:val="8"/>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Componentes</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Variáveis</w:t>
            </w:r>
          </w:p>
        </w:tc>
        <w:tc>
          <w:tcPr>
            <w:tcW w:w="42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1</w:t>
            </w:r>
          </w:p>
        </w:tc>
        <w:tc>
          <w:tcPr>
            <w:tcW w:w="42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2</w:t>
            </w:r>
          </w:p>
        </w:tc>
        <w:tc>
          <w:tcPr>
            <w:tcW w:w="42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3</w:t>
            </w:r>
          </w:p>
        </w:tc>
        <w:tc>
          <w:tcPr>
            <w:tcW w:w="426"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4</w:t>
            </w:r>
          </w:p>
        </w:tc>
        <w:tc>
          <w:tcPr>
            <w:tcW w:w="42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5</w:t>
            </w:r>
          </w:p>
        </w:tc>
        <w:tc>
          <w:tcPr>
            <w:tcW w:w="42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6</w:t>
            </w:r>
          </w:p>
        </w:tc>
        <w:tc>
          <w:tcPr>
            <w:tcW w:w="567"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7</w:t>
            </w:r>
          </w:p>
        </w:tc>
        <w:tc>
          <w:tcPr>
            <w:tcW w:w="426"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8</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Latentes</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Organização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,896</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Fiabilidade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,882</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Imagem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,826</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Tipo de gestor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,807</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Tempo de operação dos navios</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,796</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Agilidade face a alterações</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,786</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xml:space="preserve">Integração logística e organização do terminal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Flexibilidade operacional e comercial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,773</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r w:rsidR="00E56C1B" w:rsidRPr="004D55DA">
              <w:rPr>
                <w:rFonts w:ascii="Cambria" w:hAnsi="Cambria" w:cs="Arial"/>
                <w:sz w:val="14"/>
                <w:szCs w:val="14"/>
              </w:rPr>
              <w:t>“s</w:t>
            </w:r>
            <w:r w:rsidRPr="004D55DA">
              <w:rPr>
                <w:rFonts w:ascii="Cambria" w:hAnsi="Cambria" w:cs="Arial"/>
                <w:sz w:val="14"/>
                <w:szCs w:val="14"/>
              </w:rPr>
              <w:t>oftlogis-terminal e</w:t>
            </w:r>
            <w:r w:rsidR="00E56C1B" w:rsidRPr="004D55DA">
              <w:rPr>
                <w:rFonts w:ascii="Cambria" w:hAnsi="Cambria" w:cs="Arial"/>
                <w:sz w:val="14"/>
                <w:szCs w:val="14"/>
              </w:rPr>
              <w:t>s</w:t>
            </w:r>
            <w:r w:rsidRPr="004D55DA">
              <w:rPr>
                <w:rFonts w:ascii="Cambria" w:hAnsi="Cambria" w:cs="Arial"/>
                <w:sz w:val="14"/>
                <w:szCs w:val="14"/>
              </w:rPr>
              <w:t>-terminal</w:t>
            </w:r>
            <w:r w:rsidR="00E56C1B" w:rsidRPr="004D55DA">
              <w:rPr>
                <w:rFonts w:ascii="Cambria" w:hAnsi="Cambria" w:cs="Arial"/>
                <w:sz w:val="14"/>
                <w:szCs w:val="14"/>
              </w:rPr>
              <w:t>”</w:t>
            </w:r>
            <w:r w:rsidRPr="004D55DA">
              <w:rPr>
                <w:rFonts w:ascii="Cambria" w:hAnsi="Cambria" w:cs="Arial"/>
                <w:sz w:val="14"/>
                <w:szCs w:val="14"/>
              </w:rPr>
              <w:t>)</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Tarifa de handling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,738</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α = 0,956</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36906" w:rsidP="007F7964">
            <w:pPr>
              <w:rPr>
                <w:rFonts w:ascii="Cambria" w:hAnsi="Cambria" w:cs="Arial"/>
                <w:color w:val="000000"/>
                <w:sz w:val="14"/>
                <w:szCs w:val="14"/>
              </w:rPr>
            </w:pPr>
            <w:r>
              <w:rPr>
                <w:rFonts w:ascii="Cambria" w:hAnsi="Cambria" w:cs="Arial"/>
                <w:sz w:val="14"/>
                <w:szCs w:val="14"/>
              </w:rPr>
              <w:t>"Layout"</w:t>
            </w:r>
            <w:r w:rsidRPr="004D55DA">
              <w:rPr>
                <w:rFonts w:ascii="Cambria" w:hAnsi="Cambria" w:cs="Arial"/>
                <w:sz w:val="14"/>
                <w:szCs w:val="14"/>
              </w:rPr>
              <w:t xml:space="preserve"> do terminal</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,734</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Integração do terminal nas cadeias logísticas</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,722</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Orientação do terminal para o cliente</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Qualidade geral dos serviços</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,685</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Dinamismo da Autoridade e Comunidade Portuária</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,682</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Serviços logísticos de valor acrescentado</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Sistema de informações</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Número de pórticos de cais</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,956</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xml:space="preserve"> Infraestrutura do terminal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Comprimento de cais</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,952</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w:t>
            </w:r>
            <w:r w:rsidR="00E56C1B" w:rsidRPr="004D55DA">
              <w:rPr>
                <w:rFonts w:ascii="Cambria" w:hAnsi="Cambria" w:cs="Arial"/>
                <w:sz w:val="14"/>
                <w:szCs w:val="14"/>
              </w:rPr>
              <w:t>“h</w:t>
            </w:r>
            <w:r w:rsidRPr="004D55DA">
              <w:rPr>
                <w:rFonts w:ascii="Cambria" w:hAnsi="Cambria" w:cs="Arial"/>
                <w:sz w:val="14"/>
                <w:szCs w:val="14"/>
              </w:rPr>
              <w:t>ardsea-terminal</w:t>
            </w:r>
            <w:r w:rsidR="00E56C1B" w:rsidRPr="004D55DA">
              <w:rPr>
                <w:rFonts w:ascii="Cambria" w:hAnsi="Cambria" w:cs="Arial"/>
                <w:sz w:val="14"/>
                <w:szCs w:val="14"/>
              </w:rPr>
              <w:t>”</w:t>
            </w:r>
            <w:r w:rsidRPr="004D55DA">
              <w:rPr>
                <w:rFonts w:ascii="Cambria" w:hAnsi="Cambria" w:cs="Arial"/>
                <w:sz w:val="14"/>
                <w:szCs w:val="14"/>
              </w:rPr>
              <w:t>)</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Área do terminal</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,881</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α = 0,903</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Frequência de linhas Top10</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,545</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Profundidade do cais do terminal</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,793</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Serviços marítimos do terminal </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Dimensão dos navios</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,760</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w:t>
            </w:r>
            <w:r w:rsidR="00E56C1B" w:rsidRPr="004D55DA">
              <w:rPr>
                <w:rFonts w:ascii="Cambria" w:hAnsi="Cambria" w:cs="Arial"/>
                <w:sz w:val="14"/>
                <w:szCs w:val="14"/>
              </w:rPr>
              <w:t>“s</w:t>
            </w:r>
            <w:r w:rsidRPr="004D55DA">
              <w:rPr>
                <w:rFonts w:ascii="Cambria" w:hAnsi="Cambria" w:cs="Arial"/>
                <w:sz w:val="14"/>
                <w:szCs w:val="14"/>
              </w:rPr>
              <w:t>oftsea-terminal</w:t>
            </w:r>
            <w:r w:rsidR="00E56C1B" w:rsidRPr="004D55DA">
              <w:rPr>
                <w:rFonts w:ascii="Cambria" w:hAnsi="Cambria" w:cs="Arial"/>
                <w:sz w:val="14"/>
                <w:szCs w:val="14"/>
              </w:rPr>
              <w:t>”</w:t>
            </w:r>
            <w:r w:rsidRPr="004D55DA">
              <w:rPr>
                <w:rFonts w:ascii="Cambria" w:hAnsi="Cambria" w:cs="Arial"/>
                <w:sz w:val="14"/>
                <w:szCs w:val="14"/>
              </w:rPr>
              <w:t>)</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Acesso marítimo</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,720</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α = 0,825</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Frente de cais</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,698</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Ligações ferroviárias a terminais de 2ªlinha</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,871</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Acessibilidades terrestres </w:t>
            </w:r>
          </w:p>
          <w:p w:rsidR="00104A12" w:rsidRPr="004D55DA" w:rsidRDefault="00104A12" w:rsidP="007F7964">
            <w:pPr>
              <w:jc w:val="center"/>
              <w:rPr>
                <w:rFonts w:ascii="Cambria" w:hAnsi="Cambria" w:cs="Arial"/>
                <w:sz w:val="14"/>
                <w:szCs w:val="14"/>
              </w:rPr>
            </w:pPr>
            <w:r w:rsidRPr="004D55DA">
              <w:rPr>
                <w:rFonts w:ascii="Cambria" w:hAnsi="Cambria" w:cs="Arial"/>
                <w:sz w:val="14"/>
                <w:szCs w:val="14"/>
              </w:rPr>
              <w:t xml:space="preserve"> (</w:t>
            </w:r>
            <w:r w:rsidR="00E56C1B" w:rsidRPr="004D55DA">
              <w:rPr>
                <w:rFonts w:ascii="Cambria" w:hAnsi="Cambria" w:cs="Arial"/>
                <w:sz w:val="14"/>
                <w:szCs w:val="14"/>
              </w:rPr>
              <w:t>“h</w:t>
            </w:r>
            <w:r w:rsidRPr="004D55DA">
              <w:rPr>
                <w:rFonts w:ascii="Cambria" w:hAnsi="Cambria" w:cs="Arial"/>
                <w:sz w:val="14"/>
                <w:szCs w:val="14"/>
              </w:rPr>
              <w:t>ardland-terminal</w:t>
            </w:r>
            <w:r w:rsidR="00E56C1B" w:rsidRPr="004D55DA">
              <w:rPr>
                <w:rFonts w:ascii="Cambria" w:hAnsi="Cambria" w:cs="Arial"/>
                <w:sz w:val="14"/>
                <w:szCs w:val="14"/>
              </w:rPr>
              <w:t>”</w:t>
            </w:r>
            <w:r w:rsidRPr="004D55DA">
              <w:rPr>
                <w:rFonts w:ascii="Cambria" w:hAnsi="Cambria" w:cs="Arial"/>
                <w:sz w:val="14"/>
                <w:szCs w:val="14"/>
              </w:rPr>
              <w:t>)</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Acessibilidades ferroviárias</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,824</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α = 0,855</w:t>
            </w:r>
          </w:p>
        </w:tc>
      </w:tr>
      <w:tr w:rsidR="00104A12" w:rsidRPr="004D55DA" w:rsidTr="009E2D7C">
        <w:trPr>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Acessibilidades rodoviárias</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,623</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2126" w:type="dxa"/>
            <w:gridSpan w:val="2"/>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Comprimento dos cais do porto</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,889</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xml:space="preserve">Infraestrutura do porto </w:t>
            </w:r>
          </w:p>
          <w:p w:rsidR="00104A12" w:rsidRPr="004D55DA" w:rsidRDefault="00104A12" w:rsidP="007F7964">
            <w:pPr>
              <w:jc w:val="center"/>
              <w:rPr>
                <w:rFonts w:ascii="Cambria" w:hAnsi="Cambria" w:cs="Arial"/>
                <w:sz w:val="14"/>
                <w:szCs w:val="14"/>
              </w:rPr>
            </w:pPr>
            <w:r w:rsidRPr="004D55DA">
              <w:rPr>
                <w:rFonts w:ascii="Cambria" w:hAnsi="Cambria" w:cs="Arial"/>
                <w:sz w:val="14"/>
                <w:szCs w:val="14"/>
              </w:rPr>
              <w:t>(</w:t>
            </w:r>
            <w:r w:rsidR="00FA4A19" w:rsidRPr="004D55DA">
              <w:rPr>
                <w:rFonts w:ascii="Cambria" w:hAnsi="Cambria" w:cs="Arial"/>
                <w:sz w:val="14"/>
                <w:szCs w:val="14"/>
              </w:rPr>
              <w:t>“h</w:t>
            </w:r>
            <w:r w:rsidRPr="004D55DA">
              <w:rPr>
                <w:rFonts w:ascii="Cambria" w:hAnsi="Cambria" w:cs="Arial"/>
                <w:sz w:val="14"/>
                <w:szCs w:val="14"/>
              </w:rPr>
              <w:t>ard-port</w:t>
            </w:r>
            <w:r w:rsidR="00FA4A19" w:rsidRPr="004D55DA">
              <w:rPr>
                <w:rFonts w:ascii="Cambria" w:hAnsi="Cambria" w:cs="Arial"/>
                <w:sz w:val="14"/>
                <w:szCs w:val="14"/>
              </w:rPr>
              <w:t>”</w:t>
            </w:r>
            <w:r w:rsidRPr="004D55DA">
              <w:rPr>
                <w:rFonts w:ascii="Cambria" w:hAnsi="Cambria" w:cs="Arial"/>
                <w:sz w:val="14"/>
                <w:szCs w:val="14"/>
              </w:rPr>
              <w:t>)</w:t>
            </w:r>
          </w:p>
        </w:tc>
      </w:tr>
      <w:tr w:rsidR="00104A12" w:rsidRPr="004D55DA" w:rsidTr="009E2D7C">
        <w:trPr>
          <w:gridAfter w:val="1"/>
          <w:wAfter w:w="142" w:type="dxa"/>
          <w:trHeight w:val="288"/>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Número de terminais de contentores no porto</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,846</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α = 0,796</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Área do parque por metro de cais</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,631</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Proximidade da origem das cargas no “hinterland”</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,762</w:t>
            </w:r>
          </w:p>
        </w:tc>
        <w:tc>
          <w:tcPr>
            <w:tcW w:w="567"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Calibri"/>
                <w:color w:val="000000"/>
                <w:sz w:val="14"/>
                <w:szCs w:val="14"/>
              </w:rPr>
              <w:t>Localização Regional</w:t>
            </w:r>
            <w:r w:rsidRPr="004D55DA">
              <w:rPr>
                <w:rFonts w:ascii="Cambria" w:hAnsi="Cambria" w:cs="Arial"/>
                <w:sz w:val="14"/>
                <w:szCs w:val="14"/>
              </w:rPr>
              <w:t xml:space="preserve"> (</w:t>
            </w:r>
            <w:r w:rsidR="00FA4A19" w:rsidRPr="004D55DA">
              <w:rPr>
                <w:rFonts w:ascii="Cambria" w:hAnsi="Cambria" w:cs="Arial"/>
                <w:sz w:val="14"/>
                <w:szCs w:val="14"/>
              </w:rPr>
              <w:t>“r</w:t>
            </w:r>
            <w:r w:rsidRPr="004D55DA">
              <w:rPr>
                <w:rFonts w:ascii="Cambria" w:hAnsi="Cambria" w:cs="Arial"/>
                <w:sz w:val="14"/>
                <w:szCs w:val="14"/>
              </w:rPr>
              <w:t>egional position-port</w:t>
            </w:r>
            <w:r w:rsidR="00FA4A19" w:rsidRPr="004D55DA">
              <w:rPr>
                <w:rFonts w:ascii="Cambria" w:hAnsi="Cambria" w:cs="Arial"/>
                <w:sz w:val="14"/>
                <w:szCs w:val="14"/>
              </w:rPr>
              <w:t>”</w:t>
            </w:r>
            <w:r w:rsidRPr="004D55DA">
              <w:rPr>
                <w:rFonts w:ascii="Cambria" w:hAnsi="Cambria" w:cs="Arial"/>
                <w:sz w:val="14"/>
                <w:szCs w:val="14"/>
              </w:rPr>
              <w:t>)   </w:t>
            </w:r>
          </w:p>
          <w:p w:rsidR="00104A12" w:rsidRPr="004D55DA" w:rsidRDefault="00104A12" w:rsidP="007F7964">
            <w:pPr>
              <w:jc w:val="center"/>
              <w:rPr>
                <w:rFonts w:ascii="Cambria" w:hAnsi="Cambria" w:cs="Calibri"/>
                <w:color w:val="000000"/>
                <w:sz w:val="14"/>
                <w:szCs w:val="14"/>
              </w:rPr>
            </w:pPr>
            <w:r w:rsidRPr="004D55DA">
              <w:rPr>
                <w:rFonts w:ascii="Cambria" w:hAnsi="Cambria" w:cs="Arial"/>
                <w:sz w:val="14"/>
                <w:szCs w:val="14"/>
              </w:rPr>
              <w:t>α = 0,630</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Áreas logísticas junto ao porto</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,741</w:t>
            </w:r>
          </w:p>
        </w:tc>
        <w:tc>
          <w:tcPr>
            <w:tcW w:w="567"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xml:space="preserve"> </w:t>
            </w:r>
          </w:p>
        </w:tc>
      </w:tr>
      <w:tr w:rsidR="00104A12" w:rsidRPr="004D55DA" w:rsidTr="00916FE5">
        <w:trPr>
          <w:gridAfter w:val="1"/>
          <w:wAfter w:w="142" w:type="dxa"/>
          <w:trHeight w:val="288"/>
        </w:trPr>
        <w:tc>
          <w:tcPr>
            <w:tcW w:w="327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Distância ao porto mais próximo</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,802</w:t>
            </w:r>
          </w:p>
        </w:tc>
        <w:tc>
          <w:tcPr>
            <w:tcW w:w="426"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single" w:sz="4" w:space="0" w:color="auto"/>
              <w:left w:val="nil"/>
              <w:bottom w:val="nil"/>
              <w:right w:val="nil"/>
            </w:tcBorders>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Localização na Europa ( Continental position-port)</w:t>
            </w:r>
          </w:p>
        </w:tc>
      </w:tr>
      <w:tr w:rsidR="00104A12" w:rsidRPr="004D55DA" w:rsidTr="00E952D5">
        <w:trPr>
          <w:gridAfter w:val="1"/>
          <w:wAfter w:w="142" w:type="dxa"/>
          <w:trHeight w:val="300"/>
        </w:trPr>
        <w:tc>
          <w:tcPr>
            <w:tcW w:w="327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Distância ao centro da Europa</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,664</w:t>
            </w:r>
          </w:p>
        </w:tc>
        <w:tc>
          <w:tcPr>
            <w:tcW w:w="426"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nil"/>
              <w:right w:val="nil"/>
            </w:tcBorders>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α = 0,603</w:t>
            </w:r>
          </w:p>
        </w:tc>
      </w:tr>
      <w:tr w:rsidR="00104A12" w:rsidRPr="004D55DA" w:rsidTr="00916FE5">
        <w:trPr>
          <w:gridAfter w:val="1"/>
          <w:wAfter w:w="142" w:type="dxa"/>
          <w:trHeight w:val="288"/>
        </w:trPr>
        <w:tc>
          <w:tcPr>
            <w:tcW w:w="327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PIB da região</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-,604</w:t>
            </w:r>
          </w:p>
        </w:tc>
        <w:tc>
          <w:tcPr>
            <w:tcW w:w="426" w:type="dxa"/>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1984" w:type="dxa"/>
            <w:tcBorders>
              <w:top w:val="nil"/>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 </w:t>
            </w:r>
          </w:p>
        </w:tc>
      </w:tr>
      <w:tr w:rsidR="00104A12" w:rsidRPr="004D55DA" w:rsidTr="00916FE5">
        <w:trPr>
          <w:gridAfter w:val="1"/>
          <w:wAfter w:w="142" w:type="dxa"/>
          <w:trHeight w:val="288"/>
        </w:trPr>
        <w:tc>
          <w:tcPr>
            <w:tcW w:w="3276"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sz w:val="14"/>
                <w:szCs w:val="14"/>
              </w:rPr>
              <w:t>Terminal gerido por operador do Top10</w:t>
            </w:r>
          </w:p>
        </w:tc>
        <w:tc>
          <w:tcPr>
            <w:tcW w:w="425"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5"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567" w:type="dxa"/>
            <w:tcBorders>
              <w:top w:val="single" w:sz="4" w:space="0" w:color="auto"/>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 xml:space="preserve"> </w:t>
            </w:r>
          </w:p>
        </w:tc>
        <w:tc>
          <w:tcPr>
            <w:tcW w:w="426" w:type="dxa"/>
            <w:tcBorders>
              <w:top w:val="single" w:sz="4" w:space="0" w:color="auto"/>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,791</w:t>
            </w:r>
          </w:p>
        </w:tc>
        <w:tc>
          <w:tcPr>
            <w:tcW w:w="1984" w:type="dxa"/>
            <w:tcBorders>
              <w:top w:val="single" w:sz="4" w:space="0" w:color="auto"/>
              <w:left w:val="nil"/>
              <w:bottom w:val="single" w:sz="4" w:space="0" w:color="auto"/>
              <w:right w:val="nil"/>
            </w:tcBorders>
            <w:shd w:val="clear" w:color="000000" w:fill="FFFFFF"/>
            <w:noWrap/>
            <w:vAlign w:val="bottom"/>
          </w:tcPr>
          <w:p w:rsidR="00104A12" w:rsidRPr="004D55DA" w:rsidRDefault="00104A12" w:rsidP="007F7964">
            <w:pPr>
              <w:jc w:val="center"/>
              <w:rPr>
                <w:rFonts w:ascii="Cambria" w:hAnsi="Cambria" w:cs="Arial"/>
                <w:sz w:val="14"/>
                <w:szCs w:val="14"/>
              </w:rPr>
            </w:pPr>
            <w:r w:rsidRPr="004D55DA">
              <w:rPr>
                <w:rFonts w:ascii="Cambria" w:hAnsi="Cambria" w:cs="Arial"/>
                <w:sz w:val="14"/>
                <w:szCs w:val="14"/>
              </w:rPr>
              <w:t>Governanção do terminal</w:t>
            </w:r>
          </w:p>
          <w:p w:rsidR="00104A12" w:rsidRPr="004D55DA" w:rsidRDefault="00104A12" w:rsidP="007F7964">
            <w:pPr>
              <w:jc w:val="center"/>
              <w:rPr>
                <w:rFonts w:ascii="Cambria" w:hAnsi="Cambria" w:cs="Arial"/>
                <w:sz w:val="14"/>
                <w:szCs w:val="14"/>
              </w:rPr>
            </w:pPr>
            <w:r w:rsidRPr="004D55DA">
              <w:rPr>
                <w:rFonts w:ascii="Cambria" w:hAnsi="Cambria" w:cs="Arial"/>
                <w:sz w:val="14"/>
                <w:szCs w:val="14"/>
              </w:rPr>
              <w:t>(</w:t>
            </w:r>
            <w:r w:rsidR="00FA4A19" w:rsidRPr="004D55DA">
              <w:rPr>
                <w:rFonts w:ascii="Cambria" w:hAnsi="Cambria" w:cs="Arial"/>
                <w:sz w:val="14"/>
                <w:szCs w:val="14"/>
              </w:rPr>
              <w:t>“s</w:t>
            </w:r>
            <w:r w:rsidRPr="004D55DA">
              <w:rPr>
                <w:rFonts w:ascii="Cambria" w:hAnsi="Cambria" w:cs="Arial"/>
                <w:sz w:val="14"/>
                <w:szCs w:val="14"/>
              </w:rPr>
              <w:t>oftgov-terminal</w:t>
            </w:r>
            <w:r w:rsidR="00FA4A19" w:rsidRPr="004D55DA">
              <w:rPr>
                <w:rFonts w:ascii="Cambria" w:hAnsi="Cambria" w:cs="Arial"/>
                <w:sz w:val="14"/>
                <w:szCs w:val="14"/>
              </w:rPr>
              <w:t>”</w:t>
            </w:r>
            <w:r w:rsidRPr="004D55DA">
              <w:rPr>
                <w:rFonts w:ascii="Cambria" w:hAnsi="Cambria" w:cs="Arial"/>
                <w:sz w:val="14"/>
                <w:szCs w:val="14"/>
              </w:rPr>
              <w:t>)</w:t>
            </w:r>
          </w:p>
        </w:tc>
      </w:tr>
    </w:tbl>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pPr>
    </w:p>
    <w:p w:rsidR="00104A12" w:rsidRPr="00D713C2" w:rsidRDefault="00104A12" w:rsidP="005958FF">
      <w:pPr>
        <w:pStyle w:val="Cabealho3"/>
        <w:ind w:left="0" w:firstLine="0"/>
        <w:rPr>
          <w:sz w:val="24"/>
          <w:szCs w:val="24"/>
          <w:u w:val="none"/>
          <w:lang w:val="pt-PT"/>
        </w:rPr>
      </w:pPr>
      <w:bookmarkStart w:id="197" w:name="_Toc374297042"/>
      <w:bookmarkStart w:id="198" w:name="_Toc395292671"/>
      <w:bookmarkStart w:id="199" w:name="_Toc395730161"/>
      <w:r w:rsidRPr="00D713C2">
        <w:rPr>
          <w:sz w:val="24"/>
          <w:szCs w:val="24"/>
          <w:u w:val="none"/>
          <w:lang w:val="pt-PT"/>
        </w:rPr>
        <w:t>Determinantes latentes do desempenho do terminal</w:t>
      </w:r>
      <w:bookmarkEnd w:id="197"/>
      <w:bookmarkEnd w:id="198"/>
      <w:bookmarkEnd w:id="199"/>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Com base nos resultados da </w:t>
      </w:r>
      <w:r w:rsidR="00D36A58">
        <w:t>análise de componentes principais</w:t>
      </w:r>
      <w:r w:rsidRPr="004D55DA">
        <w:t xml:space="preserve"> efetuada e para cada uma das variáveis latentes dependentes relativas ao desempenho do terminal de contentores encontradas (</w:t>
      </w:r>
      <w:r w:rsidRPr="004D55DA">
        <w:rPr>
          <w:i/>
        </w:rPr>
        <w:t>satisfação do cliente e atividade</w:t>
      </w:r>
      <w:r w:rsidRPr="004D55DA">
        <w:t xml:space="preserve">), procedeu-se à análise da significância e dos coeficientes dos </w:t>
      </w:r>
      <w:r w:rsidR="00136906" w:rsidRPr="004D55DA">
        <w:t>fatores</w:t>
      </w:r>
      <w:r w:rsidRPr="004D55DA">
        <w:t xml:space="preserve"> latentes explicativos, resultantes da </w:t>
      </w:r>
      <w:r w:rsidR="00D36A58">
        <w:t>análise de componentes principais</w:t>
      </w:r>
      <w:r w:rsidRPr="004D55DA">
        <w:t>, e que resumem as características do porto e do terminal e determinam ou influenciam o desempenho do terminal de contentores.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Recorrendo à técnica da regressão linear e aos valores dos </w:t>
      </w:r>
      <w:r w:rsidR="00136906" w:rsidRPr="004D55DA">
        <w:t>fatores</w:t>
      </w:r>
      <w:r w:rsidRPr="004D55DA">
        <w:t xml:space="preserve"> ou variáveis latentes encontradas anteriormente para cada observação (“scores”), procedeu-se à análise para cada uma das variáveis dependentes do desempenho do terminal - </w:t>
      </w:r>
      <w:r w:rsidRPr="004D55DA">
        <w:rPr>
          <w:i/>
        </w:rPr>
        <w:t>satisfação do cliente</w:t>
      </w:r>
      <w:r w:rsidRPr="004D55DA">
        <w:t xml:space="preserve"> e a</w:t>
      </w:r>
      <w:r w:rsidRPr="004D55DA">
        <w:rPr>
          <w:i/>
        </w:rPr>
        <w:t>tividade -</w:t>
      </w:r>
      <w:r w:rsidRPr="004D55DA">
        <w:t xml:space="preserve"> testando-se a influência dos </w:t>
      </w:r>
      <w:r w:rsidR="00136906" w:rsidRPr="004D55DA">
        <w:t>fatores</w:t>
      </w:r>
      <w:r w:rsidRPr="004D55DA">
        <w:t xml:space="preserve"> latentes explicativos ou independentes encontrados. Verifica-se que é possível explicar parte do comportamento das variáveis de desempenho com base nos </w:t>
      </w:r>
      <w:r w:rsidR="00136906" w:rsidRPr="004D55DA">
        <w:t>fatores</w:t>
      </w:r>
      <w:r w:rsidRPr="004D55DA">
        <w:t xml:space="preserve"> utilizados. Na Tabela 36, encontram-se descritas as variáveis latentes resultantes da </w:t>
      </w:r>
      <w:r w:rsidR="00D36A58">
        <w:t>análise de componentes principais</w:t>
      </w:r>
      <w:r w:rsidRPr="004D55DA">
        <w:t xml:space="preserve"> anterior, utilizadas neste capítulo como variáveis dependentes nos modelos de regressão.</w:t>
      </w:r>
    </w:p>
    <w:p w:rsidR="00104A12" w:rsidRPr="00C205DC" w:rsidRDefault="00104A12" w:rsidP="007F7964">
      <w:pPr>
        <w:spacing w:line="360" w:lineRule="auto"/>
        <w:jc w:val="both"/>
      </w:pPr>
    </w:p>
    <w:p w:rsidR="00104A12" w:rsidRPr="00D713C2" w:rsidRDefault="00104A12" w:rsidP="007F7964">
      <w:pPr>
        <w:pStyle w:val="Legenda"/>
        <w:rPr>
          <w:sz w:val="24"/>
          <w:szCs w:val="24"/>
        </w:rPr>
      </w:pPr>
      <w:bookmarkStart w:id="200" w:name="_Toc396134159"/>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36</w:t>
      </w:r>
      <w:r w:rsidR="00372F0E" w:rsidRPr="00D713C2">
        <w:rPr>
          <w:noProof/>
          <w:sz w:val="24"/>
          <w:szCs w:val="24"/>
        </w:rPr>
        <w:fldChar w:fldCharType="end"/>
      </w:r>
      <w:r w:rsidRPr="00D713C2">
        <w:rPr>
          <w:sz w:val="24"/>
          <w:szCs w:val="24"/>
        </w:rPr>
        <w:t xml:space="preserve"> – Estatística descrita das variáveis</w:t>
      </w:r>
      <w:r w:rsidR="003217CF" w:rsidRPr="00D713C2">
        <w:rPr>
          <w:sz w:val="24"/>
          <w:szCs w:val="24"/>
        </w:rPr>
        <w:t xml:space="preserve"> latentes</w:t>
      </w:r>
      <w:r w:rsidRPr="00D713C2">
        <w:rPr>
          <w:sz w:val="24"/>
          <w:szCs w:val="24"/>
        </w:rPr>
        <w:t>, 2º inquérito, Europa</w:t>
      </w:r>
      <w:bookmarkEnd w:id="200"/>
    </w:p>
    <w:tbl>
      <w:tblPr>
        <w:tblW w:w="4762" w:type="pct"/>
        <w:tblCellMar>
          <w:left w:w="70" w:type="dxa"/>
          <w:right w:w="70" w:type="dxa"/>
        </w:tblCellMar>
        <w:tblLook w:val="00A0" w:firstRow="1" w:lastRow="0" w:firstColumn="1" w:lastColumn="0" w:noHBand="0" w:noVBand="0"/>
      </w:tblPr>
      <w:tblGrid>
        <w:gridCol w:w="3750"/>
        <w:gridCol w:w="604"/>
        <w:gridCol w:w="595"/>
        <w:gridCol w:w="540"/>
        <w:gridCol w:w="540"/>
        <w:gridCol w:w="526"/>
        <w:gridCol w:w="639"/>
        <w:gridCol w:w="863"/>
        <w:gridCol w:w="717"/>
      </w:tblGrid>
      <w:tr w:rsidR="00104A12" w:rsidRPr="004D55DA" w:rsidTr="00335992">
        <w:trPr>
          <w:trHeight w:val="540"/>
        </w:trPr>
        <w:tc>
          <w:tcPr>
            <w:tcW w:w="2137" w:type="pct"/>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sz w:val="16"/>
                <w:szCs w:val="16"/>
              </w:rPr>
            </w:pPr>
          </w:p>
        </w:tc>
        <w:tc>
          <w:tcPr>
            <w:tcW w:w="344"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Range</w:t>
            </w:r>
          </w:p>
        </w:tc>
        <w:tc>
          <w:tcPr>
            <w:tcW w:w="339"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Min</w:t>
            </w:r>
          </w:p>
        </w:tc>
        <w:tc>
          <w:tcPr>
            <w:tcW w:w="308"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Max</w:t>
            </w:r>
          </w:p>
        </w:tc>
        <w:tc>
          <w:tcPr>
            <w:tcW w:w="308"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Sum</w:t>
            </w:r>
          </w:p>
        </w:tc>
        <w:tc>
          <w:tcPr>
            <w:tcW w:w="300"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364"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w:t>
            </w:r>
          </w:p>
        </w:tc>
        <w:tc>
          <w:tcPr>
            <w:tcW w:w="492"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Skewness</w:t>
            </w:r>
          </w:p>
        </w:tc>
        <w:tc>
          <w:tcPr>
            <w:tcW w:w="409" w:type="pct"/>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Kurtosis</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Integração logística e organização do terminal</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4,210</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-2,766</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1,444</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-,823</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,365</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 Infraestrutura do terminal</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3,562</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-1,381</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2,182</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1,062</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,196</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Serviços marítimos do terminal </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4,220</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-2,197</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2,023</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-,089</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-,828</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Acessibilidades terrestres </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3,992</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-2,048</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1,944</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-,064</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-,704</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Infraestrutura do porto</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4,069</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-1,529</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2,540</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1,311</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1,362</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Calibri"/>
                <w:color w:val="000000"/>
                <w:sz w:val="14"/>
                <w:szCs w:val="14"/>
              </w:rPr>
              <w:t>Localização Regional</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4,694</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-2,812</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1,882</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-,555</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,650</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Localização na Europa </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4,846</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-2,109</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2,737</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,792</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,529</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4"/>
                <w:szCs w:val="14"/>
              </w:rPr>
              <w:t>Governação do terminal</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4,469</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-2,321</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2,147</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-,099</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-,200</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4,442</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-2,805</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1,637</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-,379</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,028</w:t>
            </w:r>
          </w:p>
        </w:tc>
      </w:tr>
      <w:tr w:rsidR="00104A12" w:rsidRPr="004D55DA" w:rsidTr="00335992">
        <w:trPr>
          <w:trHeight w:val="288"/>
        </w:trPr>
        <w:tc>
          <w:tcPr>
            <w:tcW w:w="2137" w:type="pct"/>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Atividade</w:t>
            </w:r>
          </w:p>
        </w:tc>
        <w:tc>
          <w:tcPr>
            <w:tcW w:w="34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3,844</w:t>
            </w:r>
          </w:p>
        </w:tc>
        <w:tc>
          <w:tcPr>
            <w:tcW w:w="33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-1,489</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2,355</w:t>
            </w:r>
          </w:p>
        </w:tc>
        <w:tc>
          <w:tcPr>
            <w:tcW w:w="308"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00"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364"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492"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,833</w:t>
            </w:r>
          </w:p>
        </w:tc>
        <w:tc>
          <w:tcPr>
            <w:tcW w:w="409" w:type="pct"/>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-,269</w:t>
            </w:r>
          </w:p>
        </w:tc>
      </w:tr>
      <w:tr w:rsidR="00104A12" w:rsidRPr="004D55DA" w:rsidTr="00335992">
        <w:trPr>
          <w:trHeight w:val="288"/>
        </w:trPr>
        <w:tc>
          <w:tcPr>
            <w:tcW w:w="2137" w:type="pct"/>
            <w:tcBorders>
              <w:top w:val="nil"/>
              <w:left w:val="nil"/>
              <w:bottom w:val="single" w:sz="4" w:space="0" w:color="auto"/>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Valid N</w:t>
            </w:r>
          </w:p>
        </w:tc>
        <w:tc>
          <w:tcPr>
            <w:tcW w:w="344"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39"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08"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08"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00"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364"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492"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p>
        </w:tc>
        <w:tc>
          <w:tcPr>
            <w:tcW w:w="409" w:type="pct"/>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sz w:val="16"/>
                <w:szCs w:val="16"/>
              </w:rPr>
            </w:pPr>
            <w:r w:rsidRPr="004D55DA">
              <w:rPr>
                <w:rFonts w:ascii="Cambria" w:hAnsi="Cambria" w:cs="Arial"/>
                <w:sz w:val="16"/>
                <w:szCs w:val="16"/>
              </w:rPr>
              <w:t> </w:t>
            </w:r>
            <w:r w:rsidR="003217CF">
              <w:rPr>
                <w:rFonts w:ascii="Cambria" w:hAnsi="Cambria" w:cs="Arial"/>
                <w:sz w:val="16"/>
                <w:szCs w:val="16"/>
              </w:rPr>
              <w:t>57</w:t>
            </w:r>
          </w:p>
        </w:tc>
      </w:tr>
    </w:tbl>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Pr>
        <w:spacing w:line="360" w:lineRule="auto"/>
        <w:jc w:val="both"/>
        <w:rPr>
          <w:b/>
        </w:rPr>
      </w:pPr>
    </w:p>
    <w:p w:rsidR="00104A12" w:rsidRPr="004D55DA" w:rsidRDefault="00104A12" w:rsidP="007F7964">
      <w:pPr>
        <w:spacing w:line="360" w:lineRule="auto"/>
        <w:jc w:val="both"/>
        <w:rPr>
          <w:b/>
        </w:rPr>
      </w:pPr>
      <w:r w:rsidRPr="004D55DA">
        <w:rPr>
          <w:b/>
        </w:rPr>
        <w:t>Satisfação do cliente</w:t>
      </w:r>
    </w:p>
    <w:p w:rsidR="00104A12" w:rsidRPr="004D55DA" w:rsidRDefault="00104A12" w:rsidP="007F7964">
      <w:pPr>
        <w:spacing w:line="360" w:lineRule="auto"/>
        <w:jc w:val="both"/>
      </w:pPr>
    </w:p>
    <w:p w:rsidR="00104A12" w:rsidRPr="004D55DA" w:rsidRDefault="003217CF" w:rsidP="007F7964">
      <w:pPr>
        <w:spacing w:line="360" w:lineRule="auto"/>
        <w:jc w:val="both"/>
        <w:rPr>
          <w:i/>
        </w:rPr>
      </w:pPr>
      <w:r>
        <w:t>A</w:t>
      </w:r>
      <w:r w:rsidR="00104A12" w:rsidRPr="004D55DA">
        <w:t xml:space="preserve">través de regressão com o método dos mínimos quadrados, </w:t>
      </w:r>
      <w:r>
        <w:t>f</w:t>
      </w:r>
      <w:r w:rsidRPr="004D55DA">
        <w:t xml:space="preserve">oi testado </w:t>
      </w:r>
      <w:r>
        <w:t>o</w:t>
      </w:r>
      <w:r w:rsidR="00104A12" w:rsidRPr="004D55DA">
        <w:t xml:space="preserve"> modelo explicativo da </w:t>
      </w:r>
      <w:r w:rsidR="00104A12" w:rsidRPr="004D55DA">
        <w:rPr>
          <w:i/>
        </w:rPr>
        <w:t>satisfação do cliente</w:t>
      </w:r>
      <w:r w:rsidR="00104A12" w:rsidRPr="004D55DA">
        <w:t xml:space="preserve">, com base nas variáveis latentes resultantes da </w:t>
      </w:r>
      <w:r w:rsidR="00D36A58">
        <w:t>análise de componentes principais</w:t>
      </w:r>
      <w:r w:rsidR="00104A12" w:rsidRPr="004D55DA">
        <w:t>, descritas na tabela 36,</w:t>
      </w:r>
      <w:r w:rsidR="00104A12" w:rsidRPr="004D55DA">
        <w:rPr>
          <w:i/>
        </w:rPr>
        <w:t xml:space="preserve"> integração logística e organização do terminal, infraestrutura do terminal, serviços marítimos do terminal, acessibilidades terrestres, infraestrutura do porto, localização regional, localização na Europa e governação do terminal. </w:t>
      </w:r>
      <w:r w:rsidR="00104A12" w:rsidRPr="004D55DA">
        <w:t xml:space="preserve">Este modelo não corresponde exatamente ao modelo inicial, uma vez que partiu daquele, mas sofreu da transformação resultante da </w:t>
      </w:r>
      <w:r w:rsidR="00D36A58">
        <w:t>análise de componentes principais</w:t>
      </w:r>
      <w:r w:rsidR="00104A12"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 variável dependente </w:t>
      </w:r>
      <w:r w:rsidRPr="004D55DA">
        <w:rPr>
          <w:i/>
        </w:rPr>
        <w:t>satisfação dos clientes</w:t>
      </w:r>
      <w:r w:rsidRPr="004D55DA">
        <w:t xml:space="preserve"> é explicada (R</w:t>
      </w:r>
      <w:r w:rsidRPr="004D55DA">
        <w:rPr>
          <w:vertAlign w:val="superscript"/>
        </w:rPr>
        <w:t>2</w:t>
      </w:r>
      <w:r w:rsidRPr="004D55DA">
        <w:t xml:space="preserve">=0,7374) pelas variáveis estatisticamente mais significativas </w:t>
      </w:r>
      <w:r w:rsidRPr="004D55DA">
        <w:rPr>
          <w:i/>
        </w:rPr>
        <w:t>integração logística e organização do terminal, serviços marítimos do terminal, acessibilidades terrestres (</w:t>
      </w:r>
      <w:r w:rsidR="00FA4A19" w:rsidRPr="004D55DA">
        <w:rPr>
          <w:i/>
        </w:rPr>
        <w:t>à</w:t>
      </w:r>
      <w:r w:rsidRPr="004D55DA">
        <w:rPr>
          <w:i/>
        </w:rPr>
        <w:t xml:space="preserve"> semelhança do que sucede no caso ibérico), localização regional </w:t>
      </w:r>
      <w:r w:rsidRPr="004D55DA">
        <w:t xml:space="preserve">e </w:t>
      </w:r>
      <w:r w:rsidRPr="004D55DA">
        <w:rPr>
          <w:i/>
        </w:rPr>
        <w:t>localização na Europa (o que difere do caso ibérico)</w:t>
      </w:r>
      <w:r w:rsidRPr="004D55DA">
        <w:t xml:space="preserve">. Comparando com o caso ibérico, não surgem a infraestrutura do terminal, nem a especialização em contentores, como variáveis dependentes significativas. A primeira confirma os resultados contraditórios em termos de sinal do inquérito para Portugal e Espanha, concluindo-se que a infraestrutura do terminal não explica a satisfação do cliente. No segundo caso, esta variável não surgiu associada a qualquer fator, não se revelando significativa.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Ou seja, quanto maior o grau de integração do terminais nas cadeias logísticas, quanto melhor a organização do terminal e mais orientada para o cliente, quanto mais dinâmico é o porto e melhor imagem possui o porto e o terminal, quanto maiores os navios e melhores os serviços marítimos do terminal, quanto melhores as acessibilidades terrestres do terminal, quanto maior a proximidade aos mercados e quanto mais áreas logísticas existirem junto ao porto, mais próximo está o terminal das áreas de consumo e produção e quanto menor o desempenho da região onde se insere o terminal (surge com sentido contrário ao esperado nos resultados da </w:t>
      </w:r>
      <w:r w:rsidR="00136906" w:rsidRPr="004D55DA">
        <w:t>fatorial</w:t>
      </w:r>
      <w:r w:rsidRPr="004D55DA">
        <w:t xml:space="preserve">) e maior a distância ao centro da Europa (neste caso surge também com sentido contrário ao esperado) e a portos concorrentes, mais satisfeitos ficam os clientes, </w:t>
      </w:r>
      <w:r w:rsidR="00732E07">
        <w:t>não permitindo rejeitar</w:t>
      </w:r>
      <w:r w:rsidRPr="004D55DA">
        <w:t xml:space="preserve"> a teoria no geral.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No caso da </w:t>
      </w:r>
      <w:r w:rsidRPr="004D55DA">
        <w:rPr>
          <w:i/>
        </w:rPr>
        <w:t>localização na Europa</w:t>
      </w:r>
      <w:r w:rsidRPr="004D55DA">
        <w:t xml:space="preserve">, verifica-se no quadro de correlação entre variáveis que não existe um padrão de correlação entre as variáveis de </w:t>
      </w:r>
      <w:r w:rsidRPr="004D55DA">
        <w:rPr>
          <w:i/>
        </w:rPr>
        <w:t xml:space="preserve">localização na Europa </w:t>
      </w:r>
      <w:r w:rsidRPr="004D55DA">
        <w:t xml:space="preserve">e </w:t>
      </w:r>
      <w:r w:rsidRPr="004D55DA">
        <w:rPr>
          <w:i/>
        </w:rPr>
        <w:t>satisfação do cliente</w:t>
      </w:r>
      <w:r w:rsidRPr="004D55DA">
        <w:t xml:space="preserve">, sendo umas vezes negativa e outras positiva, mas sempre com valor próximo de zero, admitindo-se que esta variável não possui importância na explicação da variância dependente </w:t>
      </w:r>
      <w:r w:rsidR="00B124D8">
        <w:rPr>
          <w:i/>
        </w:rPr>
        <w:t>satisfação do c</w:t>
      </w:r>
      <w:r w:rsidRPr="004D55DA">
        <w:rPr>
          <w:i/>
        </w:rPr>
        <w:t>liente</w:t>
      </w:r>
      <w:r w:rsidRPr="004D55DA">
        <w:t>, afinal à semelhança do que sucede no caso ibérico, mostrando que este não é fator com influência na satisfação local.</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201" w:name="_Toc396134160"/>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37</w:t>
      </w:r>
      <w:r w:rsidR="00372F0E" w:rsidRPr="00D713C2">
        <w:rPr>
          <w:noProof/>
          <w:sz w:val="24"/>
          <w:szCs w:val="24"/>
        </w:rPr>
        <w:fldChar w:fldCharType="end"/>
      </w:r>
      <w:r w:rsidRPr="00D713C2">
        <w:rPr>
          <w:sz w:val="24"/>
          <w:szCs w:val="24"/>
        </w:rPr>
        <w:t xml:space="preserve"> – Regressão de satisfação do cliente, 2º inquérito, Europa</w:t>
      </w:r>
      <w:bookmarkEnd w:id="201"/>
    </w:p>
    <w:tbl>
      <w:tblPr>
        <w:tblW w:w="8934" w:type="dxa"/>
        <w:tblInd w:w="55" w:type="dxa"/>
        <w:tblCellMar>
          <w:left w:w="70" w:type="dxa"/>
          <w:right w:w="70" w:type="dxa"/>
        </w:tblCellMar>
        <w:tblLook w:val="00A0" w:firstRow="1" w:lastRow="0" w:firstColumn="1" w:lastColumn="0" w:noHBand="0" w:noVBand="0"/>
      </w:tblPr>
      <w:tblGrid>
        <w:gridCol w:w="2992"/>
        <w:gridCol w:w="1134"/>
        <w:gridCol w:w="992"/>
        <w:gridCol w:w="851"/>
        <w:gridCol w:w="992"/>
        <w:gridCol w:w="993"/>
        <w:gridCol w:w="980"/>
      </w:tblGrid>
      <w:tr w:rsidR="00104A12" w:rsidRPr="004D55DA" w:rsidTr="00A10100">
        <w:trPr>
          <w:trHeight w:val="680"/>
        </w:trPr>
        <w:tc>
          <w:tcPr>
            <w:tcW w:w="2992"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Satisfação do cliente</w:t>
            </w:r>
          </w:p>
        </w:tc>
        <w:tc>
          <w:tcPr>
            <w:tcW w:w="1134"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992"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padrão.</w:t>
            </w:r>
          </w:p>
        </w:tc>
        <w:tc>
          <w:tcPr>
            <w:tcW w:w="851"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992"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93"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80" w:type="dxa"/>
            <w:tcBorders>
              <w:top w:val="single" w:sz="4" w:space="0" w:color="auto"/>
              <w:left w:val="nil"/>
              <w:bottom w:val="single" w:sz="4" w:space="0" w:color="auto"/>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A10100">
        <w:trPr>
          <w:trHeight w:val="264"/>
        </w:trPr>
        <w:tc>
          <w:tcPr>
            <w:tcW w:w="2992"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Integração logística e organização do terminal</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0,697</w:t>
            </w:r>
          </w:p>
        </w:tc>
        <w:tc>
          <w:tcPr>
            <w:tcW w:w="992"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9,12</w:t>
            </w:r>
          </w:p>
        </w:tc>
        <w:tc>
          <w:tcPr>
            <w:tcW w:w="992"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93"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0,543</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0,851</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 Infraestrutura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0,046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0,60</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0,553</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0,200</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Serviços marítimos do terminal </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0,234</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3,06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0,004</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0,388</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Acessibilidades terrestres </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0,325</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4,26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0,172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0,479</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Infraestrutura do porto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-0,104</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-1,36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0,180</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0,050</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Calibri"/>
                <w:color w:val="000000"/>
                <w:sz w:val="16"/>
                <w:szCs w:val="16"/>
              </w:rPr>
              <w:t>Localização Regional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0,206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2,69</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0,010</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0,052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0,359</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Localização na Europa</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0,166</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2,18</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0,035</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0,013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0,320</w:t>
            </w:r>
          </w:p>
        </w:tc>
      </w:tr>
      <w:tr w:rsidR="00104A12" w:rsidRPr="004D55DA" w:rsidTr="00512934">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Governação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0,091</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1,19</w:t>
            </w:r>
          </w:p>
        </w:tc>
        <w:tc>
          <w:tcPr>
            <w:tcW w:w="992"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0,239</w:t>
            </w:r>
          </w:p>
        </w:tc>
        <w:tc>
          <w:tcPr>
            <w:tcW w:w="993"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-0,063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0,245</w:t>
            </w:r>
          </w:p>
        </w:tc>
      </w:tr>
      <w:tr w:rsidR="00104A12" w:rsidRPr="004D55DA" w:rsidTr="00512934">
        <w:trPr>
          <w:trHeight w:val="264"/>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92"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0,076</w:t>
            </w:r>
          </w:p>
        </w:tc>
        <w:tc>
          <w:tcPr>
            <w:tcW w:w="851"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992"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93"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-0,152</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0,152</w:t>
            </w:r>
          </w:p>
        </w:tc>
      </w:tr>
      <w:tr w:rsidR="00104A12" w:rsidRPr="004D55DA" w:rsidTr="00A10100">
        <w:trPr>
          <w:trHeight w:val="340"/>
        </w:trPr>
        <w:tc>
          <w:tcPr>
            <w:tcW w:w="2992"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(8,45): 15,8</w:t>
            </w:r>
          </w:p>
        </w:tc>
        <w:tc>
          <w:tcPr>
            <w:tcW w:w="992"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6,31</w:t>
            </w:r>
          </w:p>
        </w:tc>
        <w:tc>
          <w:tcPr>
            <w:tcW w:w="851"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0,19</w:t>
            </w:r>
          </w:p>
        </w:tc>
        <w:tc>
          <w:tcPr>
            <w:tcW w:w="992"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45,6</w:t>
            </w:r>
          </w:p>
        </w:tc>
        <w:tc>
          <w:tcPr>
            <w:tcW w:w="993"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1,04</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y:0,58</w:t>
            </w:r>
          </w:p>
        </w:tc>
      </w:tr>
      <w:tr w:rsidR="00104A12" w:rsidRPr="004D55DA" w:rsidTr="00A10100">
        <w:trPr>
          <w:trHeight w:val="340"/>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0,7374</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&lt;0,0001</w:t>
            </w:r>
          </w:p>
        </w:tc>
        <w:tc>
          <w:tcPr>
            <w:tcW w:w="992"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0,6120</w:t>
            </w:r>
          </w:p>
        </w:tc>
        <w:tc>
          <w:tcPr>
            <w:tcW w:w="851"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0,666</w:t>
            </w:r>
          </w:p>
        </w:tc>
        <w:tc>
          <w:tcPr>
            <w:tcW w:w="992"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0,4054</w:t>
            </w:r>
          </w:p>
        </w:tc>
        <w:tc>
          <w:tcPr>
            <w:tcW w:w="993"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0,4695</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0,6291</w:t>
            </w:r>
          </w:p>
        </w:tc>
      </w:tr>
    </w:tbl>
    <w:p w:rsidR="00104A12" w:rsidRPr="004D55DA" w:rsidRDefault="00104A12" w:rsidP="007F7964">
      <w:pPr>
        <w:spacing w:line="360" w:lineRule="auto"/>
        <w:jc w:val="both"/>
        <w:rPr>
          <w:sz w:val="20"/>
        </w:rPr>
      </w:pPr>
      <w:r w:rsidRPr="004D55DA">
        <w:rPr>
          <w:sz w:val="20"/>
        </w:rPr>
        <w:t>Nota sobre a legenda dos testes: R</w:t>
      </w:r>
      <w:r w:rsidRPr="004D55DA">
        <w:rPr>
          <w:sz w:val="20"/>
          <w:vertAlign w:val="superscript"/>
        </w:rPr>
        <w:t>2</w:t>
      </w:r>
      <w:r w:rsidRPr="004D55DA">
        <w:rPr>
          <w:sz w:val="20"/>
        </w:rPr>
        <w:t xml:space="preserve"> – coeficiente de determinação, F – teste F, BP – teste </w:t>
      </w:r>
      <w:hyperlink r:id="rId63"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Pr>
        <w:spacing w:line="360" w:lineRule="auto"/>
        <w:jc w:val="both"/>
        <w:rPr>
          <w:rFonts w:ascii="Cambria" w:hAnsi="Cambria"/>
          <w:sz w:val="16"/>
          <w:szCs w:val="16"/>
        </w:rPr>
      </w:pPr>
    </w:p>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Atividade</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rPr>
          <w:i/>
        </w:rPr>
      </w:pPr>
      <w:r w:rsidRPr="004D55DA">
        <w:t xml:space="preserve">Foi testado, através de regressão com o método dos mínimos quadrados, o seguinte modelo explicativo da </w:t>
      </w:r>
      <w:r w:rsidRPr="004D55DA">
        <w:rPr>
          <w:i/>
        </w:rPr>
        <w:t>atividade</w:t>
      </w:r>
      <w:r w:rsidRPr="004D55DA">
        <w:t xml:space="preserve">, com base nas variáveis latentes resultantes da </w:t>
      </w:r>
      <w:r w:rsidR="00D36A58">
        <w:t>análise de componentes principais</w:t>
      </w:r>
      <w:r w:rsidRPr="004D55DA">
        <w:t>, descritas na tabela 35,</w:t>
      </w:r>
      <w:r w:rsidRPr="004D55DA">
        <w:rPr>
          <w:i/>
        </w:rPr>
        <w:t xml:space="preserve"> integração logística e organização do terminal, infraestrutura do terminal, serviços marítimos do terminal, acessibilidades terrestres, infraestrutura do porto, localização regional, localização na Europa e governação do terminal. </w:t>
      </w:r>
      <w:r w:rsidRPr="004D55DA">
        <w:t xml:space="preserve">Este modelo não corresponde exatamente ao modelo inicial, uma vez que partiu daquele, mas sofreu da transformação resultante da </w:t>
      </w:r>
      <w:r w:rsidR="00D36A58">
        <w:t>análise de componentes principais</w:t>
      </w:r>
      <w:r w:rsidRPr="004D55DA">
        <w:t>, como aproximação aos resultados da amostra.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 xml:space="preserve">A variável dependente </w:t>
      </w:r>
      <w:r w:rsidRPr="004D55DA">
        <w:rPr>
          <w:i/>
        </w:rPr>
        <w:t>atividade</w:t>
      </w:r>
      <w:r w:rsidRPr="004D55DA">
        <w:t xml:space="preserve"> é explicada (R</w:t>
      </w:r>
      <w:r w:rsidRPr="004D55DA">
        <w:rPr>
          <w:vertAlign w:val="superscript"/>
        </w:rPr>
        <w:t>2</w:t>
      </w:r>
      <w:r w:rsidRPr="004D55DA">
        <w:t xml:space="preserve">=0,1575) pela variável estatisticamente mais significativa – </w:t>
      </w:r>
      <w:r w:rsidRPr="004D55DA">
        <w:rPr>
          <w:i/>
        </w:rPr>
        <w:t>acessibilidades - terrestres</w:t>
      </w:r>
      <w:r w:rsidRPr="004D55DA">
        <w:t xml:space="preserve"> apenas. Ou seja, quanto melhores as acessibilidades terrestres ao porto, maior a atividade do terminal de contentores existente nesse porto, o que aponta para a importância das ligações ao “hinterland” e para lá do “hinterland” cativo. Neste caso, foi excluída a variável </w:t>
      </w:r>
      <w:r w:rsidRPr="004D55DA">
        <w:rPr>
          <w:i/>
        </w:rPr>
        <w:t>infraestrutura do terminal</w:t>
      </w:r>
      <w:r w:rsidRPr="004D55DA">
        <w:t>, por ser muito correlacionada com a atividade do porto, não se reconhecendo relação causal entre estas, sendo sim variáveis inter-relacionadas.</w:t>
      </w:r>
    </w:p>
    <w:p w:rsidR="00104A12" w:rsidRPr="004D55DA" w:rsidRDefault="00104A12" w:rsidP="007F7964">
      <w:pPr>
        <w:spacing w:line="360" w:lineRule="auto"/>
        <w:jc w:val="both"/>
      </w:pPr>
    </w:p>
    <w:p w:rsidR="00104A12" w:rsidRPr="00D713C2" w:rsidRDefault="00104A12" w:rsidP="007F7964">
      <w:pPr>
        <w:pStyle w:val="Legenda"/>
        <w:keepNext/>
        <w:rPr>
          <w:sz w:val="24"/>
          <w:szCs w:val="24"/>
        </w:rPr>
      </w:pPr>
      <w:bookmarkStart w:id="202" w:name="_Toc396134161"/>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38</w:t>
      </w:r>
      <w:r w:rsidR="00372F0E" w:rsidRPr="00D713C2">
        <w:rPr>
          <w:noProof/>
          <w:sz w:val="24"/>
          <w:szCs w:val="24"/>
        </w:rPr>
        <w:fldChar w:fldCharType="end"/>
      </w:r>
      <w:r w:rsidRPr="00D713C2">
        <w:rPr>
          <w:sz w:val="24"/>
          <w:szCs w:val="24"/>
        </w:rPr>
        <w:t xml:space="preserve"> – Regressão de atividade, 2º inquérito, Europa</w:t>
      </w:r>
      <w:bookmarkEnd w:id="202"/>
    </w:p>
    <w:tbl>
      <w:tblPr>
        <w:tblW w:w="9026" w:type="dxa"/>
        <w:tblInd w:w="55" w:type="dxa"/>
        <w:tblCellMar>
          <w:left w:w="70" w:type="dxa"/>
          <w:right w:w="70" w:type="dxa"/>
        </w:tblCellMar>
        <w:tblLook w:val="00A0" w:firstRow="1" w:lastRow="0" w:firstColumn="1" w:lastColumn="0" w:noHBand="0" w:noVBand="0"/>
      </w:tblPr>
      <w:tblGrid>
        <w:gridCol w:w="2992"/>
        <w:gridCol w:w="1134"/>
        <w:gridCol w:w="980"/>
        <w:gridCol w:w="980"/>
        <w:gridCol w:w="980"/>
        <w:gridCol w:w="980"/>
        <w:gridCol w:w="980"/>
      </w:tblGrid>
      <w:tr w:rsidR="00104A12" w:rsidRPr="004D55DA" w:rsidTr="00A10100">
        <w:trPr>
          <w:trHeight w:val="624"/>
        </w:trPr>
        <w:tc>
          <w:tcPr>
            <w:tcW w:w="2992"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Atividade</w:t>
            </w:r>
          </w:p>
        </w:tc>
        <w:tc>
          <w:tcPr>
            <w:tcW w:w="1134"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Coef.</w:t>
            </w:r>
          </w:p>
        </w:tc>
        <w:tc>
          <w:tcPr>
            <w:tcW w:w="980"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Desvio</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padrão.</w:t>
            </w:r>
          </w:p>
        </w:tc>
        <w:tc>
          <w:tcPr>
            <w:tcW w:w="980"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w:t>
            </w:r>
          </w:p>
        </w:tc>
        <w:tc>
          <w:tcPr>
            <w:tcW w:w="980"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 value</w:t>
            </w:r>
          </w:p>
        </w:tc>
        <w:tc>
          <w:tcPr>
            <w:tcW w:w="980"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[intervalo</w:t>
            </w:r>
          </w:p>
          <w:p w:rsidR="00104A12" w:rsidRPr="004D55DA" w:rsidRDefault="00104A12" w:rsidP="007F7964">
            <w:pPr>
              <w:jc w:val="center"/>
              <w:rPr>
                <w:rFonts w:ascii="Cambria" w:hAnsi="Cambria" w:cs="Arial"/>
                <w:color w:val="000000"/>
                <w:sz w:val="16"/>
                <w:szCs w:val="16"/>
              </w:rPr>
            </w:pPr>
          </w:p>
        </w:tc>
        <w:tc>
          <w:tcPr>
            <w:tcW w:w="980" w:type="dxa"/>
            <w:tcBorders>
              <w:top w:val="single" w:sz="4" w:space="0" w:color="auto"/>
              <w:left w:val="nil"/>
              <w:bottom w:val="nil"/>
              <w:right w:val="nil"/>
            </w:tcBorders>
            <w:shd w:val="clear" w:color="000000" w:fill="FFFFFF"/>
            <w:noWrap/>
            <w:vAlign w:val="center"/>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Confiança]</w:t>
            </w:r>
          </w:p>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95%</w:t>
            </w:r>
          </w:p>
        </w:tc>
      </w:tr>
      <w:tr w:rsidR="00104A12" w:rsidRPr="004D55DA" w:rsidTr="00547D15">
        <w:trPr>
          <w:trHeight w:val="264"/>
        </w:trPr>
        <w:tc>
          <w:tcPr>
            <w:tcW w:w="2992" w:type="dxa"/>
            <w:tcBorders>
              <w:top w:val="single" w:sz="4" w:space="0" w:color="auto"/>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Integração logística e organização do terminal</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-0,089</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-0,66</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0,514</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-0,361</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0,184</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 Infraestrutura do terminal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0,156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1,15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-0,117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0,428</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Serviços marítimos do terminal </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0,128</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0,94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0,350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0,400</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Acessibilidades terrestres </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0,251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1,86</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0,070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0,524</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Infraestrutura do porto</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-0,192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-1,42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0,163</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-0,464</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0,081</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Calibri"/>
                <w:color w:val="000000"/>
                <w:sz w:val="16"/>
                <w:szCs w:val="16"/>
              </w:rPr>
              <w:t>Localização Regional</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0,027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0,20</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0,841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-0,245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0,300</w:t>
            </w:r>
          </w:p>
        </w:tc>
      </w:tr>
      <w:tr w:rsidR="00104A12" w:rsidRPr="004D55DA" w:rsidTr="00547D15">
        <w:trPr>
          <w:trHeight w:val="264"/>
        </w:trPr>
        <w:tc>
          <w:tcPr>
            <w:tcW w:w="2992" w:type="dxa"/>
            <w:tcBorders>
              <w:top w:val="nil"/>
              <w:left w:val="nil"/>
              <w:bottom w:val="nil"/>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sz w:val="16"/>
                <w:szCs w:val="16"/>
              </w:rPr>
              <w:t>Localização na Europa</w:t>
            </w:r>
          </w:p>
        </w:tc>
        <w:tc>
          <w:tcPr>
            <w:tcW w:w="1134"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0,091</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0,67</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0,505</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-0,182</w:t>
            </w:r>
          </w:p>
        </w:tc>
        <w:tc>
          <w:tcPr>
            <w:tcW w:w="980" w:type="dxa"/>
            <w:tcBorders>
              <w:top w:val="nil"/>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0,363</w:t>
            </w:r>
          </w:p>
        </w:tc>
      </w:tr>
      <w:tr w:rsidR="00104A12" w:rsidRPr="004D55DA" w:rsidTr="00547D15">
        <w:trPr>
          <w:trHeight w:val="264"/>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_cons</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0,134</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1,000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-0,270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6"/>
                <w:szCs w:val="16"/>
              </w:rPr>
            </w:pPr>
            <w:r w:rsidRPr="004D55DA">
              <w:rPr>
                <w:rFonts w:ascii="Cambria" w:hAnsi="Cambria" w:cs="Arial"/>
                <w:color w:val="000000"/>
                <w:sz w:val="16"/>
                <w:szCs w:val="16"/>
              </w:rPr>
              <w:t>0,270</w:t>
            </w:r>
          </w:p>
        </w:tc>
      </w:tr>
      <w:tr w:rsidR="00104A12" w:rsidRPr="004D55DA" w:rsidTr="00A10100">
        <w:trPr>
          <w:trHeight w:val="340"/>
        </w:trPr>
        <w:tc>
          <w:tcPr>
            <w:tcW w:w="2992" w:type="dxa"/>
            <w:tcBorders>
              <w:top w:val="single" w:sz="4" w:space="0" w:color="auto"/>
              <w:left w:val="nil"/>
              <w:bottom w:val="nil"/>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R</w:t>
            </w:r>
            <w:r w:rsidRPr="004D55DA">
              <w:rPr>
                <w:rFonts w:ascii="Cambria" w:hAnsi="Cambria" w:cs="Arial"/>
                <w:color w:val="000000"/>
                <w:sz w:val="14"/>
                <w:szCs w:val="14"/>
                <w:vertAlign w:val="superscript"/>
              </w:rPr>
              <w:t>2:</w:t>
            </w:r>
          </w:p>
        </w:tc>
        <w:tc>
          <w:tcPr>
            <w:tcW w:w="1134"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F (7,46): 1,23</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f: 3,61</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BP y: 0,01</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White: 31,10</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f: 1.27</w:t>
            </w:r>
          </w:p>
        </w:tc>
        <w:tc>
          <w:tcPr>
            <w:tcW w:w="980" w:type="dxa"/>
            <w:tcBorders>
              <w:top w:val="single" w:sz="4" w:space="0" w:color="auto"/>
              <w:left w:val="nil"/>
              <w:bottom w:val="nil"/>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RESET y:0,44</w:t>
            </w:r>
          </w:p>
        </w:tc>
      </w:tr>
      <w:tr w:rsidR="00104A12" w:rsidRPr="004D55DA" w:rsidTr="00A10100">
        <w:trPr>
          <w:trHeight w:val="340"/>
        </w:trPr>
        <w:tc>
          <w:tcPr>
            <w:tcW w:w="2992"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0,1575</w:t>
            </w:r>
          </w:p>
        </w:tc>
        <w:tc>
          <w:tcPr>
            <w:tcW w:w="1134"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0,3071</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0,8239</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0,9255</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0,6570</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0,2807</w:t>
            </w:r>
          </w:p>
        </w:tc>
        <w:tc>
          <w:tcPr>
            <w:tcW w:w="980" w:type="dxa"/>
            <w:tcBorders>
              <w:top w:val="nil"/>
              <w:left w:val="nil"/>
              <w:bottom w:val="single" w:sz="4" w:space="0" w:color="auto"/>
              <w:right w:val="nil"/>
            </w:tcBorders>
            <w:shd w:val="clear" w:color="000000" w:fill="FFFFFF"/>
            <w:noWrap/>
            <w:vAlign w:val="bottom"/>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Prob 0,7232</w:t>
            </w:r>
          </w:p>
        </w:tc>
      </w:tr>
    </w:tbl>
    <w:p w:rsidR="00104A12" w:rsidRPr="004D55DA" w:rsidRDefault="00104A12" w:rsidP="007F7964">
      <w:pPr>
        <w:spacing w:line="360" w:lineRule="auto"/>
        <w:jc w:val="both"/>
        <w:rPr>
          <w:sz w:val="20"/>
        </w:rPr>
      </w:pPr>
      <w:r w:rsidRPr="004D55DA">
        <w:rPr>
          <w:sz w:val="20"/>
        </w:rPr>
        <w:t>Nota sobre a legenda dos testes: R</w:t>
      </w:r>
      <w:r w:rsidRPr="004D55DA">
        <w:rPr>
          <w:sz w:val="20"/>
          <w:vertAlign w:val="superscript"/>
        </w:rPr>
        <w:t>2</w:t>
      </w:r>
      <w:r w:rsidRPr="004D55DA">
        <w:rPr>
          <w:sz w:val="20"/>
        </w:rPr>
        <w:t xml:space="preserve"> – coeficiente de determinação, F – teste F, BP – teste </w:t>
      </w:r>
      <w:hyperlink r:id="rId64" w:history="1">
        <w:r w:rsidRPr="004D55DA">
          <w:rPr>
            <w:sz w:val="20"/>
          </w:rPr>
          <w:t xml:space="preserve">Breusch Pagan </w:t>
        </w:r>
      </w:hyperlink>
      <w:r w:rsidRPr="004D55DA">
        <w:rPr>
          <w:sz w:val="20"/>
        </w:rPr>
        <w:t>, White – teste White, RESET – teste Ramsey RESET, Prob – p value do teste respectivo.</w:t>
      </w:r>
    </w:p>
    <w:p w:rsidR="00104A12" w:rsidRPr="004D55DA" w:rsidRDefault="00104A12" w:rsidP="007F7964"/>
    <w:p w:rsidR="00104A12" w:rsidRPr="004D55DA" w:rsidRDefault="00104A12" w:rsidP="007F7964">
      <w:pPr>
        <w:spacing w:line="360" w:lineRule="auto"/>
        <w:jc w:val="both"/>
      </w:pPr>
    </w:p>
    <w:p w:rsidR="00104A12" w:rsidRPr="004D55DA" w:rsidRDefault="00104A12" w:rsidP="007F7964">
      <w:pPr>
        <w:spacing w:line="360" w:lineRule="auto"/>
        <w:jc w:val="both"/>
        <w:rPr>
          <w:b/>
        </w:rPr>
      </w:pPr>
      <w:r w:rsidRPr="004D55DA">
        <w:rPr>
          <w:b/>
        </w:rPr>
        <w:t xml:space="preserve">“Path </w:t>
      </w:r>
      <w:r w:rsidR="00FA4A19" w:rsidRPr="004D55DA">
        <w:rPr>
          <w:b/>
        </w:rPr>
        <w:t>a</w:t>
      </w:r>
      <w:r w:rsidRPr="004D55DA">
        <w:rPr>
          <w:b/>
        </w:rPr>
        <w:t>nalysis” conjunta</w:t>
      </w:r>
    </w:p>
    <w:p w:rsidR="00104A12" w:rsidRPr="004D55DA" w:rsidRDefault="00104A12" w:rsidP="007F7964">
      <w:pPr>
        <w:spacing w:line="360" w:lineRule="auto"/>
        <w:jc w:val="both"/>
      </w:pPr>
    </w:p>
    <w:p w:rsidR="00104A12" w:rsidRDefault="00104A12" w:rsidP="007F7964">
      <w:pPr>
        <w:spacing w:line="360" w:lineRule="auto"/>
        <w:jc w:val="both"/>
      </w:pPr>
      <w:r w:rsidRPr="004D55DA">
        <w:t xml:space="preserve">Numa segunda fase, com vista a </w:t>
      </w:r>
      <w:r w:rsidR="000B49EE">
        <w:t>analisar</w:t>
      </w:r>
      <w:r w:rsidRPr="004D55DA">
        <w:t xml:space="preserve"> os resultados obtidos com as regressões, relativos aos </w:t>
      </w:r>
      <w:r w:rsidR="00136906" w:rsidRPr="004D55DA">
        <w:t>fatores</w:t>
      </w:r>
      <w:r w:rsidRPr="004D55DA">
        <w:t xml:space="preserve"> latentes independentes determinantes de cada variável latente dependente e seus coeficientes, recorreu-se à metodologia “path analysis” dos modelos de equações estruturais, uma das vertentes do SEM. </w:t>
      </w:r>
    </w:p>
    <w:p w:rsidR="003217CF" w:rsidRPr="004D55DA" w:rsidRDefault="003217CF" w:rsidP="007F7964">
      <w:pPr>
        <w:spacing w:line="360" w:lineRule="auto"/>
        <w:jc w:val="both"/>
      </w:pPr>
    </w:p>
    <w:p w:rsidR="00104A12" w:rsidRPr="004D55DA" w:rsidRDefault="00104A12" w:rsidP="007F7964">
      <w:pPr>
        <w:spacing w:line="360" w:lineRule="auto"/>
        <w:jc w:val="both"/>
      </w:pPr>
      <w:r w:rsidRPr="004D55DA">
        <w:t>Foram obtidos resultados globais significativos (Figura 31), com os seguintes indicadores de adequação do ajustamento ou</w:t>
      </w:r>
      <w:r w:rsidR="00136906">
        <w:t xml:space="preserve"> “Goodness-of-fit” </w:t>
      </w:r>
      <w:r w:rsidRPr="004D55DA">
        <w:t xml:space="preserve">(GoF) do modelo, </w:t>
      </w:r>
      <w:r w:rsidRPr="004D55DA">
        <w:rPr>
          <w:lang w:val="en-GB"/>
        </w:rPr>
        <w:t>χ</w:t>
      </w:r>
      <w:r w:rsidRPr="004D55DA">
        <w:rPr>
          <w:vertAlign w:val="superscript"/>
        </w:rPr>
        <w:t>2</w:t>
      </w:r>
      <w:r w:rsidRPr="004D55DA">
        <w:t xml:space="preserve"> 6,244; </w:t>
      </w:r>
      <w:r w:rsidRPr="004D55DA">
        <w:rPr>
          <w:lang w:val="en-GB"/>
        </w:rPr>
        <w:t>χ</w:t>
      </w:r>
      <w:r w:rsidRPr="004D55DA">
        <w:rPr>
          <w:vertAlign w:val="superscript"/>
        </w:rPr>
        <w:t>2</w:t>
      </w:r>
      <w:r w:rsidRPr="004D55DA">
        <w:t>/df 0,297; IFI: 1,260 (&gt;0,9); CFI: 1,00 (&gt;0,9); RMSEA: &lt;0,0001 (&lt;0,1), indicando um bom ajustamento do modelo de medida das variáveis latentes.</w:t>
      </w:r>
    </w:p>
    <w:p w:rsidR="00104A12" w:rsidRPr="004D55DA" w:rsidRDefault="00104A12" w:rsidP="007F7964">
      <w:pPr>
        <w:spacing w:line="360" w:lineRule="auto"/>
        <w:jc w:val="both"/>
      </w:pPr>
    </w:p>
    <w:p w:rsidR="00104A12" w:rsidRPr="004D55DA" w:rsidRDefault="00D24F6E" w:rsidP="007F7964">
      <w:pPr>
        <w:spacing w:line="360" w:lineRule="auto"/>
        <w:jc w:val="both"/>
      </w:pPr>
      <w:r>
        <w:lastRenderedPageBreak/>
        <w:t>Não se rejeita</w:t>
      </w:r>
      <w:r w:rsidR="00104A12" w:rsidRPr="004D55DA">
        <w:t xml:space="preserve"> que a </w:t>
      </w:r>
      <w:r w:rsidR="00104A12" w:rsidRPr="004D55DA">
        <w:rPr>
          <w:i/>
        </w:rPr>
        <w:t>satisfação do cliente</w:t>
      </w:r>
      <w:r w:rsidR="00104A12" w:rsidRPr="004D55DA">
        <w:t xml:space="preserve"> (R</w:t>
      </w:r>
      <w:r w:rsidR="00104A12" w:rsidRPr="004D55DA">
        <w:rPr>
          <w:vertAlign w:val="superscript"/>
        </w:rPr>
        <w:t>2</w:t>
      </w:r>
      <w:r w:rsidR="00104A12" w:rsidRPr="004D55DA">
        <w:t xml:space="preserve">=0,72) é explicada pela </w:t>
      </w:r>
      <w:r w:rsidR="00104A12" w:rsidRPr="004D55DA">
        <w:rPr>
          <w:i/>
        </w:rPr>
        <w:t>integração logística e organização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=0,70), </w:t>
      </w:r>
      <w:r w:rsidR="00104A12" w:rsidRPr="004D55DA">
        <w:rPr>
          <w:i/>
        </w:rPr>
        <w:t>acessibilidades terrestres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=0,33) (os dois factores conforme o caso ibérico)</w:t>
      </w:r>
      <w:r w:rsidR="00104A12" w:rsidRPr="004D55DA">
        <w:rPr>
          <w:i/>
        </w:rPr>
        <w:t>, localização regional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=0,21), </w:t>
      </w:r>
      <w:r w:rsidR="00104A12" w:rsidRPr="004D55DA">
        <w:rPr>
          <w:i/>
        </w:rPr>
        <w:t>localização na Europa</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=0,17) (novamente com sinal contrário ao esperado)</w:t>
      </w:r>
      <w:r w:rsidR="00104A12" w:rsidRPr="004D55DA">
        <w:rPr>
          <w:i/>
        </w:rPr>
        <w:t xml:space="preserve"> e 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=0,23) 8este factor conforme caso ibérico). </w:t>
      </w:r>
      <w:r>
        <w:t>Não se rejeita</w:t>
      </w:r>
      <w:r w:rsidR="00104A12" w:rsidRPr="004D55DA">
        <w:t xml:space="preserve"> ainda que a </w:t>
      </w:r>
      <w:r w:rsidR="00104A12" w:rsidRPr="004D55DA">
        <w:rPr>
          <w:i/>
        </w:rPr>
        <w:t xml:space="preserve">atividade </w:t>
      </w:r>
      <w:r w:rsidR="00104A12" w:rsidRPr="004D55DA">
        <w:t>(R</w:t>
      </w:r>
      <w:r w:rsidR="00104A12" w:rsidRPr="004D55DA">
        <w:rPr>
          <w:vertAlign w:val="superscript"/>
        </w:rPr>
        <w:t>2</w:t>
      </w:r>
      <w:r w:rsidR="00104A12" w:rsidRPr="004D55DA">
        <w:t xml:space="preserve">=0,09) é explicada pela </w:t>
      </w:r>
      <w:r w:rsidR="00104A12" w:rsidRPr="004D55DA">
        <w:rPr>
          <w:i/>
        </w:rPr>
        <w:t>infraestrutura do porto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=0,25)</w:t>
      </w:r>
      <w:r w:rsidR="00104A12" w:rsidRPr="004D55DA">
        <w:rPr>
          <w:i/>
        </w:rPr>
        <w:t xml:space="preserve"> e serviços marítimos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=0,16) (este factor conforme o caso ibérico, sendo a especialização em contentores substituída pela infraestrutura do porto), variáveis que não surgiram como relevantes na análise anterior, não tendo surgido como significância as </w:t>
      </w:r>
      <w:r w:rsidR="00104A12" w:rsidRPr="004D55DA">
        <w:rPr>
          <w:i/>
        </w:rPr>
        <w:t>acessibilidades terrestres</w:t>
      </w:r>
      <w:r w:rsidR="00104A12" w:rsidRPr="004D55DA">
        <w:t>, o que demonstra que faltam variáveis explicativas.</w:t>
      </w:r>
    </w:p>
    <w:p w:rsidR="00B219BA" w:rsidRDefault="00B219BA" w:rsidP="00B219BA">
      <w:pPr>
        <w:spacing w:line="360" w:lineRule="auto"/>
        <w:jc w:val="both"/>
      </w:pPr>
    </w:p>
    <w:p w:rsidR="00B219BA" w:rsidRDefault="00B219BA" w:rsidP="00B219BA">
      <w:pPr>
        <w:spacing w:line="360" w:lineRule="auto"/>
        <w:jc w:val="both"/>
      </w:pPr>
    </w:p>
    <w:p w:rsidR="00104A12" w:rsidRPr="00B219BA" w:rsidRDefault="00104A12" w:rsidP="00B219BA">
      <w:pPr>
        <w:spacing w:line="360" w:lineRule="auto"/>
        <w:jc w:val="both"/>
        <w:rPr>
          <w:b/>
        </w:rPr>
      </w:pPr>
      <w:bookmarkStart w:id="203" w:name="_Toc396134195"/>
      <w:r w:rsidRPr="00B219BA">
        <w:rPr>
          <w:b/>
        </w:rPr>
        <w:t xml:space="preserve">Figura </w:t>
      </w:r>
      <w:r w:rsidR="00372F0E" w:rsidRPr="00B219BA">
        <w:rPr>
          <w:b/>
        </w:rPr>
        <w:fldChar w:fldCharType="begin"/>
      </w:r>
      <w:r w:rsidR="00372F0E" w:rsidRPr="00B219BA">
        <w:rPr>
          <w:b/>
        </w:rPr>
        <w:instrText xml:space="preserve"> SEQ Figura \* ARABIC </w:instrText>
      </w:r>
      <w:r w:rsidR="00372F0E" w:rsidRPr="00B219BA">
        <w:rPr>
          <w:b/>
        </w:rPr>
        <w:fldChar w:fldCharType="separate"/>
      </w:r>
      <w:r w:rsidR="008D1B65">
        <w:rPr>
          <w:b/>
          <w:noProof/>
        </w:rPr>
        <w:t>31</w:t>
      </w:r>
      <w:r w:rsidR="00372F0E" w:rsidRPr="00B219BA">
        <w:rPr>
          <w:b/>
          <w:noProof/>
        </w:rPr>
        <w:fldChar w:fldCharType="end"/>
      </w:r>
      <w:r w:rsidRPr="00B219BA">
        <w:rPr>
          <w:b/>
        </w:rPr>
        <w:t xml:space="preserve"> – Path </w:t>
      </w:r>
      <w:r w:rsidR="00FA4A19" w:rsidRPr="00B219BA">
        <w:rPr>
          <w:b/>
        </w:rPr>
        <w:t>a</w:t>
      </w:r>
      <w:r w:rsidRPr="00B219BA">
        <w:rPr>
          <w:b/>
        </w:rPr>
        <w:t>nalysis do 2º inquérito, Europa</w:t>
      </w:r>
      <w:r w:rsidR="003217CF" w:rsidRPr="00B219BA">
        <w:rPr>
          <w:b/>
        </w:rPr>
        <w:t xml:space="preserve"> (estimativas estandardizadas)</w:t>
      </w:r>
      <w:bookmarkEnd w:id="203"/>
    </w:p>
    <w:p w:rsidR="00104A12" w:rsidRPr="004D55DA" w:rsidRDefault="00BF31C8" w:rsidP="007F7964">
      <w:pPr>
        <w:spacing w:line="360" w:lineRule="auto"/>
        <w:jc w:val="both"/>
      </w:pPr>
      <w:r w:rsidRPr="004D55DA">
        <w:rPr>
          <w:noProof/>
        </w:rPr>
        <w:drawing>
          <wp:inline distT="0" distB="0" distL="0" distR="0" wp14:anchorId="2089824B" wp14:editId="56584805">
            <wp:extent cx="5900057" cy="2590800"/>
            <wp:effectExtent l="0" t="0" r="5715" b="0"/>
            <wp:docPr id="127"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pic:cNvPicPr>
                      <a:picLocks noChangeAspect="1" noChangeArrowheads="1"/>
                    </pic:cNvPicPr>
                  </pic:nvPicPr>
                  <pic:blipFill rotWithShape="1">
                    <a:blip r:embed="rId65">
                      <a:extLst>
                        <a:ext uri="{28A0092B-C50C-407E-A947-70E740481C1C}">
                          <a14:useLocalDpi xmlns:a14="http://schemas.microsoft.com/office/drawing/2010/main" val="0"/>
                        </a:ext>
                      </a:extLst>
                    </a:blip>
                    <a:srcRect l="2784"/>
                    <a:stretch/>
                  </pic:blipFill>
                  <pic:spPr bwMode="auto">
                    <a:xfrm>
                      <a:off x="0" y="0"/>
                      <a:ext cx="5904231" cy="2592633"/>
                    </a:xfrm>
                    <a:prstGeom prst="rect">
                      <a:avLst/>
                    </a:prstGeom>
                    <a:noFill/>
                    <a:ln>
                      <a:noFill/>
                    </a:ln>
                    <a:extLst>
                      <a:ext uri="{53640926-AAD7-44D8-BBD7-CCE9431645EC}">
                        <a14:shadowObscured xmlns:a14="http://schemas.microsoft.com/office/drawing/2010/main"/>
                      </a:ext>
                    </a:extLst>
                  </pic:spPr>
                </pic:pic>
              </a:graphicData>
            </a:graphic>
          </wp:inline>
        </w:drawing>
      </w:r>
    </w:p>
    <w:p w:rsidR="00B219BA" w:rsidRDefault="00B219BA" w:rsidP="007F7964">
      <w:pPr>
        <w:spacing w:line="360" w:lineRule="auto"/>
        <w:jc w:val="both"/>
      </w:pPr>
    </w:p>
    <w:p w:rsidR="00104A12" w:rsidRPr="004D55DA" w:rsidRDefault="00104A12" w:rsidP="007F7964">
      <w:pPr>
        <w:spacing w:line="360" w:lineRule="auto"/>
        <w:jc w:val="both"/>
      </w:pPr>
      <w:r w:rsidRPr="004D55DA">
        <w:t>Tendo em consideração dos</w:t>
      </w:r>
      <w:r w:rsidR="003C67B9">
        <w:t xml:space="preserve"> maus</w:t>
      </w:r>
      <w:r w:rsidRPr="004D55DA">
        <w:t xml:space="preserve"> resultados das regressões, optou-se ainda por testar </w:t>
      </w:r>
      <w:r w:rsidR="003C67B9">
        <w:t>um modelo explicativo d</w:t>
      </w:r>
      <w:r w:rsidRPr="004D55DA">
        <w:t>as variáveis observadas</w:t>
      </w:r>
      <w:r w:rsidR="003C67B9">
        <w:t xml:space="preserve"> quantitativas</w:t>
      </w:r>
      <w:r w:rsidRPr="004D55DA">
        <w:t xml:space="preserve"> da </w:t>
      </w:r>
      <w:r w:rsidRPr="004D55DA">
        <w:rPr>
          <w:i/>
        </w:rPr>
        <w:t xml:space="preserve">atividade, </w:t>
      </w:r>
      <w:r w:rsidRPr="004D55DA">
        <w:t>a saber</w:t>
      </w:r>
      <w:r w:rsidRPr="004D55DA">
        <w:rPr>
          <w:i/>
        </w:rPr>
        <w:t xml:space="preserve"> eficiência do terminal (DEA) e número de contentores </w:t>
      </w:r>
      <w:r w:rsidRPr="004D55DA">
        <w:t>movimentado</w:t>
      </w:r>
      <w:r w:rsidR="003C67B9">
        <w:t>s</w:t>
      </w:r>
      <w:r w:rsidRPr="004D55DA">
        <w:t xml:space="preserve">, em vez do seu constructo, tendo-se recorrido a variáveis independentes </w:t>
      </w:r>
      <w:r w:rsidR="003C67B9">
        <w:t>quantitativas.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Foram obtidos resultados globais significativos (Figura 32), com os seguintes indicadores de adequação do ajustamento ou</w:t>
      </w:r>
      <w:r w:rsidR="00136906">
        <w:t xml:space="preserve"> “Goodness-of-fit” </w:t>
      </w:r>
      <w:r w:rsidRPr="004D55DA">
        <w:t xml:space="preserve">(GoF) do modelo, </w:t>
      </w:r>
      <w:r w:rsidRPr="004D55DA">
        <w:rPr>
          <w:lang w:val="en-GB"/>
        </w:rPr>
        <w:t>χ</w:t>
      </w:r>
      <w:r w:rsidRPr="004D55DA">
        <w:rPr>
          <w:vertAlign w:val="superscript"/>
        </w:rPr>
        <w:t>2</w:t>
      </w:r>
      <w:r w:rsidRPr="004D55DA">
        <w:t xml:space="preserve"> 0,311; </w:t>
      </w:r>
      <w:r w:rsidRPr="004D55DA">
        <w:rPr>
          <w:lang w:val="en-GB"/>
        </w:rPr>
        <w:t>χ</w:t>
      </w:r>
      <w:r w:rsidRPr="004D55DA">
        <w:rPr>
          <w:vertAlign w:val="superscript"/>
        </w:rPr>
        <w:t>2</w:t>
      </w:r>
      <w:r w:rsidRPr="004D55DA">
        <w:t>/df 0,311; IFI: 1,007 (&gt;0,9); CFI: 1,00 (&gt;0,9); RMSEA: &lt;0,0001 (&lt;0,1), indicando um bom ajustamento do modelo de medida das variáveis latentes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Concluiu-se que 43% da variância da </w:t>
      </w:r>
      <w:r w:rsidRPr="004D55DA">
        <w:rPr>
          <w:i/>
        </w:rPr>
        <w:t>eficiência do terminal</w:t>
      </w:r>
      <w:r w:rsidRPr="004D55DA">
        <w:t xml:space="preserve"> é explicada pelo Número de pórticos por metro de cais (</w:t>
      </w:r>
      <m:oMath>
        <m:acc>
          <m:accPr>
            <m:ctrlPr>
              <w:rPr>
                <w:rFonts w:ascii="Cambria Math" w:hAnsi="Cambria Math"/>
                <w:i/>
              </w:rPr>
            </m:ctrlPr>
          </m:accPr>
          <m:e>
            <m:r>
              <w:rPr>
                <w:rFonts w:ascii="Cambria Math" w:hAnsi="Cambria Math"/>
              </w:rPr>
              <m:t>β</m:t>
            </m:r>
          </m:e>
        </m:acc>
      </m:oMath>
      <w:r w:rsidRPr="004D55DA">
        <w:t xml:space="preserve">=0,66) e pelo </w:t>
      </w:r>
      <w:r w:rsidRPr="004D55DA">
        <w:rPr>
          <w:i/>
        </w:rPr>
        <w:t>comprimento do cais do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=0,22) e 75% da variância do </w:t>
      </w:r>
      <w:r w:rsidRPr="004D55DA">
        <w:rPr>
          <w:i/>
        </w:rPr>
        <w:t>número de contentores</w:t>
      </w:r>
      <w:r w:rsidRPr="004D55DA">
        <w:t xml:space="preserve"> movimentado anualmente pelo terminal é explicada pelo </w:t>
      </w:r>
      <w:r w:rsidRPr="004D55DA">
        <w:rPr>
          <w:i/>
        </w:rPr>
        <w:t>número de pórticos por metro de cais (“hard-terminal”)</w:t>
      </w:r>
      <w:r w:rsidRPr="004D55DA">
        <w:t xml:space="preserve"> (β=0,35) e pelo </w:t>
      </w:r>
      <w:r w:rsidRPr="004D55DA">
        <w:rPr>
          <w:i/>
        </w:rPr>
        <w:t>comprimento do cais do porto (“hard-port”)</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=0,21), pelo </w:t>
      </w:r>
      <w:r w:rsidRPr="004D55DA">
        <w:rPr>
          <w:i/>
        </w:rPr>
        <w:t>PIB da região (“position-port”)</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=0,31) e pela </w:t>
      </w:r>
      <w:r w:rsidRPr="004D55DA">
        <w:rPr>
          <w:i/>
        </w:rPr>
        <w:t>própria eficiência do terminal</w:t>
      </w:r>
      <w:r w:rsidRPr="004D55DA">
        <w:t xml:space="preserve"> (</w:t>
      </w:r>
      <m:oMath>
        <m:acc>
          <m:accPr>
            <m:ctrlPr>
              <w:rPr>
                <w:rFonts w:ascii="Cambria Math" w:hAnsi="Cambria Math"/>
                <w:i/>
              </w:rPr>
            </m:ctrlPr>
          </m:accPr>
          <m:e>
            <m:r>
              <w:rPr>
                <w:rFonts w:ascii="Cambria Math" w:hAnsi="Cambria Math"/>
              </w:rPr>
              <m:t>β</m:t>
            </m:r>
          </m:e>
        </m:acc>
      </m:oMath>
      <w:r w:rsidRPr="004D55DA">
        <w:t>=0,50), como mediadora. Embora a eficiência seja uma medida de desempenho, alguns autores apontam-na como causa do movimento de contentores.</w:t>
      </w:r>
    </w:p>
    <w:p w:rsidR="00104A12" w:rsidRDefault="00104A12" w:rsidP="007F7964">
      <w:pPr>
        <w:spacing w:line="360" w:lineRule="auto"/>
        <w:jc w:val="both"/>
      </w:pPr>
    </w:p>
    <w:p w:rsidR="00B219BA" w:rsidRPr="004D55DA" w:rsidRDefault="00B219BA" w:rsidP="007F7964">
      <w:pPr>
        <w:spacing w:line="360" w:lineRule="auto"/>
        <w:jc w:val="both"/>
      </w:pPr>
    </w:p>
    <w:p w:rsidR="00104A12" w:rsidRPr="00D713C2" w:rsidRDefault="00104A12" w:rsidP="007F7964">
      <w:pPr>
        <w:pStyle w:val="Legenda"/>
        <w:rPr>
          <w:sz w:val="24"/>
          <w:szCs w:val="24"/>
        </w:rPr>
      </w:pPr>
      <w:bookmarkStart w:id="204" w:name="_Toc396134196"/>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32</w:t>
      </w:r>
      <w:r w:rsidR="00372F0E" w:rsidRPr="00D713C2">
        <w:rPr>
          <w:noProof/>
          <w:sz w:val="24"/>
          <w:szCs w:val="24"/>
        </w:rPr>
        <w:fldChar w:fldCharType="end"/>
      </w:r>
      <w:r w:rsidRPr="00D713C2">
        <w:rPr>
          <w:sz w:val="24"/>
          <w:szCs w:val="24"/>
        </w:rPr>
        <w:t xml:space="preserve"> – Path </w:t>
      </w:r>
      <w:r w:rsidR="00FA4A19" w:rsidRPr="00D713C2">
        <w:rPr>
          <w:sz w:val="24"/>
          <w:szCs w:val="24"/>
        </w:rPr>
        <w:t>a</w:t>
      </w:r>
      <w:r w:rsidRPr="00D713C2">
        <w:rPr>
          <w:sz w:val="24"/>
          <w:szCs w:val="24"/>
        </w:rPr>
        <w:t xml:space="preserve">nalysis da </w:t>
      </w:r>
      <w:r w:rsidR="00FA4A19" w:rsidRPr="00D713C2">
        <w:rPr>
          <w:sz w:val="24"/>
          <w:szCs w:val="24"/>
        </w:rPr>
        <w:t>a</w:t>
      </w:r>
      <w:r w:rsidRPr="00D713C2">
        <w:rPr>
          <w:sz w:val="24"/>
          <w:szCs w:val="24"/>
        </w:rPr>
        <w:t>tividade, 2º Inquérito, Europa</w:t>
      </w:r>
      <w:bookmarkEnd w:id="204"/>
    </w:p>
    <w:p w:rsidR="00104A12" w:rsidRPr="004D55DA" w:rsidRDefault="00BF31C8" w:rsidP="007F7964">
      <w:pPr>
        <w:spacing w:line="360" w:lineRule="auto"/>
        <w:jc w:val="both"/>
      </w:pPr>
      <w:r w:rsidRPr="004D55DA">
        <w:rPr>
          <w:noProof/>
        </w:rPr>
        <w:drawing>
          <wp:inline distT="0" distB="0" distL="0" distR="0" wp14:anchorId="13CFBA51" wp14:editId="232B6861">
            <wp:extent cx="5551714" cy="261257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6">
                      <a:extLst>
                        <a:ext uri="{28A0092B-C50C-407E-A947-70E740481C1C}">
                          <a14:useLocalDpi xmlns:a14="http://schemas.microsoft.com/office/drawing/2010/main" val="0"/>
                        </a:ext>
                      </a:extLst>
                    </a:blip>
                    <a:srcRect l="7106" t="26167" r="5287" b="20564"/>
                    <a:stretch>
                      <a:fillRect/>
                    </a:stretch>
                  </pic:blipFill>
                  <pic:spPr bwMode="auto">
                    <a:xfrm>
                      <a:off x="0" y="0"/>
                      <a:ext cx="5556250" cy="2614706"/>
                    </a:xfrm>
                    <a:prstGeom prst="rect">
                      <a:avLst/>
                    </a:prstGeom>
                    <a:noFill/>
                    <a:ln>
                      <a:noFill/>
                    </a:ln>
                  </pic:spPr>
                </pic:pic>
              </a:graphicData>
            </a:graphic>
          </wp:inline>
        </w:drawing>
      </w:r>
    </w:p>
    <w:p w:rsidR="00104A12" w:rsidRPr="004D55DA" w:rsidRDefault="00104A12" w:rsidP="007F7964">
      <w:r w:rsidRPr="004D55DA">
        <w:br w:type="page"/>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3C67B9" w:rsidP="005958FF">
      <w:pPr>
        <w:pStyle w:val="Cabealho3"/>
        <w:ind w:left="0" w:firstLine="0"/>
        <w:rPr>
          <w:sz w:val="24"/>
          <w:szCs w:val="24"/>
          <w:u w:val="none"/>
          <w:lang w:val="pt-PT"/>
        </w:rPr>
      </w:pPr>
      <w:bookmarkStart w:id="205" w:name="_Toc395292672"/>
      <w:bookmarkStart w:id="206" w:name="_Toc395730162"/>
      <w:r w:rsidRPr="00D713C2">
        <w:rPr>
          <w:sz w:val="24"/>
          <w:szCs w:val="24"/>
          <w:u w:val="none"/>
          <w:lang w:val="pt-PT"/>
        </w:rPr>
        <w:t>Modelo de equações estruturais</w:t>
      </w:r>
      <w:bookmarkEnd w:id="205"/>
      <w:bookmarkEnd w:id="206"/>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Não tendo sido possível realizar uma análise SEM reflexiva, devido à reduzida dimensão da amostra, face ao número de variáveis e ligações que envolveria, optou-se por se realizar apenas a análise formativa com os seguintes resultados de adequação do ajustamento ou</w:t>
      </w:r>
      <w:r w:rsidR="00136906">
        <w:t xml:space="preserve"> “Goodness-of-fit” </w:t>
      </w:r>
      <w:r w:rsidRPr="004D55DA">
        <w:t xml:space="preserve">(GoF) do modelo (Figura 33), </w:t>
      </w:r>
      <w:r w:rsidRPr="004D55DA">
        <w:rPr>
          <w:lang w:val="en-GB"/>
        </w:rPr>
        <w:t>χ</w:t>
      </w:r>
      <w:r w:rsidRPr="004D55DA">
        <w:rPr>
          <w:vertAlign w:val="superscript"/>
        </w:rPr>
        <w:t>2</w:t>
      </w:r>
      <w:r w:rsidRPr="004D55DA">
        <w:t xml:space="preserve"> 34,25; </w:t>
      </w:r>
      <w:r w:rsidRPr="004D55DA">
        <w:rPr>
          <w:lang w:val="en-GB"/>
        </w:rPr>
        <w:t>χ</w:t>
      </w:r>
      <w:r w:rsidRPr="004D55DA">
        <w:rPr>
          <w:vertAlign w:val="superscript"/>
        </w:rPr>
        <w:t>2</w:t>
      </w:r>
      <w:r w:rsidRPr="004D55DA">
        <w:t>/df 2,446; IFI: 0,897 (&gt;0,9); CFI: 0,893 (&gt;0,9); RMSEA: 0,165 (&lt;0,1), indicando um mau ajustamento do modelo, possivelmente devido à reduzida a</w:t>
      </w:r>
      <w:r w:rsidR="003C67B9">
        <w:t xml:space="preserve">mostra ou a falta de variáveis no teste da </w:t>
      </w:r>
      <w:r w:rsidRPr="004D55DA">
        <w:t>explica</w:t>
      </w:r>
      <w:r w:rsidR="003C67B9">
        <w:t>ção</w:t>
      </w:r>
      <w:r w:rsidRPr="004D55DA">
        <w:t xml:space="preserve"> </w:t>
      </w:r>
      <w:r w:rsidR="003C67B9">
        <w:t>d</w:t>
      </w:r>
      <w:r w:rsidRPr="004D55DA">
        <w:t xml:space="preserve">a </w:t>
      </w:r>
      <w:r w:rsidRPr="004D55DA">
        <w:rPr>
          <w:i/>
        </w:rPr>
        <w:t xml:space="preserve">satisfação do cliente </w:t>
      </w:r>
      <w:r w:rsidRPr="004D55DA">
        <w:t>(R</w:t>
      </w:r>
      <w:r w:rsidRPr="004D55DA">
        <w:rPr>
          <w:vertAlign w:val="superscript"/>
        </w:rPr>
        <w:t>2</w:t>
      </w:r>
      <w:r w:rsidRPr="004D55DA">
        <w:t xml:space="preserve">=0,71), pela </w:t>
      </w:r>
      <w:r w:rsidRPr="004D55DA">
        <w:rPr>
          <w:i/>
        </w:rPr>
        <w:t>integração logística e organização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=0,78), pelas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=0,22), pela </w:t>
      </w:r>
      <w:r w:rsidRPr="004D55DA">
        <w:rPr>
          <w:i/>
        </w:rPr>
        <w:t>localização na Europa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=0,14) (sinal contrário ao previsto, mas com reduzido efeito) e pelas </w:t>
      </w:r>
      <w:r w:rsidRPr="004D55DA">
        <w:rPr>
          <w:i/>
        </w:rPr>
        <w:t>Serviços marítimos do terminal</w:t>
      </w:r>
      <w:r w:rsidRPr="004D55DA">
        <w:t xml:space="preserve"> (</w:t>
      </w:r>
      <m:oMath>
        <m:acc>
          <m:accPr>
            <m:ctrlPr>
              <w:rPr>
                <w:rFonts w:ascii="Cambria Math" w:hAnsi="Cambria Math"/>
                <w:i/>
              </w:rPr>
            </m:ctrlPr>
          </m:accPr>
          <m:e>
            <m:r>
              <w:rPr>
                <w:rFonts w:ascii="Cambria Math" w:hAnsi="Cambria Math"/>
              </w:rPr>
              <m:t>β</m:t>
            </m:r>
          </m:e>
        </m:acc>
      </m:oMath>
      <w:r w:rsidRPr="004D55DA">
        <w:t>=0,20).</w:t>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207" w:name="_Toc396134197"/>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33</w:t>
      </w:r>
      <w:r w:rsidR="00372F0E" w:rsidRPr="00D713C2">
        <w:rPr>
          <w:noProof/>
          <w:sz w:val="24"/>
          <w:szCs w:val="24"/>
        </w:rPr>
        <w:fldChar w:fldCharType="end"/>
      </w:r>
      <w:r w:rsidRPr="00D713C2">
        <w:rPr>
          <w:sz w:val="24"/>
          <w:szCs w:val="24"/>
        </w:rPr>
        <w:t xml:space="preserve"> – Modelo Formativo, 2º inquérito, Europa</w:t>
      </w:r>
      <w:bookmarkEnd w:id="207"/>
    </w:p>
    <w:p w:rsidR="00104A12" w:rsidRPr="004D55DA" w:rsidRDefault="00BF31C8" w:rsidP="007F7964">
      <w:pPr>
        <w:spacing w:line="360" w:lineRule="auto"/>
        <w:jc w:val="both"/>
      </w:pPr>
      <w:r w:rsidRPr="004D55DA">
        <w:rPr>
          <w:noProof/>
        </w:rPr>
        <w:drawing>
          <wp:inline distT="0" distB="0" distL="0" distR="0" wp14:anchorId="5350187F" wp14:editId="42C89003">
            <wp:extent cx="5726430" cy="2766695"/>
            <wp:effectExtent l="0" t="0" r="7620" b="0"/>
            <wp:docPr id="147"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6430" cy="2766695"/>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br w:type="page"/>
      </w:r>
    </w:p>
    <w:p w:rsidR="00104A12" w:rsidRPr="004D55DA" w:rsidRDefault="00104A12" w:rsidP="007F7964">
      <w:pPr>
        <w:spacing w:line="360" w:lineRule="auto"/>
        <w:jc w:val="both"/>
      </w:pPr>
    </w:p>
    <w:p w:rsidR="00104A12" w:rsidRPr="008D4541" w:rsidRDefault="005564A5" w:rsidP="005564A5">
      <w:pPr>
        <w:pStyle w:val="Cabealho2"/>
        <w:rPr>
          <w:sz w:val="24"/>
        </w:rPr>
      </w:pPr>
      <w:bookmarkStart w:id="208" w:name="_Toc395730163"/>
      <w:r w:rsidRPr="008D4541">
        <w:rPr>
          <w:sz w:val="24"/>
        </w:rPr>
        <w:t>Análise dos Resultados</w:t>
      </w:r>
      <w:bookmarkEnd w:id="208"/>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não permitem rejeitar o modelo de investigação em termos gerais. Foram encontradas algumas contradições entre a </w:t>
      </w:r>
      <w:r w:rsidR="00136906" w:rsidRPr="004D55DA">
        <w:t>perceção</w:t>
      </w:r>
      <w:r w:rsidRPr="004D55DA">
        <w:t xml:space="preserve"> geral dos utilizadores sobre os </w:t>
      </w:r>
      <w:r w:rsidR="00136906" w:rsidRPr="004D55DA">
        <w:t>fatores</w:t>
      </w:r>
      <w:r w:rsidRPr="004D55DA">
        <w:t xml:space="preserve"> que influenciam o desempenho dos terminais de contentores e a </w:t>
      </w:r>
      <w:r w:rsidR="00136906" w:rsidRPr="004D55DA">
        <w:t>perceção</w:t>
      </w:r>
      <w:r w:rsidRPr="004D55DA">
        <w:t xml:space="preserve"> que têm para o caso específico do terminal que utilizam. As variáveis explicam em larga medida a satisfação do cliente (qualitativa), mas têm maior dificuldade em explicar as variáveis dependentes quantitativas da eficiência e produtividade e da atividade, que encontram melhor nível de explicação junto de variáveis quantitativas relativas aos constructos exógenos.</w:t>
      </w:r>
    </w:p>
    <w:p w:rsidR="00104A12" w:rsidRPr="004D55DA" w:rsidRDefault="00104A12" w:rsidP="007F7964"/>
    <w:p w:rsidR="00104A12" w:rsidRDefault="00104A12" w:rsidP="007F7964"/>
    <w:p w:rsidR="005958FF" w:rsidRPr="004D55DA" w:rsidRDefault="005958FF" w:rsidP="007F7964"/>
    <w:p w:rsidR="00104A12" w:rsidRPr="004D55DA" w:rsidRDefault="00104A12" w:rsidP="007F7964">
      <w:pPr>
        <w:rPr>
          <w:b/>
        </w:rPr>
      </w:pPr>
      <w:r w:rsidRPr="004D55DA">
        <w:rPr>
          <w:b/>
        </w:rPr>
        <w:t>Primeiro inquérito</w:t>
      </w:r>
      <w:r w:rsidR="005564A5">
        <w:rPr>
          <w:b/>
        </w:rPr>
        <w:t xml:space="preserve"> ou pré-teste - Portugal e Espanha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obtidos nas análises efetuadas, em especial no modelo estrutural final das equações estruturais não permitem rejeitar o modelo de investigação na generalidade, </w:t>
      </w:r>
      <w:r w:rsidR="00732E07">
        <w:t>não permitindo rejeitar</w:t>
      </w:r>
      <w:r w:rsidRPr="004D55DA">
        <w:t xml:space="preserve"> a visão holística dos </w:t>
      </w:r>
      <w:r w:rsidR="00136906" w:rsidRPr="004D55DA">
        <w:t>fatores</w:t>
      </w:r>
      <w:r w:rsidRPr="004D55DA">
        <w:t xml:space="preserve"> que influenciam o desempenho dos terminais de contentores. </w:t>
      </w:r>
      <w:r w:rsidR="008C6D33">
        <w:t>Não permitem rejeitar</w:t>
      </w:r>
      <w:r w:rsidRPr="004D55DA">
        <w:t xml:space="preserve"> ainda a existência de diversas variáveis latentes com consistência, relativas às características do terminal.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Sendo os resultados das regressões e “path analysis” parciais, embora contribuindo para a afinação do modelo geral, </w:t>
      </w:r>
      <w:r w:rsidR="005564A5">
        <w:t>analisam</w:t>
      </w:r>
      <w:r w:rsidRPr="004D55DA">
        <w:t>-se em especial os resultados finais dos modelos holísticos SEM. São ainda analisa</w:t>
      </w:r>
      <w:r w:rsidR="005564A5">
        <w:t>das</w:t>
      </w:r>
      <w:r w:rsidRPr="004D55DA">
        <w:t xml:space="preserve"> as contradições encontradas entre alguns resultados e a literatura.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do modelo SEM final (Figura 22) apontam para a existência de três variáveis latentes endógenas do modelo, relativas ao desempenho do terminal de contentores, influenciadas pelas características do terminal. A </w:t>
      </w:r>
      <w:r w:rsidRPr="004D55DA">
        <w:rPr>
          <w:i/>
        </w:rPr>
        <w:t>satisfação do cliente</w:t>
      </w:r>
      <w:r w:rsidRPr="004D55DA">
        <w:t xml:space="preserve"> (AVE=0,70; R</w:t>
      </w:r>
      <w:r w:rsidRPr="004D55DA">
        <w:rPr>
          <w:vertAlign w:val="superscript"/>
        </w:rPr>
        <w:t>2</w:t>
      </w:r>
      <w:r w:rsidRPr="004D55DA">
        <w:t xml:space="preserve">=0,55) </w:t>
      </w:r>
      <w:r w:rsidR="00136906" w:rsidRPr="004D55DA">
        <w:t>reflete-se</w:t>
      </w:r>
      <w:r w:rsidRPr="004D55DA">
        <w:t xml:space="preserve"> nas variáveis observadas </w:t>
      </w:r>
      <w:r w:rsidRPr="004D55DA">
        <w:rPr>
          <w:i/>
        </w:rPr>
        <w:t>satisfação dos agentes e transitários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=0,78), </w:t>
      </w:r>
      <w:r w:rsidRPr="004D55DA">
        <w:rPr>
          <w:i/>
        </w:rPr>
        <w:t>satisfação do cliente armador</w:t>
      </w:r>
      <w:r w:rsidRPr="004D55DA">
        <w:t xml:space="preserve"> (</w:t>
      </w:r>
      <m:oMath>
        <m:acc>
          <m:accPr>
            <m:ctrlPr>
              <w:rPr>
                <w:rFonts w:ascii="Cambria Math" w:hAnsi="Cambria Math"/>
                <w:i/>
              </w:rPr>
            </m:ctrlPr>
          </m:accPr>
          <m:e>
            <m:r>
              <w:rPr>
                <w:rFonts w:ascii="Cambria Math" w:hAnsi="Cambria Math"/>
              </w:rPr>
              <m:t>β</m:t>
            </m:r>
          </m:e>
        </m:acc>
      </m:oMath>
      <w:r w:rsidRPr="004D55DA">
        <w:t>=0,76) e Satisfação do dono da carga (</w:t>
      </w:r>
      <m:oMath>
        <m:acc>
          <m:accPr>
            <m:ctrlPr>
              <w:rPr>
                <w:rFonts w:ascii="Cambria Math" w:hAnsi="Cambria Math"/>
                <w:i/>
              </w:rPr>
            </m:ctrlPr>
          </m:accPr>
          <m:e>
            <m:r>
              <w:rPr>
                <w:rFonts w:ascii="Cambria Math" w:hAnsi="Cambria Math"/>
              </w:rPr>
              <m:t>β</m:t>
            </m:r>
          </m:e>
        </m:acc>
      </m:oMath>
      <w:r w:rsidRPr="004D55DA">
        <w:t xml:space="preserve">=0,73). A </w:t>
      </w:r>
      <w:r w:rsidRPr="004D55DA">
        <w:rPr>
          <w:i/>
        </w:rPr>
        <w:t xml:space="preserve">eficiência e produtividade </w:t>
      </w:r>
      <w:r w:rsidRPr="004D55DA">
        <w:t>(AVE=0,72; R</w:t>
      </w:r>
      <w:r w:rsidRPr="004D55DA">
        <w:rPr>
          <w:vertAlign w:val="superscript"/>
        </w:rPr>
        <w:t>2</w:t>
      </w:r>
      <w:r w:rsidRPr="004D55DA">
        <w:t xml:space="preserve">=0,37) que se reflete nas variáveis observadas </w:t>
      </w:r>
      <w:r w:rsidRPr="004D55DA">
        <w:rPr>
          <w:i/>
        </w:rPr>
        <w:t>produtividade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=0,71) e </w:t>
      </w:r>
      <w:r w:rsidRPr="004D55DA">
        <w:rPr>
          <w:i/>
        </w:rPr>
        <w:t>eficiência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=0,85). A </w:t>
      </w:r>
      <w:r w:rsidRPr="004D55DA">
        <w:rPr>
          <w:i/>
        </w:rPr>
        <w:t>atividade</w:t>
      </w:r>
      <w:r w:rsidRPr="004D55DA">
        <w:t xml:space="preserve"> (AVE=0,5; R</w:t>
      </w:r>
      <w:r w:rsidRPr="004D55DA">
        <w:rPr>
          <w:vertAlign w:val="superscript"/>
        </w:rPr>
        <w:t>2</w:t>
      </w:r>
      <w:r w:rsidRPr="004D55DA">
        <w:t xml:space="preserve">=0,31) que se reflete nas variáveis observadas </w:t>
      </w:r>
      <w:r w:rsidRPr="004D55DA">
        <w:rPr>
          <w:i/>
        </w:rPr>
        <w:t>movimento de contentores com o “hinterland</w:t>
      </w:r>
      <w:r w:rsidRPr="004D55DA">
        <w:t>” (</w:t>
      </w:r>
      <m:oMath>
        <m:acc>
          <m:accPr>
            <m:ctrlPr>
              <w:rPr>
                <w:rFonts w:ascii="Cambria Math" w:hAnsi="Cambria Math"/>
                <w:i/>
              </w:rPr>
            </m:ctrlPr>
          </m:accPr>
          <m:e>
            <m:r>
              <w:rPr>
                <w:rFonts w:ascii="Cambria Math" w:hAnsi="Cambria Math"/>
              </w:rPr>
              <m:t>β</m:t>
            </m:r>
          </m:e>
        </m:acc>
      </m:oMath>
      <w:r w:rsidRPr="004D55DA">
        <w:t xml:space="preserve">=0,70) e </w:t>
      </w:r>
      <w:r w:rsidRPr="004D55DA">
        <w:rPr>
          <w:i/>
        </w:rPr>
        <w:t>movimento de contentores em “transhipment”</w:t>
      </w:r>
      <w:r w:rsidRPr="004D55DA">
        <w:t xml:space="preserve"> (</w:t>
      </w:r>
      <m:oMath>
        <m:acc>
          <m:accPr>
            <m:ctrlPr>
              <w:rPr>
                <w:rFonts w:ascii="Cambria Math" w:hAnsi="Cambria Math"/>
                <w:i/>
              </w:rPr>
            </m:ctrlPr>
          </m:accPr>
          <m:e>
            <m:r>
              <w:rPr>
                <w:rFonts w:ascii="Cambria Math" w:hAnsi="Cambria Math"/>
              </w:rPr>
              <m:t>β</m:t>
            </m:r>
          </m:e>
        </m:acc>
      </m:oMath>
      <w:r w:rsidRPr="004D55DA">
        <w:t>=0,64).</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Das variáveis latentes exógenas de primeiro nível, que constituem as características do terminal de contentores, com influência no desempenho do terminal, registam-se os seguintes resultados. A existência de uma variável latente de </w:t>
      </w:r>
      <w:r w:rsidRPr="004D55DA">
        <w:rPr>
          <w:i/>
        </w:rPr>
        <w:t>localização na Europa</w:t>
      </w:r>
      <w:r w:rsidRPr="004D55DA">
        <w:t xml:space="preserve"> (AVE=0,76; </w:t>
      </w:r>
      <m:oMath>
        <m:acc>
          <m:accPr>
            <m:ctrlPr>
              <w:rPr>
                <w:rFonts w:ascii="Cambria Math" w:hAnsi="Cambria Math"/>
                <w:i/>
              </w:rPr>
            </m:ctrlPr>
          </m:accPr>
          <m:e>
            <m:r>
              <w:rPr>
                <w:rFonts w:ascii="Cambria Math" w:hAnsi="Cambria Math"/>
              </w:rPr>
              <m:t>β</m:t>
            </m:r>
          </m:e>
        </m:acc>
      </m:oMath>
      <w:r w:rsidR="005564A5">
        <w:t>=0,73) reflete-se</w:t>
      </w:r>
      <w:r w:rsidRPr="004D55DA">
        <w:t xml:space="preserve"> nas variáveis observadas </w:t>
      </w:r>
      <w:r w:rsidRPr="004D55DA">
        <w:rPr>
          <w:i/>
        </w:rPr>
        <w:t>distância ao centro da Europa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=0,78) e </w:t>
      </w:r>
      <w:r w:rsidRPr="004D55DA">
        <w:rPr>
          <w:i/>
        </w:rPr>
        <w:t>distância ao eixo do Mediterrâneo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=0,85), demonstrando a percepção dos utilizadores dos terminais ibéricos relativamente à importância da localização do terminal de contentores na Europa, mais próximo do centro económico da Europa, para o desempenho. Estes resultados demonstram a </w:t>
      </w:r>
      <w:r w:rsidR="00136906" w:rsidRPr="004D55DA">
        <w:t>perceção</w:t>
      </w:r>
      <w:r w:rsidRPr="004D55DA">
        <w:t xml:space="preserve"> sobre a influência que a localização face ao centro económico Europeu e face ao grande eixo do Mediterrâneo exerce sobre o desempenho dos terminais de contentores, sendo esta uma das principais característica do porto e do terminal com efeito sobre o desempenho. Ou seja, os portos mais próximos do centro da Europa possuem um “hinterland” tendencialmente mais consumidor e produtor de bens, o que implica maiores movimentos de contentores com influência sobre o desempenho dos terminais de contentores.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Por outro lado, a proximidade ao eixo central longitudinal do Mar Mediterrâneo, por onde passam as rotas das linhas regulares contentores Ásia-Europa, tem também influência sobre o desempenho dos terminais de contentores, que têm maior probabilidade de serem escolhidos para escalas diretas de grandes navios intercontinentais e para operações de “transhipment”. </w:t>
      </w:r>
    </w:p>
    <w:p w:rsidR="00104A12" w:rsidRPr="004D55DA" w:rsidRDefault="00104A12" w:rsidP="007F7964">
      <w:pPr>
        <w:spacing w:line="360" w:lineRule="auto"/>
        <w:jc w:val="both"/>
      </w:pPr>
    </w:p>
    <w:p w:rsidR="00104A12" w:rsidRPr="004D55DA" w:rsidRDefault="00104A12" w:rsidP="005564A5">
      <w:pPr>
        <w:spacing w:line="360" w:lineRule="auto"/>
        <w:jc w:val="both"/>
      </w:pPr>
      <w:r w:rsidRPr="004D55DA">
        <w:t xml:space="preserve">Os resultados apontam para a existência de uma variável latente de </w:t>
      </w:r>
      <w:r w:rsidRPr="004D55DA">
        <w:rPr>
          <w:i/>
        </w:rPr>
        <w:t>localização regional ou importância da região</w:t>
      </w:r>
      <w:r w:rsidRPr="004D55DA">
        <w:t xml:space="preserve"> (AVE=0,69; </w:t>
      </w:r>
      <m:oMath>
        <m:acc>
          <m:accPr>
            <m:ctrlPr>
              <w:rPr>
                <w:rFonts w:ascii="Cambria Math" w:hAnsi="Cambria Math"/>
                <w:i/>
              </w:rPr>
            </m:ctrlPr>
          </m:accPr>
          <m:e>
            <m:r>
              <w:rPr>
                <w:rFonts w:ascii="Cambria Math" w:hAnsi="Cambria Math"/>
              </w:rPr>
              <m:t>β</m:t>
            </m:r>
          </m:e>
        </m:acc>
      </m:oMath>
      <w:r w:rsidRPr="004D55DA">
        <w:t xml:space="preserve">=0,71) que se reflete nas variáveis observadas </w:t>
      </w:r>
      <w:r w:rsidRPr="004D55DA">
        <w:rPr>
          <w:i/>
        </w:rPr>
        <w:t>distância aos centros de produção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=0,84), </w:t>
      </w:r>
      <w:r w:rsidRPr="004D55DA">
        <w:rPr>
          <w:i/>
        </w:rPr>
        <w:t>distância aos mercados/cidades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=0,84) e </w:t>
      </w:r>
      <w:r w:rsidRPr="004D55DA">
        <w:rPr>
          <w:i/>
        </w:rPr>
        <w:t>riqueza económica da região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=0,55), demonstrando a percepção dos utilizadores dos terminais ibéricos relativamente à importância para o desempenho da localização do terminal de contentores na região e da riqueza económica da região envolvente. </w:t>
      </w:r>
    </w:p>
    <w:p w:rsidR="00104A12" w:rsidRPr="004D55DA" w:rsidRDefault="00104A12" w:rsidP="007F7964">
      <w:pPr>
        <w:spacing w:line="360" w:lineRule="auto"/>
        <w:jc w:val="both"/>
      </w:pPr>
    </w:p>
    <w:p w:rsidR="00104A12" w:rsidRPr="004D55DA" w:rsidRDefault="005564A5" w:rsidP="005564A5">
      <w:pPr>
        <w:spacing w:line="360" w:lineRule="auto"/>
        <w:jc w:val="both"/>
      </w:pPr>
      <w:r>
        <w:t>verific</w:t>
      </w:r>
      <w:r w:rsidR="00104A12" w:rsidRPr="004D55DA">
        <w:t xml:space="preserve">a-se a existência de uma característica latente </w:t>
      </w:r>
      <w:r w:rsidR="00104A12" w:rsidRPr="004D55DA">
        <w:rPr>
          <w:i/>
        </w:rPr>
        <w:t>acessibilidades terrestres</w:t>
      </w:r>
      <w:r w:rsidR="00104A12" w:rsidRPr="004D55DA">
        <w:t xml:space="preserve"> (AVE=0,66; </w:t>
      </w:r>
      <m:oMath>
        <m:acc>
          <m:accPr>
            <m:ctrlPr>
              <w:rPr>
                <w:rFonts w:ascii="Cambria Math" w:hAnsi="Cambria Math"/>
                <w:i/>
              </w:rPr>
            </m:ctrlPr>
          </m:accPr>
          <m:e>
            <m:r>
              <w:rPr>
                <w:rFonts w:ascii="Cambria Math" w:hAnsi="Cambria Math"/>
              </w:rPr>
              <m:t>β</m:t>
            </m:r>
          </m:e>
        </m:acc>
      </m:oMath>
      <w:r w:rsidR="00104A12" w:rsidRPr="004D55DA">
        <w:t xml:space="preserve">=0,66) que se reflete nas variáveis observadas </w:t>
      </w:r>
      <w:r w:rsidR="00104A12" w:rsidRPr="004D55DA">
        <w:rPr>
          <w:i/>
        </w:rPr>
        <w:t>acessibilidades ferroviárias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=0,76), </w:t>
      </w:r>
      <w:r w:rsidR="00104A12" w:rsidRPr="004D55DA">
        <w:rPr>
          <w:i/>
        </w:rPr>
        <w:t>acessibilidades rodoviárias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=0,78), </w:t>
      </w:r>
      <w:r w:rsidR="00104A12" w:rsidRPr="004D55DA">
        <w:rPr>
          <w:i/>
        </w:rPr>
        <w:t>integração do porto na logística terrestre</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=0,59) e </w:t>
      </w:r>
      <w:r w:rsidR="00104A12" w:rsidRPr="004D55DA">
        <w:rPr>
          <w:i/>
        </w:rPr>
        <w:t>ligações ferroviárias a terminais de segunda linha</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=0,72), demonstrando a importância para o desempenho das acessibilidades terrestres, em especial para alargar o “hinterland” e contribuir rentabilizar os investimentos no terminal. </w:t>
      </w:r>
    </w:p>
    <w:p w:rsidR="00104A12" w:rsidRPr="004D55DA" w:rsidRDefault="00104A12" w:rsidP="007F7964">
      <w:pPr>
        <w:spacing w:line="360" w:lineRule="auto"/>
        <w:jc w:val="both"/>
      </w:pPr>
    </w:p>
    <w:p w:rsidR="00104A12" w:rsidRPr="004D55DA" w:rsidRDefault="00104A12" w:rsidP="005564A5">
      <w:pPr>
        <w:spacing w:line="360" w:lineRule="auto"/>
        <w:jc w:val="both"/>
      </w:pPr>
      <w:r w:rsidRPr="004D55DA">
        <w:t xml:space="preserve">O constructo </w:t>
      </w:r>
      <w:r w:rsidRPr="004D55DA">
        <w:rPr>
          <w:i/>
        </w:rPr>
        <w:t>dinamismo do porto</w:t>
      </w:r>
      <w:r w:rsidRPr="004D55DA">
        <w:t xml:space="preserve"> (AVE=0,56; </w:t>
      </w:r>
      <m:oMath>
        <m:acc>
          <m:accPr>
            <m:ctrlPr>
              <w:rPr>
                <w:rFonts w:ascii="Cambria Math" w:hAnsi="Cambria Math"/>
                <w:i/>
              </w:rPr>
            </m:ctrlPr>
          </m:accPr>
          <m:e>
            <m:r>
              <w:rPr>
                <w:rFonts w:ascii="Cambria Math" w:hAnsi="Cambria Math"/>
              </w:rPr>
              <m:t>β</m:t>
            </m:r>
          </m:e>
        </m:acc>
      </m:oMath>
      <w:r w:rsidRPr="004D55DA">
        <w:t xml:space="preserve">=0,77) reflete-se nas variáveis observadas </w:t>
      </w:r>
      <w:r w:rsidRPr="004D55DA">
        <w:rPr>
          <w:i/>
        </w:rPr>
        <w:t>imagem do porto</w:t>
      </w:r>
      <w:r w:rsidRPr="004D55DA">
        <w:t xml:space="preserve"> onde está o terminal (</w:t>
      </w:r>
      <m:oMath>
        <m:acc>
          <m:accPr>
            <m:ctrlPr>
              <w:rPr>
                <w:rFonts w:ascii="Cambria Math" w:hAnsi="Cambria Math"/>
                <w:i/>
              </w:rPr>
            </m:ctrlPr>
          </m:accPr>
          <m:e>
            <m:r>
              <w:rPr>
                <w:rFonts w:ascii="Cambria Math" w:hAnsi="Cambria Math"/>
              </w:rPr>
              <m:t>β</m:t>
            </m:r>
          </m:e>
        </m:acc>
      </m:oMath>
      <w:r w:rsidRPr="004D55DA">
        <w:t>=0,71</w:t>
      </w:r>
      <w:r w:rsidRPr="004D55DA">
        <w:rPr>
          <w:i/>
        </w:rPr>
        <w:t>), imagem do terminal de contentores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=0,81), </w:t>
      </w:r>
      <w:r w:rsidRPr="004D55DA">
        <w:rPr>
          <w:i/>
        </w:rPr>
        <w:t>dinamismo da autoridade portuária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=0,59) e </w:t>
      </w:r>
      <w:r w:rsidRPr="004D55DA">
        <w:rPr>
          <w:i/>
        </w:rPr>
        <w:t>dinamismo da comunidade portuária</w:t>
      </w:r>
      <w:r w:rsidRPr="004D55DA">
        <w:t xml:space="preserve"> (</w:t>
      </w:r>
      <m:oMath>
        <m:acc>
          <m:accPr>
            <m:ctrlPr>
              <w:rPr>
                <w:rFonts w:ascii="Cambria Math" w:hAnsi="Cambria Math"/>
                <w:i/>
              </w:rPr>
            </m:ctrlPr>
          </m:accPr>
          <m:e>
            <m:r>
              <w:rPr>
                <w:rFonts w:ascii="Cambria Math" w:hAnsi="Cambria Math"/>
              </w:rPr>
              <m:t>β</m:t>
            </m:r>
          </m:e>
        </m:acc>
      </m:oMath>
      <w:r w:rsidRPr="004D55DA">
        <w:t>=0,55), demonstrando a importância para o desempenho da imagem do porto e do terminal</w:t>
      </w:r>
      <w:r w:rsidR="00015B88">
        <w:t>.</w:t>
      </w:r>
      <w:r w:rsidRPr="004D55DA">
        <w:t xml:space="preserve"> </w:t>
      </w:r>
    </w:p>
    <w:p w:rsidR="00104A12" w:rsidRPr="004D55DA" w:rsidRDefault="00104A12" w:rsidP="007F7964">
      <w:pPr>
        <w:spacing w:line="360" w:lineRule="auto"/>
        <w:jc w:val="both"/>
      </w:pPr>
    </w:p>
    <w:p w:rsidR="00104A12" w:rsidRPr="004D55DA" w:rsidRDefault="00104A12" w:rsidP="005564A5">
      <w:pPr>
        <w:spacing w:line="360" w:lineRule="auto"/>
        <w:jc w:val="both"/>
      </w:pPr>
      <w:r w:rsidRPr="004D55DA">
        <w:t xml:space="preserve">A característica latente </w:t>
      </w:r>
      <w:r w:rsidRPr="004D55DA">
        <w:rPr>
          <w:i/>
        </w:rPr>
        <w:t>acesso marítimo</w:t>
      </w:r>
      <w:r w:rsidRPr="004D55DA">
        <w:t xml:space="preserve"> foi determinada (AVE=0,82; </w:t>
      </w:r>
      <m:oMath>
        <m:acc>
          <m:accPr>
            <m:ctrlPr>
              <w:rPr>
                <w:rFonts w:ascii="Cambria Math" w:hAnsi="Cambria Math"/>
                <w:i/>
              </w:rPr>
            </m:ctrlPr>
          </m:accPr>
          <m:e>
            <m:r>
              <w:rPr>
                <w:rFonts w:ascii="Cambria Math" w:hAnsi="Cambria Math"/>
              </w:rPr>
              <m:t>β</m:t>
            </m:r>
          </m:e>
        </m:acc>
      </m:oMath>
      <w:r w:rsidRPr="004D55DA">
        <w:t xml:space="preserve">=0,72) e reflecte-se nas variáveis observadas </w:t>
      </w:r>
      <w:r w:rsidRPr="004D55DA">
        <w:rPr>
          <w:i/>
        </w:rPr>
        <w:t>fundos de acesso do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=0,75) e </w:t>
      </w:r>
      <w:r w:rsidRPr="004D55DA">
        <w:rPr>
          <w:i/>
        </w:rPr>
        <w:t>fundos do cais do terminal de contentores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=0,96), demonstrando a importância do nível de acessibilidade marítima para o desempenho do terminal ao condicionar a capacidade do terminal e determinar a dimensão dos navios que a ele podem aceder. O acesso marítimo e a dimensão dos navios de linha afetam a eficiência e produtividade do terminal e o valor dos fretes e “transit times” das ligações do terminal.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w:t>
      </w:r>
      <w:r w:rsidR="008C6D33">
        <w:t>não permitem rejeitar</w:t>
      </w:r>
      <w:r w:rsidRPr="004D55DA">
        <w:t xml:space="preserve"> o constructo </w:t>
      </w:r>
      <w:r w:rsidRPr="004D55DA">
        <w:rPr>
          <w:i/>
        </w:rPr>
        <w:t>serviços marítimos do terminal</w:t>
      </w:r>
      <w:r w:rsidRPr="004D55DA">
        <w:t xml:space="preserve"> (AVE=0,84; </w:t>
      </w:r>
      <m:oMath>
        <m:acc>
          <m:accPr>
            <m:ctrlPr>
              <w:rPr>
                <w:rFonts w:ascii="Cambria Math" w:hAnsi="Cambria Math"/>
                <w:i/>
              </w:rPr>
            </m:ctrlPr>
          </m:accPr>
          <m:e>
            <m:r>
              <w:rPr>
                <w:rFonts w:ascii="Cambria Math" w:hAnsi="Cambria Math"/>
              </w:rPr>
              <m:t>β</m:t>
            </m:r>
          </m:e>
        </m:acc>
      </m:oMath>
      <w:r w:rsidRPr="004D55DA">
        <w:t xml:space="preserve">=0,58) que se reflete nas variáveis observadas </w:t>
      </w:r>
      <w:r w:rsidRPr="004D55DA">
        <w:rPr>
          <w:i/>
        </w:rPr>
        <w:t>número de linhas do TOP10 dos armadores mundiais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=0,82), </w:t>
      </w:r>
      <w:r w:rsidRPr="004D55DA">
        <w:rPr>
          <w:i/>
        </w:rPr>
        <w:t>número de linhas “feeder” e “shortsea”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=0,86) e </w:t>
      </w:r>
      <w:r w:rsidRPr="004D55DA">
        <w:rPr>
          <w:i/>
        </w:rPr>
        <w:t>número de linhas intercontinentais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=0,90), demonstrando o referido por Tongzon (2002) sobre a importância de uma maior frequência dos navios de linha, em especial de linhas intercontinentais, na escolha do terminal pelos carregadores, levando a maior desempenho do terminal. </w:t>
      </w:r>
    </w:p>
    <w:p w:rsidR="00104A12" w:rsidRPr="004D55DA" w:rsidRDefault="00104A12" w:rsidP="007F7964">
      <w:pPr>
        <w:spacing w:line="360" w:lineRule="auto"/>
        <w:jc w:val="both"/>
      </w:pPr>
    </w:p>
    <w:p w:rsidR="00104A12" w:rsidRPr="004D55DA" w:rsidRDefault="00104A12" w:rsidP="005564A5">
      <w:pPr>
        <w:spacing w:line="360" w:lineRule="auto"/>
        <w:jc w:val="both"/>
      </w:pPr>
      <w:r w:rsidRPr="004D55DA">
        <w:t xml:space="preserve">A </w:t>
      </w:r>
      <w:r w:rsidRPr="004D55DA">
        <w:rPr>
          <w:i/>
        </w:rPr>
        <w:t xml:space="preserve">integração logística e organização do terminal </w:t>
      </w:r>
      <w:r w:rsidRPr="004D55DA">
        <w:t xml:space="preserve">é um constructo (AVE=0,61; </w:t>
      </w:r>
      <m:oMath>
        <m:acc>
          <m:accPr>
            <m:ctrlPr>
              <w:rPr>
                <w:rFonts w:ascii="Cambria Math" w:hAnsi="Cambria Math"/>
                <w:i/>
              </w:rPr>
            </m:ctrlPr>
          </m:accPr>
          <m:e>
            <m:r>
              <w:rPr>
                <w:rFonts w:ascii="Cambria Math" w:hAnsi="Cambria Math"/>
              </w:rPr>
              <m:t>β</m:t>
            </m:r>
          </m:e>
        </m:acc>
      </m:oMath>
      <w:r w:rsidRPr="004D55DA">
        <w:t xml:space="preserve">=0,58) que se reflete nas variáveis observadas </w:t>
      </w:r>
      <w:r w:rsidRPr="004D55DA">
        <w:rPr>
          <w:i/>
        </w:rPr>
        <w:t>tipo de gestor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=0,64), </w:t>
      </w:r>
      <w:r w:rsidRPr="004D55DA">
        <w:rPr>
          <w:i/>
        </w:rPr>
        <w:t>orientação do terminal para o cliente</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=0,71), </w:t>
      </w:r>
      <w:r w:rsidRPr="004D55DA">
        <w:rPr>
          <w:i/>
        </w:rPr>
        <w:t>sistema de informações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=0,72), </w:t>
      </w:r>
      <w:r w:rsidRPr="004D55DA">
        <w:rPr>
          <w:i/>
        </w:rPr>
        <w:t>modelo de organização do terminal</w:t>
      </w:r>
      <w:r w:rsidRPr="004D55DA">
        <w:t xml:space="preserve"> (</w:t>
      </w:r>
      <m:oMath>
        <m:acc>
          <m:accPr>
            <m:ctrlPr>
              <w:rPr>
                <w:rFonts w:ascii="Cambria Math" w:hAnsi="Cambria Math"/>
                <w:i/>
              </w:rPr>
            </m:ctrlPr>
          </m:accPr>
          <m:e>
            <m:r>
              <w:rPr>
                <w:rFonts w:ascii="Cambria Math" w:hAnsi="Cambria Math"/>
              </w:rPr>
              <m:t>β</m:t>
            </m:r>
          </m:e>
        </m:acc>
      </m:oMath>
      <w:r w:rsidRPr="004D55DA">
        <w:t>=0,75),</w:t>
      </w:r>
      <w:r w:rsidR="00136906">
        <w:t xml:space="preserve"> “layout” </w:t>
      </w:r>
      <w:r w:rsidRPr="004D55DA">
        <w:rPr>
          <w:i/>
        </w:rPr>
        <w:t>do terminal (</w:t>
      </w:r>
      <m:oMath>
        <m:acc>
          <m:accPr>
            <m:ctrlPr>
              <w:rPr>
                <w:rFonts w:ascii="Cambria Math" w:hAnsi="Cambria Math"/>
                <w:i/>
              </w:rPr>
            </m:ctrlPr>
          </m:accPr>
          <m:e>
            <m:r>
              <w:rPr>
                <w:rFonts w:ascii="Cambria Math" w:hAnsi="Cambria Math"/>
              </w:rPr>
              <m:t>β</m:t>
            </m:r>
          </m:e>
        </m:acc>
      </m:oMath>
      <w:r w:rsidRPr="004D55DA">
        <w:t xml:space="preserve">=0,66) e </w:t>
      </w:r>
      <w:r w:rsidRPr="004D55DA">
        <w:rPr>
          <w:i/>
        </w:rPr>
        <w:t>qualidade do serviço de reboque e pilotagem</w:t>
      </w:r>
      <w:r w:rsidRPr="004D55DA">
        <w:t xml:space="preserve"> (</w:t>
      </w:r>
      <m:oMath>
        <m:acc>
          <m:accPr>
            <m:ctrlPr>
              <w:rPr>
                <w:rFonts w:ascii="Cambria Math" w:hAnsi="Cambria Math"/>
                <w:i/>
              </w:rPr>
            </m:ctrlPr>
          </m:accPr>
          <m:e>
            <m:r>
              <w:rPr>
                <w:rFonts w:ascii="Cambria Math" w:hAnsi="Cambria Math"/>
              </w:rPr>
              <m:t>β</m:t>
            </m:r>
          </m:e>
        </m:acc>
      </m:oMath>
      <w:r w:rsidRPr="004D55DA">
        <w:t>=0,62), demonstra a importância dos portos enquanto elos das cadeias lo</w:t>
      </w:r>
      <w:r w:rsidR="00015B88">
        <w:t>gísticas para o seu desempenho.</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geral, não se rejeita que as características do terminal influenciarem e explicarem o desempenho do terminal (AVE=0,52; </w:t>
      </w:r>
      <m:oMath>
        <m:acc>
          <m:accPr>
            <m:ctrlPr>
              <w:rPr>
                <w:rFonts w:ascii="Cambria Math" w:hAnsi="Cambria Math"/>
                <w:i/>
              </w:rPr>
            </m:ctrlPr>
          </m:accPr>
          <m:e>
            <m:r>
              <w:rPr>
                <w:rFonts w:ascii="Cambria Math" w:hAnsi="Cambria Math"/>
              </w:rPr>
              <m:t>β</m:t>
            </m:r>
          </m:e>
        </m:acc>
      </m:oMath>
      <w:r w:rsidRPr="004D55DA">
        <w:t>=0,75; R</w:t>
      </w:r>
      <w:r w:rsidRPr="004D55DA">
        <w:rPr>
          <w:vertAlign w:val="superscript"/>
        </w:rPr>
        <w:t>2</w:t>
      </w:r>
      <w:r w:rsidRPr="004D55DA">
        <w:t xml:space="preserve">=0,56), não se rejeitando a hipótese base do modelo de investigação.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do modelo formativo de equações estruturais </w:t>
      </w:r>
      <w:r w:rsidR="008C6D33">
        <w:t>não permitem rejeitar</w:t>
      </w:r>
      <w:r w:rsidRPr="004D55DA">
        <w:t xml:space="preserve"> igualmente a forte relação entre as características do terminal e o desempenho do terminal de contentores, no que se refere à </w:t>
      </w:r>
      <w:r w:rsidRPr="004D55DA">
        <w:rPr>
          <w:i/>
        </w:rPr>
        <w:t>satisfação do cliente</w:t>
      </w:r>
      <w:r w:rsidRPr="004D55DA">
        <w:t xml:space="preserve"> (R</w:t>
      </w:r>
      <w:r w:rsidRPr="004D55DA">
        <w:rPr>
          <w:vertAlign w:val="superscript"/>
        </w:rPr>
        <w:t>2</w:t>
      </w:r>
      <w:r w:rsidRPr="004D55DA">
        <w:t xml:space="preserve">=0,51), </w:t>
      </w:r>
      <w:r w:rsidRPr="004D55DA">
        <w:rPr>
          <w:i/>
        </w:rPr>
        <w:t xml:space="preserve">produtividade </w:t>
      </w:r>
      <w:r w:rsidRPr="004D55DA">
        <w:t>(R</w:t>
      </w:r>
      <w:r w:rsidRPr="004D55DA">
        <w:rPr>
          <w:vertAlign w:val="superscript"/>
        </w:rPr>
        <w:t>2</w:t>
      </w:r>
      <w:r w:rsidRPr="004D55DA">
        <w:t xml:space="preserve">=0,33) e </w:t>
      </w:r>
      <w:r w:rsidRPr="004D55DA">
        <w:rPr>
          <w:i/>
        </w:rPr>
        <w:t>atividade</w:t>
      </w:r>
      <w:r w:rsidRPr="004D55DA">
        <w:t xml:space="preserve"> (R</w:t>
      </w:r>
      <w:r w:rsidRPr="004D55DA">
        <w:rPr>
          <w:vertAlign w:val="superscript"/>
        </w:rPr>
        <w:t>2</w:t>
      </w:r>
      <w:r w:rsidRPr="004D55DA">
        <w:t xml:space="preserve">=0,37). Já os resultados da análise para cada uma das variáveis dependentes separadamente através da regressão linear e da “path analysis”, permitem uma visão mais fina das relações, </w:t>
      </w:r>
      <w:r w:rsidR="00732E07">
        <w:t>não permitindo rejeitar</w:t>
      </w:r>
      <w:r w:rsidRPr="004D55DA">
        <w:t xml:space="preserve"> igualmente as hipóteses do modelo, embora com menores graus de explicação e não para todas as variáveis dependentes de igual forma.</w:t>
      </w:r>
    </w:p>
    <w:p w:rsidR="00104A12" w:rsidRPr="004D55DA" w:rsidRDefault="00104A12" w:rsidP="007F7964">
      <w:pPr>
        <w:spacing w:line="360" w:lineRule="auto"/>
        <w:jc w:val="both"/>
      </w:pPr>
    </w:p>
    <w:p w:rsidR="00104A12" w:rsidRPr="005564A5" w:rsidRDefault="00104A12" w:rsidP="007F7964">
      <w:pPr>
        <w:spacing w:line="360" w:lineRule="auto"/>
        <w:jc w:val="both"/>
        <w:rPr>
          <w:b/>
        </w:rPr>
      </w:pPr>
      <w:r w:rsidRPr="005564A5">
        <w:rPr>
          <w:b/>
        </w:rPr>
        <w:t>Eficiência</w:t>
      </w:r>
      <w:r w:rsidR="00FC05CE" w:rsidRPr="005564A5">
        <w:rPr>
          <w:b/>
        </w:rPr>
        <w:fldChar w:fldCharType="begin"/>
      </w:r>
      <w:r w:rsidR="00FC05CE" w:rsidRPr="005564A5">
        <w:rPr>
          <w:b/>
        </w:rPr>
        <w:instrText xml:space="preserve"> XE "Eficiência" </w:instrText>
      </w:r>
      <w:r w:rsidR="00FC05CE" w:rsidRPr="005564A5">
        <w:rPr>
          <w:b/>
        </w:rPr>
        <w:fldChar w:fldCharType="end"/>
      </w:r>
    </w:p>
    <w:p w:rsidR="00104A12" w:rsidRPr="004D55DA" w:rsidRDefault="00104A12" w:rsidP="007F7964">
      <w:pPr>
        <w:spacing w:line="360" w:lineRule="auto"/>
        <w:jc w:val="both"/>
      </w:pPr>
      <w:r w:rsidRPr="004D55DA">
        <w:t xml:space="preserve">Verifica-se que a </w:t>
      </w:r>
      <w:r w:rsidRPr="004D55DA">
        <w:rPr>
          <w:i/>
        </w:rPr>
        <w:t>eficiência</w:t>
      </w:r>
      <w:r w:rsidRPr="004D55DA">
        <w:t xml:space="preserve"> (R</w:t>
      </w:r>
      <w:r w:rsidRPr="004D55DA">
        <w:rPr>
          <w:vertAlign w:val="superscript"/>
        </w:rPr>
        <w:t>2</w:t>
      </w:r>
      <w:r w:rsidRPr="004D55DA">
        <w:t xml:space="preserve">=0,09) depende das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=0,22) e do </w:t>
      </w:r>
      <w:r w:rsidRPr="004D55DA">
        <w:rPr>
          <w:i/>
        </w:rPr>
        <w:t>acesso marítimo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=0,15), ou seja, sendo pouco explicada pelas variáveis no modelo de regressão. Igual resultado se verifica no modelo de “path analysis” do SEM, onde a </w:t>
      </w:r>
      <w:r w:rsidRPr="004D55DA">
        <w:rPr>
          <w:i/>
        </w:rPr>
        <w:t>eficiência</w:t>
      </w:r>
      <w:r w:rsidRPr="004D55DA">
        <w:t xml:space="preserve"> (R</w:t>
      </w:r>
      <w:r w:rsidRPr="004D55DA">
        <w:rPr>
          <w:vertAlign w:val="superscript"/>
        </w:rPr>
        <w:t>2</w:t>
      </w:r>
      <w:r w:rsidRPr="004D55DA">
        <w:t xml:space="preserve">=0,05) é explicada pelas </w:t>
      </w:r>
      <w:r w:rsidRPr="004D55DA">
        <w:rPr>
          <w:i/>
        </w:rPr>
        <w:t>acessibilidades terrestres</w:t>
      </w:r>
      <w:r w:rsidRPr="004D55DA">
        <w:t xml:space="preserve"> exclusivamente (</w:t>
      </w:r>
      <m:oMath>
        <m:acc>
          <m:accPr>
            <m:ctrlPr>
              <w:rPr>
                <w:rFonts w:ascii="Cambria Math" w:hAnsi="Cambria Math"/>
                <w:i/>
              </w:rPr>
            </m:ctrlPr>
          </m:accPr>
          <m:e>
            <m:r>
              <w:rPr>
                <w:rFonts w:ascii="Cambria Math" w:hAnsi="Cambria Math"/>
              </w:rPr>
              <m:t>β</m:t>
            </m:r>
          </m:e>
        </m:acc>
      </m:oMath>
      <w:r w:rsidRPr="004D55DA">
        <w:t xml:space="preserve"> =0,15). Ou seja, a variável dependente </w:t>
      </w:r>
      <w:r w:rsidRPr="004D55DA">
        <w:rPr>
          <w:i/>
        </w:rPr>
        <w:t xml:space="preserve">eficiência </w:t>
      </w:r>
      <w:r w:rsidRPr="004D55DA">
        <w:t>é mal explicada de forma isolada pelas variáveis independentes utilizadas. Tal confirma os resultados do modelo SEM, embora neste se tenha atingido grau de explicação mais pela variáveis do modelo de forma significativa, sendo fundamental procurar obter explicação junto de variáveis quantitativas no segundo inquérito, como alternativa.</w:t>
      </w:r>
    </w:p>
    <w:p w:rsidR="00104A12" w:rsidRPr="004D55DA" w:rsidRDefault="00104A12" w:rsidP="007F7964">
      <w:pPr>
        <w:spacing w:line="360" w:lineRule="auto"/>
        <w:jc w:val="both"/>
      </w:pPr>
    </w:p>
    <w:p w:rsidR="00104A12" w:rsidRPr="005564A5" w:rsidRDefault="00104A12" w:rsidP="007F7964">
      <w:pPr>
        <w:spacing w:line="360" w:lineRule="auto"/>
        <w:jc w:val="both"/>
        <w:rPr>
          <w:b/>
        </w:rPr>
      </w:pPr>
      <w:r w:rsidRPr="005564A5">
        <w:rPr>
          <w:b/>
        </w:rPr>
        <w:t>Atividade</w:t>
      </w:r>
      <w:r w:rsidR="00FC05CE" w:rsidRPr="005564A5">
        <w:rPr>
          <w:b/>
        </w:rPr>
        <w:fldChar w:fldCharType="begin"/>
      </w:r>
      <w:r w:rsidR="00FC05CE" w:rsidRPr="005564A5">
        <w:rPr>
          <w:b/>
        </w:rPr>
        <w:instrText xml:space="preserve"> XE "Atividade" </w:instrText>
      </w:r>
      <w:r w:rsidR="00FC05CE" w:rsidRPr="005564A5">
        <w:rPr>
          <w:b/>
        </w:rPr>
        <w:fldChar w:fldCharType="end"/>
      </w:r>
    </w:p>
    <w:p w:rsidR="005564A5" w:rsidRDefault="00104A12" w:rsidP="007F7964">
      <w:pPr>
        <w:spacing w:line="360" w:lineRule="auto"/>
        <w:jc w:val="both"/>
      </w:pPr>
      <w:r w:rsidRPr="004D55DA">
        <w:t xml:space="preserve">Os resultados para a variável dependente </w:t>
      </w:r>
      <w:r w:rsidRPr="004D55DA">
        <w:rPr>
          <w:i/>
        </w:rPr>
        <w:t xml:space="preserve">atividade </w:t>
      </w:r>
      <w:r w:rsidRPr="004D55DA">
        <w:t>obtêm maior grau de explicação pelas variáveis independentes no modelo de regressão linear (R</w:t>
      </w:r>
      <w:r w:rsidRPr="004D55DA">
        <w:rPr>
          <w:vertAlign w:val="superscript"/>
        </w:rPr>
        <w:t>2</w:t>
      </w:r>
      <w:r w:rsidRPr="004D55DA">
        <w:t xml:space="preserve">=0,2167), ou seja, é explicada pelo </w:t>
      </w:r>
      <w:r w:rsidRPr="004D55DA">
        <w:rPr>
          <w:i/>
        </w:rPr>
        <w:t>dinamismo do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=0,289) pela </w:t>
      </w:r>
      <w:r w:rsidRPr="004D55DA">
        <w:rPr>
          <w:i/>
        </w:rPr>
        <w:t>importância da região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=0,228) e pela </w:t>
      </w:r>
      <w:r w:rsidRPr="004D55DA">
        <w:rPr>
          <w:i/>
        </w:rPr>
        <w:t xml:space="preserve">localização na Europa </w:t>
      </w:r>
      <w:r w:rsidRPr="004D55DA">
        <w:t>(</w:t>
      </w:r>
      <m:oMath>
        <m:acc>
          <m:accPr>
            <m:ctrlPr>
              <w:rPr>
                <w:rFonts w:ascii="Cambria Math" w:hAnsi="Cambria Math"/>
                <w:i/>
              </w:rPr>
            </m:ctrlPr>
          </m:accPr>
          <m:e>
            <m:r>
              <w:rPr>
                <w:rFonts w:ascii="Cambria Math" w:hAnsi="Cambria Math"/>
              </w:rPr>
              <m:t>β</m:t>
            </m:r>
          </m:e>
        </m:acc>
      </m:oMath>
      <w:r w:rsidRPr="004D55DA">
        <w:t xml:space="preserve"> =0,243), havendo como que um determinismo económico e geográfico da actividade de cada porto, potenciado pelo seu dinamismo interno, estranho à gestão do próprio terminal, o que não colhe total cobertura na literatura. </w:t>
      </w:r>
    </w:p>
    <w:p w:rsidR="005564A5" w:rsidRDefault="005564A5" w:rsidP="007F7964">
      <w:pPr>
        <w:spacing w:line="360" w:lineRule="auto"/>
        <w:jc w:val="both"/>
      </w:pPr>
    </w:p>
    <w:p w:rsidR="00104A12" w:rsidRPr="004D55DA" w:rsidRDefault="00104A12" w:rsidP="007F7964">
      <w:pPr>
        <w:spacing w:line="360" w:lineRule="auto"/>
        <w:jc w:val="both"/>
      </w:pPr>
      <w:r w:rsidRPr="004D55DA">
        <w:t xml:space="preserve">Já os resultados da “path analysis” do SEM apontam como variáveis explicativas da </w:t>
      </w:r>
      <w:r w:rsidRPr="004D55DA">
        <w:rPr>
          <w:i/>
        </w:rPr>
        <w:t xml:space="preserve">atividade </w:t>
      </w:r>
      <w:r w:rsidRPr="004D55DA">
        <w:t>(R</w:t>
      </w:r>
      <w:r w:rsidRPr="004D55DA">
        <w:rPr>
          <w:vertAlign w:val="superscript"/>
        </w:rPr>
        <w:t>2</w:t>
      </w:r>
      <w:r w:rsidRPr="004D55DA">
        <w:t xml:space="preserve">=0,19), o </w:t>
      </w:r>
      <w:r w:rsidRPr="004D55DA">
        <w:rPr>
          <w:i/>
        </w:rPr>
        <w:t>dinamismo do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=0,29), os </w:t>
      </w:r>
      <w:r w:rsidRPr="004D55DA">
        <w:rPr>
          <w:i/>
        </w:rPr>
        <w:t>serviços marítimos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=0,23) e a </w:t>
      </w:r>
      <w:r w:rsidRPr="004D55DA">
        <w:rPr>
          <w:i/>
        </w:rPr>
        <w:t>localização na Europa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 =0,24), substituindo a </w:t>
      </w:r>
      <w:r w:rsidRPr="004D55DA">
        <w:rPr>
          <w:i/>
        </w:rPr>
        <w:t>importância da região</w:t>
      </w:r>
      <w:r w:rsidRPr="004D55DA">
        <w:t xml:space="preserve">, pelos </w:t>
      </w:r>
      <w:r w:rsidRPr="004D55DA">
        <w:rPr>
          <w:i/>
        </w:rPr>
        <w:t>serviços marítimos do terminal</w:t>
      </w:r>
      <w:r w:rsidRPr="004D55DA">
        <w:t xml:space="preserve">, mas mantendo o baixo grau de explicação. Neste caso, já importa o tipo de ligações marítimas do terminal, embora se mantenham fora a organização e as ligações </w:t>
      </w:r>
      <w:r w:rsidRPr="004D55DA">
        <w:lastRenderedPageBreak/>
        <w:t>logísticas. Parecem também aqui importar obter variáveis quantitativas para analisar melhor as hipóteses do modelo, o que é realizado no segundo inquérito.</w:t>
      </w:r>
    </w:p>
    <w:p w:rsidR="00104A12" w:rsidRPr="004D55DA" w:rsidRDefault="00104A12" w:rsidP="007F7964">
      <w:pPr>
        <w:spacing w:line="360" w:lineRule="auto"/>
        <w:jc w:val="both"/>
      </w:pPr>
    </w:p>
    <w:p w:rsidR="00104A12" w:rsidRPr="005564A5" w:rsidRDefault="00104A12" w:rsidP="007F7964">
      <w:pPr>
        <w:spacing w:line="360" w:lineRule="auto"/>
        <w:jc w:val="both"/>
        <w:rPr>
          <w:b/>
        </w:rPr>
      </w:pPr>
      <w:r w:rsidRPr="005564A5">
        <w:rPr>
          <w:b/>
        </w:rPr>
        <w:t>Satisfação do cliente</w:t>
      </w:r>
      <w:r w:rsidR="00FC05CE" w:rsidRPr="005564A5">
        <w:rPr>
          <w:b/>
        </w:rPr>
        <w:fldChar w:fldCharType="begin"/>
      </w:r>
      <w:r w:rsidR="00FC05CE" w:rsidRPr="005564A5">
        <w:rPr>
          <w:b/>
        </w:rPr>
        <w:instrText xml:space="preserve"> XE "Satisfação do cliente" </w:instrText>
      </w:r>
      <w:r w:rsidR="00FC05CE" w:rsidRPr="005564A5">
        <w:rPr>
          <w:b/>
        </w:rPr>
        <w:fldChar w:fldCharType="end"/>
      </w:r>
    </w:p>
    <w:p w:rsidR="00104A12" w:rsidRPr="004D55DA" w:rsidRDefault="005564A5" w:rsidP="007F7964">
      <w:pPr>
        <w:spacing w:line="360" w:lineRule="auto"/>
        <w:jc w:val="both"/>
      </w:pPr>
      <w:r>
        <w:t>O</w:t>
      </w:r>
      <w:r w:rsidR="00104A12" w:rsidRPr="004D55DA">
        <w:t xml:space="preserve">s resultados da regressão linear para a variável dependente </w:t>
      </w:r>
      <w:r w:rsidR="00104A12" w:rsidRPr="004D55DA">
        <w:rPr>
          <w:i/>
        </w:rPr>
        <w:t>satisfação do cliente</w:t>
      </w:r>
      <w:r w:rsidR="00104A12" w:rsidRPr="004D55DA">
        <w:t xml:space="preserve"> (R</w:t>
      </w:r>
      <w:r w:rsidR="00104A12" w:rsidRPr="004D55DA">
        <w:rPr>
          <w:vertAlign w:val="superscript"/>
        </w:rPr>
        <w:t>2</w:t>
      </w:r>
      <w:r w:rsidR="00104A12" w:rsidRPr="004D55DA">
        <w:t>=0,2121), estão coerentes com os resultados do SEM onde se obteve um grau de explicação maior (R</w:t>
      </w:r>
      <w:r w:rsidR="00104A12" w:rsidRPr="004D55DA">
        <w:rPr>
          <w:vertAlign w:val="superscript"/>
        </w:rPr>
        <w:t>2</w:t>
      </w:r>
      <w:r w:rsidR="00104A12" w:rsidRPr="004D55DA">
        <w:t xml:space="preserve">=0,55). Na regressão, a </w:t>
      </w:r>
      <w:r w:rsidR="00104A12" w:rsidRPr="004D55DA">
        <w:rPr>
          <w:i/>
        </w:rPr>
        <w:t>satisfação do cliente</w:t>
      </w:r>
      <w:r w:rsidR="00104A12" w:rsidRPr="004D55DA">
        <w:t xml:space="preserve"> é explicada pela </w:t>
      </w:r>
      <w:r w:rsidR="00104A12" w:rsidRPr="004D55DA">
        <w:rPr>
          <w:i/>
        </w:rPr>
        <w:t>integração logística e organização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=0,212), </w:t>
      </w:r>
      <w:r w:rsidR="00104A12" w:rsidRPr="004D55DA">
        <w:rPr>
          <w:i/>
        </w:rPr>
        <w:t>dinamismo do porto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=0,254), </w:t>
      </w:r>
      <w:r w:rsidR="00104A12" w:rsidRPr="004D55DA">
        <w:rPr>
          <w:i/>
        </w:rPr>
        <w:t>serviços marítimos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=0,229) e pelo </w:t>
      </w:r>
      <w:r w:rsidR="00104A12" w:rsidRPr="004D55DA">
        <w:rPr>
          <w:i/>
        </w:rPr>
        <w:t>acesso marítimo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=0,149), mostrando o peso dos factores “hard-port”, “soft-port”, “hard-terminal” e “soft-terminal” na explicação da </w:t>
      </w:r>
      <w:r w:rsidR="00104A12" w:rsidRPr="004D55DA">
        <w:rPr>
          <w:i/>
        </w:rPr>
        <w:t>satisfação dos clientes</w:t>
      </w:r>
      <w:r w:rsidR="00104A12" w:rsidRPr="004D55DA">
        <w:t xml:space="preserve"> e assim as hipóteses do modelo, ao contrário do que se passa para a atividade. Com base na “path analysis” (R</w:t>
      </w:r>
      <w:r w:rsidR="00104A12" w:rsidRPr="004D55DA">
        <w:rPr>
          <w:vertAlign w:val="superscript"/>
        </w:rPr>
        <w:t>2</w:t>
      </w:r>
      <w:r w:rsidR="00104A12" w:rsidRPr="004D55DA">
        <w:t xml:space="preserve">=0,21) foi possível obter ainda outros resultados significativos com as variáveis explicativas </w:t>
      </w:r>
      <w:r w:rsidR="00104A12" w:rsidRPr="004D55DA">
        <w:rPr>
          <w:i/>
        </w:rPr>
        <w:t>importância da região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=0,23), </w:t>
      </w:r>
      <w:r w:rsidR="00104A12" w:rsidRPr="004D55DA">
        <w:rPr>
          <w:i/>
        </w:rPr>
        <w:t>acesso marítimo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=0,15), </w:t>
      </w:r>
      <w:r w:rsidR="00104A12" w:rsidRPr="004D55DA">
        <w:rPr>
          <w:i/>
        </w:rPr>
        <w:t>integração logística e organização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=0,21), </w:t>
      </w:r>
      <w:r w:rsidR="00104A12" w:rsidRPr="004D55DA">
        <w:rPr>
          <w:i/>
        </w:rPr>
        <w:t>dinamismo do porto</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=0,25) e </w:t>
      </w:r>
      <w:r w:rsidR="00104A12" w:rsidRPr="004D55DA">
        <w:rPr>
          <w:i/>
        </w:rPr>
        <w:t>Serviços marítimos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 =0,15), abarcando a quase totalidade das variáveis latentes em causa. Neste caso, fica fora o determinismo geográfico da localização, para ganharem peso os </w:t>
      </w:r>
      <w:r w:rsidR="00136906" w:rsidRPr="004D55DA">
        <w:t>fatores</w:t>
      </w:r>
      <w:r w:rsidR="00104A12" w:rsidRPr="004D55DA">
        <w:t xml:space="preserve"> relacionados com a gestão do terminal e do porto.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da aplicação das diversas metodologias são muito semelhantes, em especial os resultados das regressões lineares e da “path analysis”. Estes estão também muito próximos dos resultados alcançados através da metodologia SEM, embora esta permita uma visão mais integrada e detalhada dos constructos e variáveis que os compõem, facilitando a compreensão daquilo que os utilizadores especialistas consideram influenciar o desempenho do terminal de contentores, numa visão holística. Apesar disso, no SEM, pode ser discutida a questão da </w:t>
      </w:r>
      <w:r w:rsidR="00136906" w:rsidRPr="004D55DA">
        <w:t>direção</w:t>
      </w:r>
      <w:r w:rsidRPr="004D55DA">
        <w:t xml:space="preserve"> das setas de causalidade entre os constructos de primeiro e segundo nível, embora o estado </w:t>
      </w:r>
      <w:r w:rsidR="00136906" w:rsidRPr="004D55DA">
        <w:t>catual</w:t>
      </w:r>
      <w:r w:rsidRPr="004D55DA">
        <w:t>, ainda não seja possível a mistura entre modelos reflexivos nos constructos de primeiro nível e modelos formativos entre os constructos de primeiro e segundo nível. O conjunto das metodologias aplicadas permite perceber melhor os dados da amostra, apontando todas para resultados muito semelhantes.</w:t>
      </w:r>
    </w:p>
    <w:p w:rsidR="00104A12" w:rsidRDefault="00104A12" w:rsidP="007F7964"/>
    <w:p w:rsidR="005958FF" w:rsidRDefault="005958FF" w:rsidP="007F7964"/>
    <w:p w:rsidR="00B124D8" w:rsidRDefault="00B124D8" w:rsidP="007F7964"/>
    <w:p w:rsidR="00B124D8" w:rsidRDefault="00B124D8" w:rsidP="007F7964"/>
    <w:p w:rsidR="005958FF" w:rsidRDefault="005958FF" w:rsidP="007F7964"/>
    <w:p w:rsidR="005958FF" w:rsidRPr="004D55DA" w:rsidRDefault="005958FF" w:rsidP="007F7964"/>
    <w:p w:rsidR="00104A12" w:rsidRPr="004D55DA" w:rsidRDefault="00104A12" w:rsidP="007F7964">
      <w:pPr>
        <w:rPr>
          <w:b/>
        </w:rPr>
      </w:pPr>
      <w:r w:rsidRPr="004D55DA">
        <w:rPr>
          <w:b/>
        </w:rPr>
        <w:lastRenderedPageBreak/>
        <w:t>Segundo inquérito</w:t>
      </w:r>
      <w:r w:rsidR="005564A5">
        <w:rPr>
          <w:b/>
        </w:rPr>
        <w:t xml:space="preserve"> ou principal</w:t>
      </w:r>
      <w:r w:rsidRPr="004D55DA">
        <w:rPr>
          <w:b/>
        </w:rPr>
        <w:t xml:space="preserve"> - Portugal e Espanha</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obtidos com as metodologias de regressão, “path analysis” e SEM não permitem rejeitar o modelo de investigação de forma geral, </w:t>
      </w:r>
      <w:r w:rsidR="00732E07">
        <w:t>não permitindo rejeitar</w:t>
      </w:r>
      <w:r w:rsidRPr="004D55DA">
        <w:t xml:space="preserve"> a visão holística dos </w:t>
      </w:r>
      <w:r w:rsidR="00136906" w:rsidRPr="004D55DA">
        <w:t>fatores</w:t>
      </w:r>
      <w:r w:rsidRPr="004D55DA">
        <w:t xml:space="preserve"> que influenciam o desempenho dos terminais de contentores. </w:t>
      </w:r>
      <w:r w:rsidR="008C6D33">
        <w:t>Não permitem rejeitar</w:t>
      </w:r>
      <w:r w:rsidRPr="004D55DA">
        <w:t xml:space="preserve"> ainda a existência de diversas latentes com consistência, relativas às características do terminal.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Os resultados não permitem rejeitar a hipótese das características do terminal influenciarem o desempenho do terminal, em especial a satisfação do cliente do terminal, não se rejeitando a hipótese base do modelo de investigação. A satisfação do cliente do terminal de contentores é influenciada pelas características do terminal, as quais se refletem nos serviços marítimos do terminal, na especialização do porto em contentores, acessibilidades terrestres e organização do terminal e serviços oferecidos, e em especial no que se refere à sua integração com as cadeias logísticas.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apontam para a variável endógena do modelo </w:t>
      </w:r>
      <w:r w:rsidRPr="004D55DA">
        <w:rPr>
          <w:i/>
        </w:rPr>
        <w:t>satisfação do cliente do terminal</w:t>
      </w:r>
      <w:r w:rsidRPr="004D55DA">
        <w:t xml:space="preserve"> (AVE=0,84; </w:t>
      </w:r>
      <m:oMath>
        <m:acc>
          <m:accPr>
            <m:ctrlPr>
              <w:rPr>
                <w:rFonts w:ascii="Cambria Math" w:hAnsi="Cambria Math"/>
                <w:i/>
              </w:rPr>
            </m:ctrlPr>
          </m:accPr>
          <m:e>
            <m:r>
              <w:rPr>
                <w:rFonts w:ascii="Cambria Math" w:hAnsi="Cambria Math"/>
              </w:rPr>
              <m:t>β</m:t>
            </m:r>
          </m:e>
        </m:acc>
      </m:oMath>
      <w:r w:rsidRPr="004D55DA">
        <w:t>=0,84; R</w:t>
      </w:r>
      <w:r w:rsidRPr="004D55DA">
        <w:rPr>
          <w:vertAlign w:val="superscript"/>
        </w:rPr>
        <w:t>2</w:t>
      </w:r>
      <w:r w:rsidRPr="004D55DA">
        <w:t xml:space="preserve">=0,70) ser explicada pela variável </w:t>
      </w:r>
      <w:r w:rsidRPr="004D55DA">
        <w:rPr>
          <w:i/>
        </w:rPr>
        <w:t>características do terminal</w:t>
      </w:r>
      <w:r w:rsidRPr="004D55DA">
        <w:t xml:space="preserve">, a qual, por sua vez, se reflete nas variáveis observadas </w:t>
      </w:r>
      <w:r w:rsidRPr="004D55DA">
        <w:rPr>
          <w:i/>
        </w:rPr>
        <w:t>satisfação dos agentes de navegação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=0,86), </w:t>
      </w:r>
      <w:r w:rsidRPr="004D55DA">
        <w:rPr>
          <w:i/>
        </w:rPr>
        <w:t>satisfação do cliente armador</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=0,86) e </w:t>
      </w:r>
      <w:r w:rsidRPr="004D55DA">
        <w:rPr>
          <w:i/>
        </w:rPr>
        <w:t>satisfação do dono da carga/cadeias logísticas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=0,87).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demonstram a existência de uma característica latente </w:t>
      </w:r>
      <w:r w:rsidRPr="004D55DA">
        <w:rPr>
          <w:i/>
        </w:rPr>
        <w:t>acessibilidade terrestre</w:t>
      </w:r>
      <w:r w:rsidRPr="004D55DA">
        <w:t xml:space="preserve"> (AVE=0,67; </w:t>
      </w:r>
      <m:oMath>
        <m:acc>
          <m:accPr>
            <m:ctrlPr>
              <w:rPr>
                <w:rFonts w:ascii="Cambria Math" w:hAnsi="Cambria Math"/>
                <w:i/>
              </w:rPr>
            </m:ctrlPr>
          </m:accPr>
          <m:e>
            <m:r>
              <w:rPr>
                <w:rFonts w:ascii="Cambria Math" w:hAnsi="Cambria Math"/>
              </w:rPr>
              <m:t>β</m:t>
            </m:r>
          </m:e>
        </m:acc>
      </m:oMath>
      <w:r w:rsidRPr="004D55DA">
        <w:t xml:space="preserve">=0,70) que se reflete nas variáveis observadas </w:t>
      </w:r>
      <w:r w:rsidRPr="004D55DA">
        <w:rPr>
          <w:i/>
        </w:rPr>
        <w:t>acessibilidades ferroviárias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=0,82), </w:t>
      </w:r>
      <w:r w:rsidRPr="004D55DA">
        <w:rPr>
          <w:i/>
        </w:rPr>
        <w:t>acessibilidades rodoviárias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=0,72), </w:t>
      </w:r>
      <w:r w:rsidRPr="004D55DA">
        <w:rPr>
          <w:i/>
        </w:rPr>
        <w:t>largura do terrapleno</w:t>
      </w:r>
      <w:r w:rsidRPr="004D55DA">
        <w:t xml:space="preserve"> (</w:t>
      </w:r>
      <m:oMath>
        <m:acc>
          <m:accPr>
            <m:ctrlPr>
              <w:rPr>
                <w:rFonts w:ascii="Cambria Math" w:hAnsi="Cambria Math"/>
                <w:i/>
              </w:rPr>
            </m:ctrlPr>
          </m:accPr>
          <m:e>
            <m:r>
              <w:rPr>
                <w:rFonts w:ascii="Cambria Math" w:hAnsi="Cambria Math"/>
              </w:rPr>
              <m:t>β</m:t>
            </m:r>
          </m:e>
        </m:acc>
      </m:oMath>
      <w:r w:rsidRPr="004D55DA">
        <w:t>=0,67), “</w:t>
      </w:r>
      <w:r w:rsidR="00136906">
        <w:rPr>
          <w:i/>
        </w:rPr>
        <w:t>layout</w:t>
      </w:r>
      <w:r w:rsidRPr="004D55DA">
        <w:rPr>
          <w:i/>
        </w:rPr>
        <w:t>”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=0,70), </w:t>
      </w:r>
      <w:r w:rsidRPr="004D55DA">
        <w:rPr>
          <w:i/>
        </w:rPr>
        <w:t>ligações ferroviárias a terminais de segunda linha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=0,71) e </w:t>
      </w:r>
      <w:r w:rsidRPr="004D55DA">
        <w:rPr>
          <w:i/>
        </w:rPr>
        <w:t>áreas logísticas junto ao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=0,80), demonstrando a importância das infraestruturas terrestres adequadas para a satisfação do cliente, em especial as acessibilidades terrestres quando o objectivo é alargar o “hinterland” e contribuir para rentabilizar os investimentos no terminal. </w:t>
      </w:r>
    </w:p>
    <w:p w:rsidR="00104A12" w:rsidRPr="004D55DA" w:rsidRDefault="00104A12" w:rsidP="007F7964">
      <w:pPr>
        <w:spacing w:line="360" w:lineRule="auto"/>
        <w:jc w:val="both"/>
      </w:pPr>
    </w:p>
    <w:p w:rsidR="008D4541" w:rsidRDefault="00104A12" w:rsidP="007F7964">
      <w:pPr>
        <w:spacing w:line="360" w:lineRule="auto"/>
        <w:jc w:val="both"/>
      </w:pPr>
      <w:r w:rsidRPr="004D55DA">
        <w:t xml:space="preserve">Os resultados apontam ainda para a existência de uma característica latente </w:t>
      </w:r>
      <w:r w:rsidRPr="004D55DA">
        <w:rPr>
          <w:i/>
        </w:rPr>
        <w:t>especialização do porto</w:t>
      </w:r>
      <w:r w:rsidRPr="004D55DA">
        <w:t xml:space="preserve"> (AVE=0,60; </w:t>
      </w:r>
      <m:oMath>
        <m:acc>
          <m:accPr>
            <m:ctrlPr>
              <w:rPr>
                <w:rFonts w:ascii="Cambria Math" w:hAnsi="Cambria Math"/>
                <w:i/>
              </w:rPr>
            </m:ctrlPr>
          </m:accPr>
          <m:e>
            <m:r>
              <w:rPr>
                <w:rFonts w:ascii="Cambria Math" w:hAnsi="Cambria Math"/>
              </w:rPr>
              <m:t>β</m:t>
            </m:r>
          </m:e>
        </m:acc>
      </m:oMath>
      <w:r w:rsidRPr="004D55DA">
        <w:t xml:space="preserve">=0,64) que se reflete nas variáveis observadas </w:t>
      </w:r>
      <w:r w:rsidRPr="004D55DA">
        <w:rPr>
          <w:i/>
        </w:rPr>
        <w:t xml:space="preserve">especialização do porto em contentores </w:t>
      </w:r>
      <w:r w:rsidRPr="004D55DA">
        <w:t>(</w:t>
      </w:r>
      <m:oMath>
        <m:acc>
          <m:accPr>
            <m:ctrlPr>
              <w:rPr>
                <w:rFonts w:ascii="Cambria Math" w:hAnsi="Cambria Math"/>
                <w:i/>
              </w:rPr>
            </m:ctrlPr>
          </m:accPr>
          <m:e>
            <m:r>
              <w:rPr>
                <w:rFonts w:ascii="Cambria Math" w:hAnsi="Cambria Math"/>
              </w:rPr>
              <m:t>β</m:t>
            </m:r>
          </m:e>
        </m:acc>
      </m:oMath>
      <w:r w:rsidRPr="004D55DA">
        <w:t xml:space="preserve">=0,83) e </w:t>
      </w:r>
      <w:r w:rsidRPr="004D55DA">
        <w:rPr>
          <w:i/>
        </w:rPr>
        <w:t xml:space="preserve">frequência dos serviços marítimos de “shortsea-shipping” e </w:t>
      </w:r>
      <w:r w:rsidRPr="004D55DA">
        <w:rPr>
          <w:i/>
        </w:rPr>
        <w:lastRenderedPageBreak/>
        <w:t>“feeder” ao porto</w:t>
      </w:r>
      <w:r w:rsidRPr="004D55DA">
        <w:t xml:space="preserve"> (</w:t>
      </w:r>
      <m:oMath>
        <m:acc>
          <m:accPr>
            <m:ctrlPr>
              <w:rPr>
                <w:rFonts w:ascii="Cambria Math" w:hAnsi="Cambria Math"/>
                <w:i/>
              </w:rPr>
            </m:ctrlPr>
          </m:accPr>
          <m:e>
            <m:r>
              <w:rPr>
                <w:rFonts w:ascii="Cambria Math" w:hAnsi="Cambria Math"/>
              </w:rPr>
              <m:t>β</m:t>
            </m:r>
          </m:e>
        </m:acc>
      </m:oMath>
      <w:r w:rsidRPr="004D55DA">
        <w:t>=0,64), demonstrando a importância da especialização como factor de escolha, nomeadamente a taxa de contentorização</w:t>
      </w:r>
      <w:r w:rsidR="00015B88">
        <w: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Foi encontrado o constructo </w:t>
      </w:r>
      <w:r w:rsidRPr="004D55DA">
        <w:rPr>
          <w:i/>
        </w:rPr>
        <w:t>serviços marítimos do terminal</w:t>
      </w:r>
      <w:r w:rsidRPr="004D55DA">
        <w:t xml:space="preserve"> (AVE=0,76; </w:t>
      </w:r>
      <m:oMath>
        <m:acc>
          <m:accPr>
            <m:ctrlPr>
              <w:rPr>
                <w:rFonts w:ascii="Cambria Math" w:hAnsi="Cambria Math"/>
                <w:i/>
              </w:rPr>
            </m:ctrlPr>
          </m:accPr>
          <m:e>
            <m:r>
              <w:rPr>
                <w:rFonts w:ascii="Cambria Math" w:hAnsi="Cambria Math"/>
              </w:rPr>
              <m:t>β</m:t>
            </m:r>
          </m:e>
        </m:acc>
      </m:oMath>
      <w:r w:rsidRPr="004D55DA">
        <w:t xml:space="preserve">=0,57) que se reflete nas variáveis observadas </w:t>
      </w:r>
      <w:r w:rsidRPr="004D55DA">
        <w:rPr>
          <w:i/>
        </w:rPr>
        <w:t>acesso marítimo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=0,75), </w:t>
      </w:r>
      <w:r w:rsidRPr="004D55DA">
        <w:rPr>
          <w:i/>
        </w:rPr>
        <w:t>dimensão dos navios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=0,95) e </w:t>
      </w:r>
      <w:r w:rsidRPr="004D55DA">
        <w:rPr>
          <w:i/>
        </w:rPr>
        <w:t>frequência de linhas do TOP10 dos armadores mundiais</w:t>
      </w:r>
      <w:r w:rsidRPr="004D55DA">
        <w:t xml:space="preserve"> (</w:t>
      </w:r>
      <m:oMath>
        <m:acc>
          <m:accPr>
            <m:ctrlPr>
              <w:rPr>
                <w:rFonts w:ascii="Cambria Math" w:hAnsi="Cambria Math"/>
                <w:i/>
              </w:rPr>
            </m:ctrlPr>
          </m:accPr>
          <m:e>
            <m:r>
              <w:rPr>
                <w:rFonts w:ascii="Cambria Math" w:hAnsi="Cambria Math"/>
              </w:rPr>
              <m:t>β</m:t>
            </m:r>
          </m:e>
        </m:acc>
      </m:oMath>
      <w:r w:rsidRPr="004D55DA">
        <w:t>=0,80), demonstrando a importância de uma maior frequência dos navios de linha, em especial de linhas de grande</w:t>
      </w:r>
      <w:r w:rsidR="00136906">
        <w:t>s</w:t>
      </w:r>
      <w:r w:rsidRPr="004D55DA">
        <w:t xml:space="preserve"> armadores mundiais, na escolha do terminal pelos carregadores, levando a maior satisfação do cliente. </w:t>
      </w:r>
    </w:p>
    <w:p w:rsidR="00104A12" w:rsidRPr="004D55DA" w:rsidRDefault="00104A12" w:rsidP="007F7964">
      <w:pPr>
        <w:spacing w:line="360" w:lineRule="auto"/>
        <w:jc w:val="both"/>
      </w:pPr>
    </w:p>
    <w:p w:rsidR="00104A12" w:rsidRPr="004D55DA" w:rsidRDefault="00104A12" w:rsidP="008D4541">
      <w:pPr>
        <w:spacing w:line="360" w:lineRule="auto"/>
        <w:jc w:val="both"/>
      </w:pPr>
      <w:r w:rsidRPr="004D55DA">
        <w:t xml:space="preserve">O constructo </w:t>
      </w:r>
      <w:r w:rsidRPr="004D55DA">
        <w:rPr>
          <w:i/>
        </w:rPr>
        <w:t>integração logística e organização do terminal</w:t>
      </w:r>
      <w:r w:rsidRPr="004D55DA">
        <w:t xml:space="preserve"> </w:t>
      </w:r>
      <w:r w:rsidR="00136906" w:rsidRPr="004D55DA">
        <w:t>surgem</w:t>
      </w:r>
      <w:r w:rsidRPr="004D55DA">
        <w:t xml:space="preserve"> como importante característica do terminal (AVE=0,75; </w:t>
      </w:r>
      <m:oMath>
        <m:acc>
          <m:accPr>
            <m:ctrlPr>
              <w:rPr>
                <w:rFonts w:ascii="Cambria Math" w:hAnsi="Cambria Math"/>
                <w:i/>
              </w:rPr>
            </m:ctrlPr>
          </m:accPr>
          <m:e>
            <m:r>
              <w:rPr>
                <w:rFonts w:ascii="Cambria Math" w:hAnsi="Cambria Math"/>
              </w:rPr>
              <m:t>β</m:t>
            </m:r>
          </m:e>
        </m:acc>
      </m:oMath>
      <w:r w:rsidRPr="004D55DA">
        <w:t xml:space="preserve">=0,92) que se reflete nas variáveis observadas </w:t>
      </w:r>
      <w:r w:rsidRPr="004D55DA">
        <w:rPr>
          <w:i/>
        </w:rPr>
        <w:t xml:space="preserve">imagem do terminal </w:t>
      </w:r>
      <w:r w:rsidRPr="004D55DA">
        <w:t>(</w:t>
      </w:r>
      <m:oMath>
        <m:acc>
          <m:accPr>
            <m:ctrlPr>
              <w:rPr>
                <w:rFonts w:ascii="Cambria Math" w:hAnsi="Cambria Math"/>
                <w:i/>
              </w:rPr>
            </m:ctrlPr>
          </m:accPr>
          <m:e>
            <m:r>
              <w:rPr>
                <w:rFonts w:ascii="Cambria Math" w:hAnsi="Cambria Math"/>
              </w:rPr>
              <m:t>β</m:t>
            </m:r>
          </m:e>
        </m:acc>
      </m:oMath>
      <w:r w:rsidRPr="004D55DA">
        <w:t>=0,86)</w:t>
      </w:r>
      <w:r w:rsidRPr="004D55DA">
        <w:rPr>
          <w:i/>
        </w:rPr>
        <w:t xml:space="preserve">, tipo de gestor do terminal </w:t>
      </w:r>
      <w:r w:rsidRPr="004D55DA">
        <w:t>(</w:t>
      </w:r>
      <m:oMath>
        <m:acc>
          <m:accPr>
            <m:ctrlPr>
              <w:rPr>
                <w:rFonts w:ascii="Cambria Math" w:hAnsi="Cambria Math"/>
                <w:i/>
              </w:rPr>
            </m:ctrlPr>
          </m:accPr>
          <m:e>
            <m:r>
              <w:rPr>
                <w:rFonts w:ascii="Cambria Math" w:hAnsi="Cambria Math"/>
              </w:rPr>
              <m:t>β</m:t>
            </m:r>
          </m:e>
        </m:acc>
      </m:oMath>
      <w:r w:rsidRPr="004D55DA">
        <w:t>=0,76),</w:t>
      </w:r>
      <w:r w:rsidRPr="004D55DA">
        <w:rPr>
          <w:i/>
        </w:rPr>
        <w:t xml:space="preserve"> qualidade geral dos serviços </w:t>
      </w:r>
      <w:r w:rsidRPr="004D55DA">
        <w:t>(</w:t>
      </w:r>
      <m:oMath>
        <m:acc>
          <m:accPr>
            <m:ctrlPr>
              <w:rPr>
                <w:rFonts w:ascii="Cambria Math" w:hAnsi="Cambria Math"/>
                <w:i/>
              </w:rPr>
            </m:ctrlPr>
          </m:accPr>
          <m:e>
            <m:r>
              <w:rPr>
                <w:rFonts w:ascii="Cambria Math" w:hAnsi="Cambria Math"/>
              </w:rPr>
              <m:t>β</m:t>
            </m:r>
          </m:e>
        </m:acc>
      </m:oMath>
      <w:r w:rsidRPr="004D55DA">
        <w:t>=0,89),</w:t>
      </w:r>
      <w:r w:rsidRPr="004D55DA">
        <w:rPr>
          <w:i/>
        </w:rPr>
        <w:t xml:space="preserve"> orientação do terminal para o cliente </w:t>
      </w:r>
      <w:r w:rsidRPr="004D55DA">
        <w:t>(</w:t>
      </w:r>
      <m:oMath>
        <m:acc>
          <m:accPr>
            <m:ctrlPr>
              <w:rPr>
                <w:rFonts w:ascii="Cambria Math" w:hAnsi="Cambria Math"/>
                <w:i/>
              </w:rPr>
            </m:ctrlPr>
          </m:accPr>
          <m:e>
            <m:r>
              <w:rPr>
                <w:rFonts w:ascii="Cambria Math" w:hAnsi="Cambria Math"/>
              </w:rPr>
              <m:t>β</m:t>
            </m:r>
          </m:e>
        </m:acc>
      </m:oMath>
      <w:r w:rsidRPr="004D55DA">
        <w:t>=0,77),</w:t>
      </w:r>
      <w:r w:rsidRPr="004D55DA">
        <w:rPr>
          <w:i/>
        </w:rPr>
        <w:t xml:space="preserve"> organização do terminal </w:t>
      </w:r>
      <w:r w:rsidRPr="004D55DA">
        <w:t>(</w:t>
      </w:r>
      <m:oMath>
        <m:acc>
          <m:accPr>
            <m:ctrlPr>
              <w:rPr>
                <w:rFonts w:ascii="Cambria Math" w:hAnsi="Cambria Math"/>
                <w:i/>
              </w:rPr>
            </m:ctrlPr>
          </m:accPr>
          <m:e>
            <m:r>
              <w:rPr>
                <w:rFonts w:ascii="Cambria Math" w:hAnsi="Cambria Math"/>
              </w:rPr>
              <m:t>β</m:t>
            </m:r>
          </m:e>
        </m:acc>
      </m:oMath>
      <w:r w:rsidRPr="004D55DA">
        <w:t>=0,71),</w:t>
      </w:r>
      <w:r w:rsidRPr="004D55DA">
        <w:rPr>
          <w:i/>
        </w:rPr>
        <w:t xml:space="preserve"> sistema de informações </w:t>
      </w:r>
      <w:r w:rsidRPr="004D55DA">
        <w:t>(</w:t>
      </w:r>
      <m:oMath>
        <m:acc>
          <m:accPr>
            <m:ctrlPr>
              <w:rPr>
                <w:rFonts w:ascii="Cambria Math" w:hAnsi="Cambria Math"/>
                <w:i/>
              </w:rPr>
            </m:ctrlPr>
          </m:accPr>
          <m:e>
            <m:r>
              <w:rPr>
                <w:rFonts w:ascii="Cambria Math" w:hAnsi="Cambria Math"/>
              </w:rPr>
              <m:t>β</m:t>
            </m:r>
          </m:e>
        </m:acc>
      </m:oMath>
      <w:r w:rsidRPr="004D55DA">
        <w:t>=0,75),</w:t>
      </w:r>
      <w:r w:rsidRPr="004D55DA">
        <w:rPr>
          <w:i/>
        </w:rPr>
        <w:t xml:space="preserve"> agilidade face a alterações </w:t>
      </w:r>
      <w:r w:rsidRPr="004D55DA">
        <w:t>(</w:t>
      </w:r>
      <m:oMath>
        <m:acc>
          <m:accPr>
            <m:ctrlPr>
              <w:rPr>
                <w:rFonts w:ascii="Cambria Math" w:hAnsi="Cambria Math"/>
                <w:i/>
              </w:rPr>
            </m:ctrlPr>
          </m:accPr>
          <m:e>
            <m:r>
              <w:rPr>
                <w:rFonts w:ascii="Cambria Math" w:hAnsi="Cambria Math"/>
              </w:rPr>
              <m:t>β</m:t>
            </m:r>
          </m:e>
        </m:acc>
      </m:oMath>
      <w:r w:rsidRPr="004D55DA">
        <w:t>=0,82),</w:t>
      </w:r>
      <w:r w:rsidRPr="004D55DA">
        <w:rPr>
          <w:i/>
        </w:rPr>
        <w:t xml:space="preserve"> flexibilidade operacional e comercial </w:t>
      </w:r>
      <w:r w:rsidRPr="004D55DA">
        <w:t>(</w:t>
      </w:r>
      <m:oMath>
        <m:acc>
          <m:accPr>
            <m:ctrlPr>
              <w:rPr>
                <w:rFonts w:ascii="Cambria Math" w:hAnsi="Cambria Math"/>
                <w:i/>
              </w:rPr>
            </m:ctrlPr>
          </m:accPr>
          <m:e>
            <m:r>
              <w:rPr>
                <w:rFonts w:ascii="Cambria Math" w:hAnsi="Cambria Math"/>
              </w:rPr>
              <m:t>β</m:t>
            </m:r>
          </m:e>
        </m:acc>
      </m:oMath>
      <w:r w:rsidRPr="004D55DA">
        <w:t>=0,71),</w:t>
      </w:r>
      <w:r w:rsidRPr="004D55DA">
        <w:rPr>
          <w:i/>
        </w:rPr>
        <w:t xml:space="preserve"> fiabilidade do terminal </w:t>
      </w:r>
      <w:r w:rsidRPr="004D55DA">
        <w:t>(</w:t>
      </w:r>
      <m:oMath>
        <m:acc>
          <m:accPr>
            <m:ctrlPr>
              <w:rPr>
                <w:rFonts w:ascii="Cambria Math" w:hAnsi="Cambria Math"/>
                <w:i/>
              </w:rPr>
            </m:ctrlPr>
          </m:accPr>
          <m:e>
            <m:r>
              <w:rPr>
                <w:rFonts w:ascii="Cambria Math" w:hAnsi="Cambria Math"/>
              </w:rPr>
              <m:t>β</m:t>
            </m:r>
          </m:e>
        </m:acc>
      </m:oMath>
      <w:r w:rsidRPr="004D55DA">
        <w:t xml:space="preserve">=0,90), </w:t>
      </w:r>
      <w:r w:rsidRPr="004D55DA">
        <w:rPr>
          <w:i/>
        </w:rPr>
        <w:t xml:space="preserve">tempo de operação dos navios </w:t>
      </w:r>
      <w:r w:rsidRPr="004D55DA">
        <w:t>(</w:t>
      </w:r>
      <m:oMath>
        <m:acc>
          <m:accPr>
            <m:ctrlPr>
              <w:rPr>
                <w:rFonts w:ascii="Cambria Math" w:hAnsi="Cambria Math"/>
                <w:i/>
              </w:rPr>
            </m:ctrlPr>
          </m:accPr>
          <m:e>
            <m:r>
              <w:rPr>
                <w:rFonts w:ascii="Cambria Math" w:hAnsi="Cambria Math"/>
              </w:rPr>
              <m:t>β</m:t>
            </m:r>
          </m:e>
        </m:acc>
      </m:oMath>
      <w:r w:rsidRPr="004D55DA">
        <w:t>=0,88),</w:t>
      </w:r>
      <w:r w:rsidRPr="004D55DA">
        <w:rPr>
          <w:i/>
        </w:rPr>
        <w:t xml:space="preserve"> tempo de espera dos navios </w:t>
      </w:r>
      <w:r w:rsidRPr="004D55DA">
        <w:t>(</w:t>
      </w:r>
      <m:oMath>
        <m:acc>
          <m:accPr>
            <m:ctrlPr>
              <w:rPr>
                <w:rFonts w:ascii="Cambria Math" w:hAnsi="Cambria Math"/>
                <w:i/>
              </w:rPr>
            </m:ctrlPr>
          </m:accPr>
          <m:e>
            <m:r>
              <w:rPr>
                <w:rFonts w:ascii="Cambria Math" w:hAnsi="Cambria Math"/>
              </w:rPr>
              <m:t>β</m:t>
            </m:r>
          </m:e>
        </m:acc>
      </m:oMath>
      <w:r w:rsidRPr="004D55DA">
        <w:t>=0,83),</w:t>
      </w:r>
      <w:r w:rsidRPr="004D55DA">
        <w:rPr>
          <w:i/>
        </w:rPr>
        <w:t xml:space="preserve"> integração do terminal nas cadeias logísticas </w:t>
      </w:r>
      <w:r w:rsidRPr="004D55DA">
        <w:t>(</w:t>
      </w:r>
      <m:oMath>
        <m:acc>
          <m:accPr>
            <m:ctrlPr>
              <w:rPr>
                <w:rFonts w:ascii="Cambria Math" w:hAnsi="Cambria Math"/>
                <w:i/>
              </w:rPr>
            </m:ctrlPr>
          </m:accPr>
          <m:e>
            <m:r>
              <w:rPr>
                <w:rFonts w:ascii="Cambria Math" w:hAnsi="Cambria Math"/>
              </w:rPr>
              <m:t>β</m:t>
            </m:r>
          </m:e>
        </m:acc>
      </m:oMath>
      <w:r w:rsidRPr="004D55DA">
        <w:t>=0,66)</w:t>
      </w:r>
      <w:r w:rsidRPr="004D55DA">
        <w:rPr>
          <w:i/>
        </w:rPr>
        <w:t xml:space="preserve"> e tarifa de handling do terminal</w:t>
      </w:r>
      <w:r w:rsidRPr="004D55DA">
        <w:t xml:space="preserve"> (</w:t>
      </w:r>
      <m:oMath>
        <m:acc>
          <m:accPr>
            <m:ctrlPr>
              <w:rPr>
                <w:rFonts w:ascii="Cambria Math" w:hAnsi="Cambria Math"/>
                <w:i/>
              </w:rPr>
            </m:ctrlPr>
          </m:accPr>
          <m:e>
            <m:r>
              <w:rPr>
                <w:rFonts w:ascii="Cambria Math" w:hAnsi="Cambria Math"/>
              </w:rPr>
              <m:t>β</m:t>
            </m:r>
          </m:e>
        </m:acc>
      </m:oMath>
      <w:r w:rsidRPr="004D55DA">
        <w:t>=0,63), demonstrando a importância dos portos enquanto elos das cadeias lo</w:t>
      </w:r>
      <w:r w:rsidR="00015B88">
        <w:t>gísticas para o seu desempenho.</w:t>
      </w:r>
      <w:r w:rsidRPr="004D55DA">
        <w:t xml:space="preserv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do modelo formativo de equações estruturais </w:t>
      </w:r>
      <w:r w:rsidR="008C6D33">
        <w:t>não permitem rejeitar</w:t>
      </w:r>
      <w:r w:rsidRPr="004D55DA">
        <w:t xml:space="preserve"> igualmente a forte relação entre as características do terminal e o desempenho do terminal de contentores, em especial no que se refere à </w:t>
      </w:r>
      <w:r w:rsidRPr="004D55DA">
        <w:rPr>
          <w:i/>
        </w:rPr>
        <w:t>satisfação do cliente</w:t>
      </w:r>
      <w:r w:rsidRPr="004D55DA">
        <w:t xml:space="preserve"> (R</w:t>
      </w:r>
      <w:r w:rsidRPr="004D55DA">
        <w:rPr>
          <w:vertAlign w:val="superscript"/>
        </w:rPr>
        <w:t>2</w:t>
      </w:r>
      <w:r w:rsidRPr="004D55DA">
        <w:t>=0,66), incluindo variável Governação do terminal como relevante para o modelo explicativo (</w:t>
      </w:r>
      <m:oMath>
        <m:acc>
          <m:accPr>
            <m:ctrlPr>
              <w:rPr>
                <w:rFonts w:ascii="Cambria Math" w:hAnsi="Cambria Math"/>
                <w:i/>
              </w:rPr>
            </m:ctrlPr>
          </m:accPr>
          <m:e>
            <m:r>
              <w:rPr>
                <w:rFonts w:ascii="Cambria Math" w:hAnsi="Cambria Math"/>
              </w:rPr>
              <m:t>β</m:t>
            </m:r>
          </m:e>
        </m:acc>
      </m:oMath>
      <w:r w:rsidRPr="004D55DA">
        <w:t>=0,45), o que é uma novidade face aos resultados da análise confirmatória do SEM.</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Já os resultados da análise para cada uma das variáveis dependentes separadamente, através das metodologias regressão linear e “path analysis”, permitem uma visão mais fina das relações, </w:t>
      </w:r>
      <w:r w:rsidR="00732E07">
        <w:t>não permitindo rejeitar</w:t>
      </w:r>
      <w:r w:rsidRPr="004D55DA">
        <w:t xml:space="preserve"> igualmente as hipóteses do modelo, embora não para todas as variáveis dependentes de igual forma.</w:t>
      </w:r>
    </w:p>
    <w:p w:rsidR="00104A12" w:rsidRDefault="00104A12" w:rsidP="007F7964">
      <w:pPr>
        <w:spacing w:line="360" w:lineRule="auto"/>
        <w:jc w:val="both"/>
      </w:pPr>
    </w:p>
    <w:p w:rsidR="00B124D8" w:rsidRDefault="00B124D8" w:rsidP="007F7964">
      <w:pPr>
        <w:spacing w:line="360" w:lineRule="auto"/>
        <w:jc w:val="both"/>
      </w:pPr>
    </w:p>
    <w:p w:rsidR="00B124D8" w:rsidRPr="004D55DA" w:rsidRDefault="00B124D8" w:rsidP="007F7964">
      <w:pPr>
        <w:spacing w:line="360" w:lineRule="auto"/>
        <w:jc w:val="both"/>
      </w:pPr>
    </w:p>
    <w:p w:rsidR="00104A12" w:rsidRPr="008D4541" w:rsidRDefault="00104A12" w:rsidP="007F7964">
      <w:pPr>
        <w:spacing w:line="360" w:lineRule="auto"/>
        <w:jc w:val="both"/>
        <w:rPr>
          <w:b/>
        </w:rPr>
      </w:pPr>
      <w:r w:rsidRPr="008D4541">
        <w:rPr>
          <w:b/>
        </w:rPr>
        <w:lastRenderedPageBreak/>
        <w:t>Satisfação do cliente</w:t>
      </w:r>
    </w:p>
    <w:p w:rsidR="00104A12" w:rsidRPr="004D55DA" w:rsidRDefault="00104A12" w:rsidP="007F7964">
      <w:pPr>
        <w:spacing w:line="360" w:lineRule="auto"/>
        <w:jc w:val="both"/>
      </w:pPr>
      <w:r w:rsidRPr="004D55DA">
        <w:t xml:space="preserve">Os resultados da regressão linear simples para a variável dependente </w:t>
      </w:r>
      <w:r w:rsidRPr="004D55DA">
        <w:rPr>
          <w:i/>
        </w:rPr>
        <w:t>satisfação do cliente</w:t>
      </w:r>
      <w:r w:rsidRPr="004D55DA">
        <w:t xml:space="preserve"> (R</w:t>
      </w:r>
      <w:r w:rsidRPr="004D55DA">
        <w:rPr>
          <w:vertAlign w:val="superscript"/>
        </w:rPr>
        <w:t>2</w:t>
      </w:r>
      <w:r w:rsidR="00136906">
        <w:t>=0,7046)</w:t>
      </w:r>
      <w:r w:rsidRPr="004D55DA">
        <w:t xml:space="preserve"> estão coerentes com os resultados do SEM. No caso da regressão linear, a </w:t>
      </w:r>
      <w:r w:rsidRPr="004D55DA">
        <w:rPr>
          <w:i/>
        </w:rPr>
        <w:t>satisfação do cliente</w:t>
      </w:r>
      <w:r w:rsidRPr="004D55DA">
        <w:t xml:space="preserve"> é explicada pela </w:t>
      </w:r>
      <w:r w:rsidRPr="004D55DA">
        <w:rPr>
          <w:i/>
        </w:rPr>
        <w:t>integração logística e organização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=0,675),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=0,404), </w:t>
      </w:r>
      <w:r w:rsidRPr="004D55DA">
        <w:rPr>
          <w:i/>
        </w:rPr>
        <w:t>serviços marítimos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=0,101), </w:t>
      </w:r>
      <w:r w:rsidRPr="004D55DA">
        <w:rPr>
          <w:i/>
        </w:rPr>
        <w:t>infraestrutura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=0,103) e </w:t>
      </w:r>
      <w:r w:rsidRPr="004D55DA">
        <w:rPr>
          <w:i/>
        </w:rPr>
        <w:t>especialização do porto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=0,246), mostrando o peso dos factores “hard-port”, “soft-port”, “hard-terminal” e “soft-terminal” na explicação da </w:t>
      </w:r>
      <w:r w:rsidRPr="004D55DA">
        <w:rPr>
          <w:i/>
        </w:rPr>
        <w:t>satisfação do cliente</w:t>
      </w:r>
      <w:r w:rsidRPr="004D55DA">
        <w:t xml:space="preserve">. A exceção é a </w:t>
      </w:r>
      <w:r w:rsidRPr="004D55DA">
        <w:rPr>
          <w:i/>
        </w:rPr>
        <w:t>infraestrutura do porto</w:t>
      </w:r>
      <w:r w:rsidRPr="004D55DA">
        <w:t>, que surge, de forma inesperada, com sinal negativo na regressão, mas desaparece por completo como variável significativa na “path analysis” e no SEM, o que mostra não ter importância na explicação da satisfação do cliente.</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Com base na “path analysis” (R</w:t>
      </w:r>
      <w:r w:rsidRPr="004D55DA">
        <w:rPr>
          <w:vertAlign w:val="superscript"/>
        </w:rPr>
        <w:t>2</w:t>
      </w:r>
      <w:r w:rsidRPr="004D55DA">
        <w:t xml:space="preserve">=0,69) foi possível obter ainda outros resultados, que </w:t>
      </w:r>
      <w:r w:rsidR="008C6D33">
        <w:t>não permitem rejeitar</w:t>
      </w:r>
      <w:r w:rsidRPr="004D55DA">
        <w:t xml:space="preserve"> o SEM, com as variáveis explicativas </w:t>
      </w:r>
      <w:r w:rsidRPr="004D55DA">
        <w:rPr>
          <w:i/>
        </w:rPr>
        <w:t xml:space="preserve">integração logística e organização do terminal </w:t>
      </w:r>
      <w:r w:rsidRPr="004D55DA">
        <w:t>(</w:t>
      </w:r>
      <m:oMath>
        <m:acc>
          <m:accPr>
            <m:ctrlPr>
              <w:rPr>
                <w:rFonts w:ascii="Cambria Math" w:hAnsi="Cambria Math"/>
                <w:i/>
              </w:rPr>
            </m:ctrlPr>
          </m:accPr>
          <m:e>
            <m:r>
              <w:rPr>
                <w:rFonts w:ascii="Cambria Math" w:hAnsi="Cambria Math"/>
              </w:rPr>
              <m:t>β</m:t>
            </m:r>
          </m:e>
        </m:acc>
      </m:oMath>
      <w:r w:rsidRPr="004D55DA">
        <w:t xml:space="preserve">=0,68),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=0,40), </w:t>
      </w:r>
      <w:r w:rsidRPr="004D55DA">
        <w:rPr>
          <w:i/>
        </w:rPr>
        <w:t>serviços marítimos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=0,10) e </w:t>
      </w:r>
      <w:r w:rsidRPr="004D55DA">
        <w:rPr>
          <w:i/>
        </w:rPr>
        <w:t>especialização do porto</w:t>
      </w:r>
      <w:r w:rsidRPr="004D55DA">
        <w:t xml:space="preserve"> (</w:t>
      </w:r>
      <m:oMath>
        <m:acc>
          <m:accPr>
            <m:ctrlPr>
              <w:rPr>
                <w:rFonts w:ascii="Cambria Math" w:hAnsi="Cambria Math"/>
                <w:i/>
              </w:rPr>
            </m:ctrlPr>
          </m:accPr>
          <m:e>
            <m:r>
              <w:rPr>
                <w:rFonts w:ascii="Cambria Math" w:hAnsi="Cambria Math"/>
              </w:rPr>
              <m:t>β</m:t>
            </m:r>
          </m:e>
        </m:acc>
      </m:oMath>
      <w:r w:rsidRPr="004D55DA">
        <w:t>=0,25).</w:t>
      </w:r>
    </w:p>
    <w:p w:rsidR="00104A12" w:rsidRPr="004D55DA" w:rsidRDefault="00104A12" w:rsidP="007F7964">
      <w:pPr>
        <w:spacing w:line="360" w:lineRule="auto"/>
        <w:jc w:val="both"/>
      </w:pPr>
    </w:p>
    <w:p w:rsidR="00104A12" w:rsidRPr="008D4541" w:rsidRDefault="00104A12" w:rsidP="007F7964">
      <w:pPr>
        <w:spacing w:line="360" w:lineRule="auto"/>
        <w:jc w:val="both"/>
        <w:rPr>
          <w:b/>
        </w:rPr>
      </w:pPr>
      <w:r w:rsidRPr="008D4541">
        <w:rPr>
          <w:b/>
        </w:rPr>
        <w:t>Atividade</w:t>
      </w:r>
    </w:p>
    <w:p w:rsidR="00104A12" w:rsidRDefault="00104A12" w:rsidP="007F7964">
      <w:pPr>
        <w:spacing w:line="360" w:lineRule="auto"/>
        <w:jc w:val="both"/>
      </w:pPr>
      <w:r w:rsidRPr="004D55DA">
        <w:t xml:space="preserve">Os resultados para a variável dependente </w:t>
      </w:r>
      <w:r w:rsidRPr="004D55DA">
        <w:rPr>
          <w:i/>
        </w:rPr>
        <w:t>atividade</w:t>
      </w:r>
      <w:r w:rsidRPr="004D55DA">
        <w:t xml:space="preserve"> obtêm menor grau de explicação pelas variáveis independentes do modelo de regressão linear (R</w:t>
      </w:r>
      <w:r w:rsidRPr="004D55DA">
        <w:rPr>
          <w:vertAlign w:val="superscript"/>
        </w:rPr>
        <w:t>2</w:t>
      </w:r>
      <w:r w:rsidRPr="004D55DA">
        <w:t xml:space="preserve">=0,2592), com </w:t>
      </w:r>
      <w:r w:rsidRPr="004D55DA">
        <w:rPr>
          <w:i/>
        </w:rPr>
        <w:t>a infraestrutura do porto/região</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=0,311), </w:t>
      </w:r>
      <w:r w:rsidRPr="004D55DA">
        <w:rPr>
          <w:i/>
        </w:rPr>
        <w:t>serviços marítimos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=0,338) e </w:t>
      </w:r>
      <w:r w:rsidRPr="004D55DA">
        <w:rPr>
          <w:i/>
        </w:rPr>
        <w:t xml:space="preserve">especialização do porto em contentores </w:t>
      </w:r>
      <w:r w:rsidRPr="004D55DA">
        <w:t>(</w:t>
      </w:r>
      <m:oMath>
        <m:acc>
          <m:accPr>
            <m:ctrlPr>
              <w:rPr>
                <w:rFonts w:ascii="Cambria Math" w:hAnsi="Cambria Math"/>
                <w:i/>
              </w:rPr>
            </m:ctrlPr>
          </m:accPr>
          <m:e>
            <m:r>
              <w:rPr>
                <w:rFonts w:ascii="Cambria Math" w:hAnsi="Cambria Math"/>
              </w:rPr>
              <m:t>β</m:t>
            </m:r>
          </m:e>
        </m:acc>
      </m:oMath>
      <w:r w:rsidRPr="004D55DA">
        <w:t xml:space="preserve">=0,243). </w:t>
      </w:r>
    </w:p>
    <w:p w:rsidR="008D4541" w:rsidRPr="004D55DA" w:rsidRDefault="008D4541" w:rsidP="007F7964">
      <w:pPr>
        <w:spacing w:line="360" w:lineRule="auto"/>
        <w:jc w:val="both"/>
      </w:pPr>
    </w:p>
    <w:p w:rsidR="00104A12" w:rsidRPr="004D55DA" w:rsidRDefault="00104A12" w:rsidP="007F7964">
      <w:pPr>
        <w:spacing w:line="360" w:lineRule="auto"/>
        <w:jc w:val="both"/>
      </w:pPr>
      <w:r w:rsidRPr="004D55DA">
        <w:t xml:space="preserve">Já os resultados da “path analysis” do SEM apontam como variáveis explicativas da </w:t>
      </w:r>
      <w:r w:rsidRPr="004D55DA">
        <w:rPr>
          <w:i/>
        </w:rPr>
        <w:t xml:space="preserve">atividade </w:t>
      </w:r>
      <w:r w:rsidRPr="004D55DA">
        <w:t>(R</w:t>
      </w:r>
      <w:r w:rsidRPr="004D55DA">
        <w:rPr>
          <w:vertAlign w:val="superscript"/>
        </w:rPr>
        <w:t>2</w:t>
      </w:r>
      <w:r w:rsidRPr="004D55DA">
        <w:t xml:space="preserve">=0,15), os </w:t>
      </w:r>
      <w:r w:rsidRPr="004D55DA">
        <w:rPr>
          <w:i/>
        </w:rPr>
        <w:t>serviços marítimos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=0,34) e a </w:t>
      </w:r>
      <w:r w:rsidRPr="004D55DA">
        <w:rPr>
          <w:i/>
        </w:rPr>
        <w:t>especialização do porto em contentores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=0,18), eliminando a </w:t>
      </w:r>
      <w:r w:rsidRPr="004D55DA">
        <w:rPr>
          <w:i/>
        </w:rPr>
        <w:t>infraestrutura do porto/região</w:t>
      </w:r>
      <w:r w:rsidRPr="004D55DA">
        <w:t>. Importa aqui obter a variância direta de variáveis quantitativas para analisar melhor as hipóteses do modelo.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Neste enquadramento, foram testadas diretamente as variáveis quantitativas observadas, em vez de constructos, para explicar a variância da </w:t>
      </w:r>
      <w:r w:rsidRPr="004D55DA">
        <w:rPr>
          <w:i/>
        </w:rPr>
        <w:t>atividade</w:t>
      </w:r>
      <w:r w:rsidRPr="004D55DA">
        <w:t xml:space="preserve"> do porto. Das variáveis explicativas, </w:t>
      </w:r>
      <w:r w:rsidR="00136906" w:rsidRPr="004D55DA">
        <w:t>excetuam-se</w:t>
      </w:r>
      <w:r w:rsidRPr="004D55DA">
        <w:t xml:space="preserve"> as variáveis associadas à </w:t>
      </w:r>
      <w:r w:rsidRPr="004D55DA">
        <w:rPr>
          <w:i/>
        </w:rPr>
        <w:t>infraestrutura do terminal</w:t>
      </w:r>
      <w:r w:rsidRPr="004D55DA">
        <w:t xml:space="preserve">, que possui correlação com a </w:t>
      </w:r>
      <w:r w:rsidR="00136906" w:rsidRPr="004D55DA">
        <w:rPr>
          <w:i/>
        </w:rPr>
        <w:t>atividade</w:t>
      </w:r>
      <w:r w:rsidRPr="004D55DA">
        <w:t>, mas não têm uma relação causa-efeito, tendo-se obtido elevado grau de explicação. Verificou-se que a atividade (R</w:t>
      </w:r>
      <w:r w:rsidRPr="004D55DA">
        <w:rPr>
          <w:vertAlign w:val="superscript"/>
        </w:rPr>
        <w:t>2</w:t>
      </w:r>
      <w:r w:rsidRPr="004D55DA">
        <w:t xml:space="preserve">=0,80) é explicada pelo </w:t>
      </w:r>
      <w:r w:rsidRPr="004D55DA">
        <w:rPr>
          <w:i/>
        </w:rPr>
        <w:t>PIB da região</w:t>
      </w:r>
      <w:r w:rsidRPr="004D55DA">
        <w:t>, como variável “position-port” (</w:t>
      </w:r>
      <m:oMath>
        <m:acc>
          <m:accPr>
            <m:ctrlPr>
              <w:rPr>
                <w:rFonts w:ascii="Cambria Math" w:hAnsi="Cambria Math"/>
                <w:i/>
              </w:rPr>
            </m:ctrlPr>
          </m:accPr>
          <m:e>
            <m:r>
              <w:rPr>
                <w:rFonts w:ascii="Cambria Math" w:hAnsi="Cambria Math"/>
              </w:rPr>
              <m:t>β</m:t>
            </m:r>
          </m:e>
        </m:acc>
      </m:oMath>
      <w:r w:rsidRPr="004D55DA">
        <w:t xml:space="preserve">=0,18), pela </w:t>
      </w:r>
      <w:r w:rsidRPr="004D55DA">
        <w:rPr>
          <w:i/>
        </w:rPr>
        <w:t>eficiência do terminal</w:t>
      </w:r>
      <w:r w:rsidRPr="004D55DA">
        <w:t xml:space="preserve">, indicador obtido através da metodologia </w:t>
      </w:r>
      <w:r w:rsidRPr="004D55DA">
        <w:lastRenderedPageBreak/>
        <w:t>“</w:t>
      </w:r>
      <w:r w:rsidR="009E2367" w:rsidRPr="004D55DA">
        <w:t>d</w:t>
      </w:r>
      <w:r w:rsidRPr="004D55DA">
        <w:t xml:space="preserve">ata </w:t>
      </w:r>
      <w:r w:rsidR="009E2367" w:rsidRPr="004D55DA">
        <w:t>e</w:t>
      </w:r>
      <w:r w:rsidRPr="004D55DA">
        <w:t xml:space="preserve">nvelopment </w:t>
      </w:r>
      <w:r w:rsidR="009E2367" w:rsidRPr="004D55DA">
        <w:t>a</w:t>
      </w:r>
      <w:r w:rsidRPr="004D55DA">
        <w:t>nalysis” (</w:t>
      </w:r>
      <m:oMath>
        <m:acc>
          <m:accPr>
            <m:ctrlPr>
              <w:rPr>
                <w:rFonts w:ascii="Cambria Math" w:hAnsi="Cambria Math"/>
                <w:i/>
              </w:rPr>
            </m:ctrlPr>
          </m:accPr>
          <m:e>
            <m:r>
              <w:rPr>
                <w:rFonts w:ascii="Cambria Math" w:hAnsi="Cambria Math"/>
              </w:rPr>
              <m:t>β</m:t>
            </m:r>
          </m:e>
        </m:acc>
      </m:oMath>
      <w:r w:rsidRPr="004D55DA">
        <w:t xml:space="preserve">=0,53) e pelo </w:t>
      </w:r>
      <w:r w:rsidRPr="004D55DA">
        <w:rPr>
          <w:i/>
        </w:rPr>
        <w:t>número de pórticos por metros linear de cais</w:t>
      </w:r>
      <w:r w:rsidRPr="004D55DA">
        <w:t>, como variável “hard-terminal” (</w:t>
      </w:r>
      <m:oMath>
        <m:acc>
          <m:accPr>
            <m:ctrlPr>
              <w:rPr>
                <w:rFonts w:ascii="Cambria Math" w:hAnsi="Cambria Math"/>
                <w:i/>
              </w:rPr>
            </m:ctrlPr>
          </m:accPr>
          <m:e>
            <m:r>
              <w:rPr>
                <w:rFonts w:ascii="Cambria Math" w:hAnsi="Cambria Math"/>
              </w:rPr>
              <m:t>β</m:t>
            </m:r>
          </m:e>
        </m:acc>
      </m:oMath>
      <w:r w:rsidRPr="004D55DA">
        <w:t xml:space="preserve">=0,57), que possui ainda influência indireta através da </w:t>
      </w:r>
      <w:r w:rsidRPr="004D55DA">
        <w:rPr>
          <w:i/>
        </w:rPr>
        <w:t>eficiência do terminal</w:t>
      </w:r>
      <w:r w:rsidRPr="004D55DA">
        <w:t xml:space="preserve"> (</w:t>
      </w:r>
      <m:oMath>
        <m:acc>
          <m:accPr>
            <m:ctrlPr>
              <w:rPr>
                <w:rFonts w:ascii="Cambria Math" w:hAnsi="Cambria Math"/>
                <w:i/>
              </w:rPr>
            </m:ctrlPr>
          </m:accPr>
          <m:e>
            <m:r>
              <w:rPr>
                <w:rFonts w:ascii="Cambria Math" w:hAnsi="Cambria Math"/>
              </w:rPr>
              <m:t>β</m:t>
            </m:r>
          </m:e>
        </m:acc>
      </m:oMath>
      <w:r w:rsidRPr="004D55DA">
        <w:t>=0,48; R</w:t>
      </w:r>
      <w:r w:rsidRPr="004D55DA">
        <w:rPr>
          <w:vertAlign w:val="superscript"/>
        </w:rPr>
        <w:t>2</w:t>
      </w:r>
      <w:r w:rsidRPr="004D55DA">
        <w:t xml:space="preserve">=0,23). </w:t>
      </w:r>
    </w:p>
    <w:p w:rsidR="005958FF" w:rsidRDefault="005958FF" w:rsidP="007F7964">
      <w:pPr>
        <w:spacing w:line="360" w:lineRule="auto"/>
        <w:jc w:val="both"/>
      </w:pPr>
    </w:p>
    <w:p w:rsidR="005958FF" w:rsidRPr="004D55DA" w:rsidRDefault="005958FF" w:rsidP="007F7964">
      <w:pPr>
        <w:spacing w:line="360" w:lineRule="auto"/>
        <w:jc w:val="both"/>
      </w:pPr>
    </w:p>
    <w:p w:rsidR="00104A12" w:rsidRPr="004D55DA" w:rsidRDefault="00104A12" w:rsidP="007F7964">
      <w:pPr>
        <w:spacing w:line="360" w:lineRule="auto"/>
        <w:jc w:val="both"/>
        <w:rPr>
          <w:b/>
        </w:rPr>
      </w:pPr>
      <w:r w:rsidRPr="004D55DA">
        <w:rPr>
          <w:b/>
        </w:rPr>
        <w:t>Segundo inquérito - Europa</w:t>
      </w:r>
    </w:p>
    <w:p w:rsidR="00104A12" w:rsidRPr="004D55DA" w:rsidRDefault="00104A12" w:rsidP="007F7964">
      <w:pPr>
        <w:spacing w:line="360" w:lineRule="auto"/>
        <w:jc w:val="both"/>
        <w:rPr>
          <w:sz w:val="18"/>
        </w:rPr>
      </w:pPr>
    </w:p>
    <w:p w:rsidR="00104A12" w:rsidRPr="004D55DA" w:rsidRDefault="00104A12" w:rsidP="007F7964">
      <w:pPr>
        <w:spacing w:line="360" w:lineRule="auto"/>
        <w:jc w:val="both"/>
      </w:pPr>
      <w:r w:rsidRPr="004D55DA">
        <w:t xml:space="preserve">No caso do segundo inquérito, realizado no âmbito geográfico europeu, não foi possível efetuar a análise SEM com modelo reflexivo devido ao reduzido número de observações da amostra obtida, embora tenha sido possível testar um modelo formativo com as latentes resultantes da </w:t>
      </w:r>
      <w:r w:rsidR="00136906" w:rsidRPr="004D55DA">
        <w:t>fatorial</w:t>
      </w:r>
      <w:r w:rsidRPr="004D55DA">
        <w:t>, devido ao menor número de variáveis. Os resultados estão patentes no quadro XX.</w:t>
      </w:r>
    </w:p>
    <w:p w:rsidR="00104A12" w:rsidRPr="004D55DA" w:rsidRDefault="00104A12" w:rsidP="007F7964">
      <w:pPr>
        <w:spacing w:line="360" w:lineRule="auto"/>
        <w:jc w:val="both"/>
      </w:pPr>
    </w:p>
    <w:p w:rsidR="00104A12" w:rsidRDefault="00104A12" w:rsidP="007F7964">
      <w:pPr>
        <w:spacing w:line="360" w:lineRule="auto"/>
        <w:jc w:val="both"/>
      </w:pPr>
      <w:r w:rsidRPr="004D55DA">
        <w:t xml:space="preserve">Do modelo formativo foi possível concluir que a </w:t>
      </w:r>
      <w:r w:rsidRPr="004D55DA">
        <w:rPr>
          <w:i/>
        </w:rPr>
        <w:t>satisfação do cliente do terminal</w:t>
      </w:r>
      <w:r w:rsidRPr="004D55DA">
        <w:t xml:space="preserve"> de contentores é explicada (R</w:t>
      </w:r>
      <w:r w:rsidRPr="004D55DA">
        <w:rPr>
          <w:vertAlign w:val="superscript"/>
        </w:rPr>
        <w:t>2</w:t>
      </w:r>
      <w:r w:rsidRPr="004D55DA">
        <w:t xml:space="preserve">=0,71) pela </w:t>
      </w:r>
      <w:r w:rsidRPr="004D55DA">
        <w:rPr>
          <w:i/>
        </w:rPr>
        <w:t>integração logística e organização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=0,78),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=0,22), </w:t>
      </w:r>
      <w:r w:rsidRPr="004D55DA">
        <w:rPr>
          <w:i/>
        </w:rPr>
        <w:t>localização na Europa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=0,14) e </w:t>
      </w:r>
      <w:r w:rsidRPr="004D55DA">
        <w:rPr>
          <w:i/>
        </w:rPr>
        <w:t xml:space="preserve">serviços marítimos do terminal </w:t>
      </w:r>
      <w:r w:rsidRPr="004D55DA">
        <w:t>(</w:t>
      </w:r>
      <m:oMath>
        <m:acc>
          <m:accPr>
            <m:ctrlPr>
              <w:rPr>
                <w:rFonts w:ascii="Cambria Math" w:hAnsi="Cambria Math"/>
                <w:i/>
              </w:rPr>
            </m:ctrlPr>
          </m:accPr>
          <m:e>
            <m:r>
              <w:rPr>
                <w:rFonts w:ascii="Cambria Math" w:hAnsi="Cambria Math"/>
              </w:rPr>
              <m:t>β</m:t>
            </m:r>
          </m:e>
        </m:acc>
      </m:oMath>
      <w:r w:rsidRPr="004D55DA">
        <w:t xml:space="preserve">=0,20), o que vem ao encontro das conclusões resultantes do segundo inquérito para Portugal e Espanha, mantendo-se como principal factor explicativo a </w:t>
      </w:r>
      <w:r w:rsidRPr="004D55DA">
        <w:rPr>
          <w:i/>
        </w:rPr>
        <w:t>integração logística e organização do terminal</w:t>
      </w:r>
      <w:r w:rsidRPr="004D55DA">
        <w:t xml:space="preserve">, assim como as </w:t>
      </w:r>
      <w:r w:rsidRPr="004D55DA">
        <w:rPr>
          <w:i/>
        </w:rPr>
        <w:t>acessibilidades terrestres e os serviços marítimos</w:t>
      </w:r>
      <w:r w:rsidRPr="004D55DA">
        <w:t xml:space="preserve">. Já os </w:t>
      </w:r>
      <w:r w:rsidR="00136906" w:rsidRPr="004D55DA">
        <w:t>fatores</w:t>
      </w:r>
      <w:r w:rsidRPr="004D55DA">
        <w:t xml:space="preserve"> </w:t>
      </w:r>
      <w:r w:rsidRPr="004D55DA">
        <w:rPr>
          <w:i/>
        </w:rPr>
        <w:t>governação do terminal e especialização do porto</w:t>
      </w:r>
      <w:r w:rsidRPr="004D55DA">
        <w:t xml:space="preserve"> são substituídos pela </w:t>
      </w:r>
      <w:r w:rsidRPr="004D55DA">
        <w:rPr>
          <w:i/>
        </w:rPr>
        <w:t>localização na Europa</w:t>
      </w:r>
      <w:r w:rsidRPr="004D55DA">
        <w:t xml:space="preserve">, como factor marginal, mostrando a importância do </w:t>
      </w:r>
      <w:r w:rsidRPr="004D55DA">
        <w:rPr>
          <w:i/>
        </w:rPr>
        <w:t>PIB da região</w:t>
      </w:r>
      <w:r w:rsidRPr="004D55DA">
        <w:t xml:space="preserve"> da Europa, </w:t>
      </w:r>
      <w:r w:rsidRPr="004D55DA">
        <w:rPr>
          <w:i/>
        </w:rPr>
        <w:t>distância ao centro da Europa</w:t>
      </w:r>
      <w:r w:rsidRPr="004D55DA">
        <w:t xml:space="preserve"> e </w:t>
      </w:r>
      <w:r w:rsidRPr="004D55DA">
        <w:rPr>
          <w:i/>
        </w:rPr>
        <w:t>distância ao porto mais próximo</w:t>
      </w:r>
      <w:r w:rsidRPr="004D55DA">
        <w:t xml:space="preserve">, como </w:t>
      </w:r>
      <w:r w:rsidR="00136906" w:rsidRPr="004D55DA">
        <w:t>fatores</w:t>
      </w:r>
      <w:r w:rsidRPr="004D55DA">
        <w:t xml:space="preserve"> de localização (“position-port”) fundamentais para a satisfação do cliente do terminal de contentores ao nível do contexto europeu. </w:t>
      </w:r>
    </w:p>
    <w:p w:rsidR="008D4541" w:rsidRPr="004D55DA" w:rsidRDefault="008D4541" w:rsidP="007F7964">
      <w:pPr>
        <w:spacing w:line="360" w:lineRule="auto"/>
        <w:jc w:val="both"/>
      </w:pPr>
    </w:p>
    <w:p w:rsidR="00104A12" w:rsidRPr="004D55DA" w:rsidRDefault="00104A12" w:rsidP="007F7964">
      <w:pPr>
        <w:spacing w:line="360" w:lineRule="auto"/>
        <w:jc w:val="both"/>
      </w:pPr>
      <w:r w:rsidRPr="004D55DA">
        <w:t xml:space="preserve">Já os resultados da análise para cada uma das variáveis dependentes, separadamente, através da regressão linear e da “path analysis”, permitem uma visão mais fina das relações, </w:t>
      </w:r>
      <w:r w:rsidR="00732E07">
        <w:t>não permitindo rejeitar</w:t>
      </w:r>
      <w:r w:rsidRPr="004D55DA">
        <w:t xml:space="preserve"> igualmente as hipóteses do modelo, embora não para todas as variáveis dependentes de igual forma.</w:t>
      </w:r>
    </w:p>
    <w:p w:rsidR="00104A12" w:rsidRPr="004D55DA" w:rsidRDefault="00104A12" w:rsidP="007F7964">
      <w:pPr>
        <w:spacing w:line="360" w:lineRule="auto"/>
        <w:jc w:val="both"/>
      </w:pPr>
    </w:p>
    <w:p w:rsidR="00104A12" w:rsidRPr="004D55DA" w:rsidRDefault="00136906" w:rsidP="007F7964">
      <w:pPr>
        <w:spacing w:line="360" w:lineRule="auto"/>
        <w:jc w:val="both"/>
      </w:pPr>
      <w:r w:rsidRPr="004D55DA">
        <w:t xml:space="preserve">Os resultados da regressão linear para a variável dependente </w:t>
      </w:r>
      <w:r w:rsidRPr="004D55DA">
        <w:rPr>
          <w:i/>
        </w:rPr>
        <w:t>satisfação do cliente</w:t>
      </w:r>
      <w:r w:rsidRPr="004D55DA">
        <w:t xml:space="preserve"> (R</w:t>
      </w:r>
      <w:r w:rsidRPr="004D55DA">
        <w:rPr>
          <w:vertAlign w:val="superscript"/>
        </w:rPr>
        <w:t>2</w:t>
      </w:r>
      <w:r>
        <w:t>=0,78)</w:t>
      </w:r>
      <w:r w:rsidRPr="004D55DA">
        <w:t xml:space="preserve"> estão coerentes com os resultados do SEM. </w:t>
      </w:r>
      <w:r w:rsidR="00104A12" w:rsidRPr="004D55DA">
        <w:t xml:space="preserve">No caso da aplicação da regressão linear, a </w:t>
      </w:r>
      <w:r w:rsidR="00104A12" w:rsidRPr="004D55DA">
        <w:rPr>
          <w:i/>
        </w:rPr>
        <w:t>satisfação do cliente</w:t>
      </w:r>
      <w:r w:rsidR="00104A12" w:rsidRPr="004D55DA">
        <w:t xml:space="preserve"> é explicada pela </w:t>
      </w:r>
      <w:r w:rsidR="00104A12" w:rsidRPr="004D55DA">
        <w:rPr>
          <w:i/>
        </w:rPr>
        <w:t>integração logística e organização do terminal</w:t>
      </w:r>
      <w:r w:rsidR="00104A12" w:rsidRPr="004D55DA">
        <w:t xml:space="preserve"> </w:t>
      </w:r>
      <w:r w:rsidR="00104A12" w:rsidRPr="004D55DA">
        <w:lastRenderedPageBreak/>
        <w:t>(</w:t>
      </w:r>
      <m:oMath>
        <m:acc>
          <m:accPr>
            <m:ctrlPr>
              <w:rPr>
                <w:rFonts w:ascii="Cambria Math" w:hAnsi="Cambria Math"/>
                <w:i/>
              </w:rPr>
            </m:ctrlPr>
          </m:accPr>
          <m:e>
            <m:r>
              <w:rPr>
                <w:rFonts w:ascii="Cambria Math" w:hAnsi="Cambria Math"/>
              </w:rPr>
              <m:t>β</m:t>
            </m:r>
          </m:e>
        </m:acc>
      </m:oMath>
      <w:r w:rsidR="00104A12" w:rsidRPr="004D55DA">
        <w:t xml:space="preserve">=0,70), </w:t>
      </w:r>
      <w:r w:rsidR="00104A12" w:rsidRPr="004D55DA">
        <w:rPr>
          <w:i/>
        </w:rPr>
        <w:t>acessibilidades terrestres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=0,33), </w:t>
      </w:r>
      <w:r w:rsidR="00104A12" w:rsidRPr="004D55DA">
        <w:rPr>
          <w:i/>
        </w:rPr>
        <w:t>serviços marítimos</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=0,23), </w:t>
      </w:r>
      <w:r w:rsidR="00104A12" w:rsidRPr="004D55DA">
        <w:rPr>
          <w:i/>
        </w:rPr>
        <w:t>localização regional do terminal</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=0,21) e </w:t>
      </w:r>
      <w:r w:rsidR="00104A12" w:rsidRPr="004D55DA">
        <w:rPr>
          <w:i/>
        </w:rPr>
        <w:t>localização do terminal na Europa</w:t>
      </w:r>
      <w:r w:rsidR="00104A12" w:rsidRPr="004D55DA">
        <w:t xml:space="preserve"> (</w:t>
      </w:r>
      <m:oMath>
        <m:acc>
          <m:accPr>
            <m:ctrlPr>
              <w:rPr>
                <w:rFonts w:ascii="Cambria Math" w:hAnsi="Cambria Math"/>
                <w:i/>
              </w:rPr>
            </m:ctrlPr>
          </m:accPr>
          <m:e>
            <m:r>
              <w:rPr>
                <w:rFonts w:ascii="Cambria Math" w:hAnsi="Cambria Math"/>
              </w:rPr>
              <m:t>β</m:t>
            </m:r>
          </m:e>
        </m:acc>
      </m:oMath>
      <w:r w:rsidR="00104A12" w:rsidRPr="004D55DA">
        <w:t xml:space="preserve">=0,17), neste caso com sinal contrário ao esperado, o que é </w:t>
      </w:r>
      <w:r w:rsidRPr="004D55DA">
        <w:t>consistente</w:t>
      </w:r>
      <w:r w:rsidR="00104A12" w:rsidRPr="004D55DA">
        <w:t xml:space="preserve"> com o facto de as variáveis deste constructo apresentarem correlações de sinais contrários ao esperado com as variáveis que compõem o constructo </w:t>
      </w:r>
      <w:r w:rsidR="00104A12" w:rsidRPr="004D55DA">
        <w:rPr>
          <w:i/>
        </w:rPr>
        <w:t>satisfação do cliente</w:t>
      </w:r>
      <w:r w:rsidR="00104A12" w:rsidRPr="004D55DA">
        <w:t xml:space="preserve">. Admite-se que a variância da satisfação dos clientes dos terminais de contentores não tenha relação com a localização do terminal na Europa, uma vez que os clientes podem ser satisfeitos pelo terminal, independentemente da localização na Europa. Estes resultados </w:t>
      </w:r>
      <w:r w:rsidR="008C6D33">
        <w:t>não permitem rejeitar</w:t>
      </w:r>
      <w:r w:rsidR="00104A12" w:rsidRPr="004D55DA">
        <w:t xml:space="preserve"> o peso dos </w:t>
      </w:r>
      <w:r w:rsidRPr="004D55DA">
        <w:t>fatores</w:t>
      </w:r>
      <w:r w:rsidR="00104A12" w:rsidRPr="004D55DA">
        <w:t xml:space="preserve"> “position-port”, “hard-port” e “soft-terminal” na explicação da satisfação do cliente.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Com base na “path analysis” (R</w:t>
      </w:r>
      <w:r w:rsidRPr="004D55DA">
        <w:rPr>
          <w:vertAlign w:val="superscript"/>
        </w:rPr>
        <w:t>2</w:t>
      </w:r>
      <w:r w:rsidRPr="004D55DA">
        <w:t xml:space="preserve">=0,72), foi possível obter os mesmos resultados com as variáveis explicativas </w:t>
      </w:r>
      <w:r w:rsidRPr="004D55DA">
        <w:rPr>
          <w:i/>
        </w:rPr>
        <w:t>integração logística e organização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=0,70),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=0,33), </w:t>
      </w:r>
      <w:r w:rsidRPr="004D55DA">
        <w:rPr>
          <w:i/>
        </w:rPr>
        <w:t>serviços marítimos</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=0,23), </w:t>
      </w:r>
      <w:r w:rsidRPr="004D55DA">
        <w:rPr>
          <w:i/>
        </w:rPr>
        <w:t>localização regional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=0,21) e </w:t>
      </w:r>
      <w:r w:rsidRPr="004D55DA">
        <w:rPr>
          <w:i/>
        </w:rPr>
        <w:t>localização do terminal na Europa</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=0,17), </w:t>
      </w:r>
      <w:r w:rsidR="00732E07">
        <w:t>não permitindo rejeitar</w:t>
      </w:r>
      <w:r w:rsidRPr="004D55DA">
        <w:t xml:space="preserve"> os resultados anteriores.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Os resultados para a variável dependente </w:t>
      </w:r>
      <w:r w:rsidRPr="004D55DA">
        <w:rPr>
          <w:i/>
        </w:rPr>
        <w:t xml:space="preserve">atividade </w:t>
      </w:r>
      <w:r w:rsidRPr="004D55DA">
        <w:t>obtêm menor grau de explicação pelas variáveis independentes do modelo na regressão linear (R</w:t>
      </w:r>
      <w:r w:rsidRPr="004D55DA">
        <w:rPr>
          <w:vertAlign w:val="superscript"/>
        </w:rPr>
        <w:t>2</w:t>
      </w:r>
      <w:r w:rsidRPr="004D55DA">
        <w:t xml:space="preserve">=0,16), explicada com significância apelas pelas </w:t>
      </w:r>
      <w:r w:rsidRPr="004D55DA">
        <w:rPr>
          <w:i/>
        </w:rPr>
        <w:t>acessibilidades terrestres</w:t>
      </w:r>
      <w:r w:rsidRPr="004D55DA">
        <w:t xml:space="preserve"> (</w:t>
      </w:r>
      <m:oMath>
        <m:acc>
          <m:accPr>
            <m:ctrlPr>
              <w:rPr>
                <w:rFonts w:ascii="Cambria Math" w:hAnsi="Cambria Math"/>
                <w:i/>
              </w:rPr>
            </m:ctrlPr>
          </m:accPr>
          <m:e>
            <m:r>
              <w:rPr>
                <w:rFonts w:ascii="Cambria Math" w:hAnsi="Cambria Math"/>
              </w:rPr>
              <m:t>β</m:t>
            </m:r>
          </m:e>
        </m:acc>
      </m:oMath>
      <w:r w:rsidRPr="004D55DA">
        <w:t>=0,</w:t>
      </w:r>
      <w:r w:rsidR="009E2367" w:rsidRPr="004D55DA">
        <w:t xml:space="preserve">31), </w:t>
      </w:r>
      <w:r w:rsidR="00732E07">
        <w:t>não permitindo rejeitar</w:t>
      </w:r>
      <w:r w:rsidR="009E2367" w:rsidRPr="004D55DA">
        <w:t>-se a H</w:t>
      </w:r>
      <w:r w:rsidRPr="004D55DA">
        <w:t xml:space="preserve">ipótese H2: relativa à influência dos </w:t>
      </w:r>
      <w:r w:rsidR="00136906" w:rsidRPr="004D55DA">
        <w:t>fatores</w:t>
      </w:r>
      <w:r w:rsidRPr="004D55DA">
        <w:t xml:space="preserve"> “hard-port” no desempenho do terminal, diferindo da análise para Portugal e Espanha. Faltam </w:t>
      </w:r>
      <w:r w:rsidR="00136906" w:rsidRPr="004D55DA">
        <w:t>fatores</w:t>
      </w:r>
      <w:r w:rsidRPr="004D55DA">
        <w:t xml:space="preserve"> explicativos neste modelo, em especial variáveis quantitativas. Os resultados da “path analysis” do SEM apontam como variáveis explicativas da </w:t>
      </w:r>
      <w:r w:rsidRPr="004D55DA">
        <w:rPr>
          <w:i/>
        </w:rPr>
        <w:t>atividade</w:t>
      </w:r>
      <w:r w:rsidRPr="004D55DA">
        <w:t xml:space="preserve"> (R</w:t>
      </w:r>
      <w:r w:rsidRPr="004D55DA">
        <w:rPr>
          <w:vertAlign w:val="superscript"/>
        </w:rPr>
        <w:t>2</w:t>
      </w:r>
      <w:r w:rsidRPr="004D55DA">
        <w:t xml:space="preserve">=0,09), os </w:t>
      </w:r>
      <w:r w:rsidRPr="004D55DA">
        <w:rPr>
          <w:i/>
        </w:rPr>
        <w:t>serviços marítimos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=0,16) e a </w:t>
      </w:r>
      <w:r w:rsidRPr="004D55DA">
        <w:rPr>
          <w:i/>
        </w:rPr>
        <w:t>infraestrutura do porto</w:t>
      </w:r>
      <w:r w:rsidRPr="004D55DA">
        <w:t xml:space="preserve"> (</w:t>
      </w:r>
      <m:oMath>
        <m:acc>
          <m:accPr>
            <m:ctrlPr>
              <w:rPr>
                <w:rFonts w:ascii="Cambria Math" w:hAnsi="Cambria Math"/>
                <w:i/>
              </w:rPr>
            </m:ctrlPr>
          </m:accPr>
          <m:e>
            <m:r>
              <w:rPr>
                <w:rFonts w:ascii="Cambria Math" w:hAnsi="Cambria Math"/>
              </w:rPr>
              <m:t>β</m:t>
            </m:r>
          </m:e>
        </m:acc>
      </m:oMath>
      <w:r w:rsidRPr="004D55DA">
        <w:t>=0,25), com muito reduzido grau explicativo.</w:t>
      </w:r>
      <w:r w:rsidR="00B124D8">
        <w:t xml:space="preserve"> </w:t>
      </w:r>
      <w:r w:rsidRPr="004D55DA">
        <w:t xml:space="preserve">Foram ainda testadas diretamente as variáveis quantitativas observadas, em vez dos constructos, para explicar a variância da </w:t>
      </w:r>
      <w:r w:rsidRPr="004D55DA">
        <w:rPr>
          <w:i/>
        </w:rPr>
        <w:t xml:space="preserve">atividade </w:t>
      </w:r>
      <w:r w:rsidRPr="004D55DA">
        <w:t xml:space="preserve">do terminal, como se fez no caso de Portugal e Espanha, tendo-se obtido elevado grau de explicação. Verificou-se que a </w:t>
      </w:r>
      <w:r w:rsidRPr="004D55DA">
        <w:rPr>
          <w:i/>
        </w:rPr>
        <w:t xml:space="preserve">atividade </w:t>
      </w:r>
      <w:r w:rsidRPr="004D55DA">
        <w:t>(R</w:t>
      </w:r>
      <w:r w:rsidRPr="004D55DA">
        <w:rPr>
          <w:vertAlign w:val="superscript"/>
        </w:rPr>
        <w:t>2</w:t>
      </w:r>
      <w:r w:rsidRPr="004D55DA">
        <w:t xml:space="preserve">=0,75) é explicada pelo </w:t>
      </w:r>
      <w:r w:rsidRPr="004D55DA">
        <w:rPr>
          <w:i/>
        </w:rPr>
        <w:t>PIB da região</w:t>
      </w:r>
      <w:r w:rsidRPr="004D55DA">
        <w:t>, como variável “position-port” (</w:t>
      </w:r>
      <m:oMath>
        <m:acc>
          <m:accPr>
            <m:ctrlPr>
              <w:rPr>
                <w:rFonts w:ascii="Cambria Math" w:hAnsi="Cambria Math"/>
                <w:i/>
              </w:rPr>
            </m:ctrlPr>
          </m:accPr>
          <m:e>
            <m:r>
              <w:rPr>
                <w:rFonts w:ascii="Cambria Math" w:hAnsi="Cambria Math"/>
              </w:rPr>
              <m:t>β</m:t>
            </m:r>
          </m:e>
        </m:acc>
      </m:oMath>
      <w:r w:rsidRPr="004D55DA">
        <w:t xml:space="preserve">=0,31), pela </w:t>
      </w:r>
      <w:r w:rsidRPr="004D55DA">
        <w:rPr>
          <w:i/>
        </w:rPr>
        <w:t>eficiência do terminal</w:t>
      </w:r>
      <w:r w:rsidRPr="004D55DA">
        <w:t>, indicador obtido através metodologia da “</w:t>
      </w:r>
      <w:r w:rsidR="009E2367" w:rsidRPr="004D55DA">
        <w:t>d</w:t>
      </w:r>
      <w:r w:rsidRPr="004D55DA">
        <w:t xml:space="preserve">ata </w:t>
      </w:r>
      <w:r w:rsidR="009E2367" w:rsidRPr="004D55DA">
        <w:t>e</w:t>
      </w:r>
      <w:r w:rsidRPr="004D55DA">
        <w:t xml:space="preserve">nvelopment </w:t>
      </w:r>
      <w:r w:rsidR="009E2367" w:rsidRPr="004D55DA">
        <w:t>a</w:t>
      </w:r>
      <w:r w:rsidRPr="004D55DA">
        <w:t>nalysis” (</w:t>
      </w:r>
      <m:oMath>
        <m:acc>
          <m:accPr>
            <m:ctrlPr>
              <w:rPr>
                <w:rFonts w:ascii="Cambria Math" w:hAnsi="Cambria Math"/>
                <w:i/>
              </w:rPr>
            </m:ctrlPr>
          </m:accPr>
          <m:e>
            <m:r>
              <w:rPr>
                <w:rFonts w:ascii="Cambria Math" w:hAnsi="Cambria Math"/>
              </w:rPr>
              <m:t>β</m:t>
            </m:r>
          </m:e>
        </m:acc>
      </m:oMath>
      <w:r w:rsidRPr="004D55DA">
        <w:t xml:space="preserve">=0,50), pelo </w:t>
      </w:r>
      <w:r w:rsidRPr="004D55DA">
        <w:rPr>
          <w:i/>
        </w:rPr>
        <w:t>número de pórticos por metros linear de cais</w:t>
      </w:r>
      <w:r w:rsidRPr="004D55DA">
        <w:t>, como variável “hard-terminal” (</w:t>
      </w:r>
      <m:oMath>
        <m:acc>
          <m:accPr>
            <m:ctrlPr>
              <w:rPr>
                <w:rFonts w:ascii="Cambria Math" w:hAnsi="Cambria Math"/>
                <w:i/>
              </w:rPr>
            </m:ctrlPr>
          </m:accPr>
          <m:e>
            <m:r>
              <w:rPr>
                <w:rFonts w:ascii="Cambria Math" w:hAnsi="Cambria Math"/>
              </w:rPr>
              <m:t>β</m:t>
            </m:r>
          </m:e>
        </m:acc>
      </m:oMath>
      <w:r w:rsidRPr="004D55DA">
        <w:t xml:space="preserve">=0,35) e pelo </w:t>
      </w:r>
      <w:r w:rsidRPr="004D55DA">
        <w:rPr>
          <w:i/>
        </w:rPr>
        <w:t>comprimento de cais do porto</w:t>
      </w:r>
      <w:r w:rsidRPr="004D55DA">
        <w:t>, como variável “hard-port” (</w:t>
      </w:r>
      <m:oMath>
        <m:acc>
          <m:accPr>
            <m:ctrlPr>
              <w:rPr>
                <w:rFonts w:ascii="Cambria Math" w:hAnsi="Cambria Math"/>
                <w:i/>
              </w:rPr>
            </m:ctrlPr>
          </m:accPr>
          <m:e>
            <m:r>
              <w:rPr>
                <w:rFonts w:ascii="Cambria Math" w:hAnsi="Cambria Math"/>
              </w:rPr>
              <m:t>β</m:t>
            </m:r>
          </m:e>
        </m:acc>
      </m:oMath>
      <w:r w:rsidRPr="004D55DA">
        <w:t xml:space="preserve">=0,21). Estas duas últimas variáveis possuem influência indireta através da </w:t>
      </w:r>
      <w:r w:rsidRPr="004D55DA">
        <w:rPr>
          <w:i/>
        </w:rPr>
        <w:t>eficiência do terminal</w:t>
      </w:r>
      <w:r w:rsidRPr="004D55DA">
        <w:t xml:space="preserve"> (</w:t>
      </w:r>
      <m:oMath>
        <m:acc>
          <m:accPr>
            <m:ctrlPr>
              <w:rPr>
                <w:rFonts w:ascii="Cambria Math" w:hAnsi="Cambria Math"/>
                <w:i/>
              </w:rPr>
            </m:ctrlPr>
          </m:accPr>
          <m:e>
            <m:r>
              <w:rPr>
                <w:rFonts w:ascii="Cambria Math" w:hAnsi="Cambria Math"/>
              </w:rPr>
              <m:t>β</m:t>
            </m:r>
          </m:e>
        </m:acc>
      </m:oMath>
      <w:r w:rsidRPr="004D55DA">
        <w:t xml:space="preserve">=0,66 e </w:t>
      </w:r>
      <m:oMath>
        <m:acc>
          <m:accPr>
            <m:ctrlPr>
              <w:rPr>
                <w:rFonts w:ascii="Cambria Math" w:hAnsi="Cambria Math"/>
                <w:i/>
              </w:rPr>
            </m:ctrlPr>
          </m:accPr>
          <m:e>
            <m:r>
              <w:rPr>
                <w:rFonts w:ascii="Cambria Math" w:hAnsi="Cambria Math"/>
              </w:rPr>
              <m:t>β</m:t>
            </m:r>
          </m:e>
        </m:acc>
      </m:oMath>
      <w:r w:rsidRPr="004D55DA">
        <w:t>=0,22; R</w:t>
      </w:r>
      <w:r w:rsidRPr="004D55DA">
        <w:rPr>
          <w:vertAlign w:val="superscript"/>
        </w:rPr>
        <w:t>2</w:t>
      </w:r>
      <w:r w:rsidRPr="004D55DA">
        <w:t xml:space="preserve">=0,43). </w:t>
      </w:r>
    </w:p>
    <w:p w:rsidR="00104A12" w:rsidRDefault="00104A12" w:rsidP="007F7964">
      <w:pPr>
        <w:spacing w:line="360" w:lineRule="auto"/>
        <w:jc w:val="both"/>
      </w:pPr>
    </w:p>
    <w:p w:rsidR="00E43CE1" w:rsidRDefault="00E43CE1" w:rsidP="007F7964">
      <w:pPr>
        <w:spacing w:line="360" w:lineRule="auto"/>
        <w:jc w:val="both"/>
      </w:pPr>
    </w:p>
    <w:p w:rsidR="00E43CE1" w:rsidRPr="004D55DA" w:rsidRDefault="00E43CE1" w:rsidP="007F7964">
      <w:pPr>
        <w:spacing w:line="360" w:lineRule="auto"/>
        <w:jc w:val="both"/>
      </w:pPr>
    </w:p>
    <w:p w:rsidR="005958FF" w:rsidRPr="008D4541" w:rsidRDefault="008D4541" w:rsidP="008D4541">
      <w:pPr>
        <w:pStyle w:val="Cabealho2"/>
        <w:rPr>
          <w:sz w:val="24"/>
          <w:szCs w:val="24"/>
        </w:rPr>
      </w:pPr>
      <w:bookmarkStart w:id="209" w:name="_Toc395730164"/>
      <w:r w:rsidRPr="008D4541">
        <w:rPr>
          <w:sz w:val="24"/>
          <w:szCs w:val="24"/>
        </w:rPr>
        <w:t>Consolidação dos resultados</w:t>
      </w:r>
      <w:bookmarkEnd w:id="209"/>
    </w:p>
    <w:p w:rsidR="008D4541" w:rsidRDefault="008D4541" w:rsidP="007F7964">
      <w:pPr>
        <w:spacing w:line="360" w:lineRule="auto"/>
        <w:jc w:val="both"/>
      </w:pPr>
    </w:p>
    <w:p w:rsidR="008D4541" w:rsidRDefault="00B219BA" w:rsidP="007F7964">
      <w:pPr>
        <w:spacing w:line="360" w:lineRule="auto"/>
        <w:jc w:val="both"/>
      </w:pPr>
      <w:r>
        <w:t>Para</w:t>
      </w:r>
      <w:r w:rsidR="008D4541">
        <w:t xml:space="preserve"> consolidar os resultados dos diversos inquéritos po</w:t>
      </w:r>
      <w:r>
        <w:t>r variável dependente, elaboraram</w:t>
      </w:r>
      <w:r w:rsidR="008D4541">
        <w:t>-se tabelas comparativas, finalizando com a sumarização dos resultados numa única figura, integrando e clarificando a visão holística.</w:t>
      </w:r>
    </w:p>
    <w:p w:rsidR="008D4541" w:rsidRDefault="008D4541" w:rsidP="007F7964">
      <w:pPr>
        <w:spacing w:line="360" w:lineRule="auto"/>
        <w:jc w:val="both"/>
      </w:pPr>
    </w:p>
    <w:p w:rsidR="008D4541" w:rsidRPr="008D4541" w:rsidRDefault="008D4541" w:rsidP="007F7964">
      <w:pPr>
        <w:spacing w:line="360" w:lineRule="auto"/>
        <w:jc w:val="both"/>
        <w:rPr>
          <w:b/>
        </w:rPr>
      </w:pPr>
      <w:r w:rsidRPr="008D4541">
        <w:rPr>
          <w:b/>
        </w:rPr>
        <w:t>Eficiência</w:t>
      </w:r>
    </w:p>
    <w:p w:rsidR="00104A12" w:rsidRPr="005958FF" w:rsidRDefault="008D4541" w:rsidP="005958FF">
      <w:pPr>
        <w:spacing w:line="360" w:lineRule="auto"/>
        <w:jc w:val="both"/>
      </w:pPr>
      <w:r>
        <w:t xml:space="preserve">No </w:t>
      </w:r>
      <w:r w:rsidR="00104A12" w:rsidRPr="005958FF">
        <w:t>caso do constructo dependente eficiência do terminal, o grau explicativo vari</w:t>
      </w:r>
      <w:r w:rsidR="00B219BA">
        <w:t>ou</w:t>
      </w:r>
      <w:r w:rsidR="00104A12" w:rsidRPr="005958FF">
        <w:t xml:space="preserve"> entre R2=0,09 a 0,05 (Tabela 3</w:t>
      </w:r>
      <w:r>
        <w:t>9</w:t>
      </w:r>
      <w:r w:rsidR="00104A12" w:rsidRPr="005958FF">
        <w:t>), para a regressão e a “path analysis” no primeiro inquérito (opinião geral dos especialistas), ou seja, foram encontradas dificuldades na determinação da influência das características do terminal no desempenho na vertente eficiência, apenas sendo relevantes as acessibilidades terrestres. Com recurso ao SEM, formativo e reflexivo, o grau de determinação encontrado foi de R2=0,22 a 0,37, recorrendo-se, neste caso, a todos os constructos independentes determinados na análise fatorial. O modelo SEM consegue captar o conjunto geral de influências de todos os constructos determinados, tendo por base a variável latente de segundo nível relativa às características do terminal, de forma holística.</w:t>
      </w:r>
    </w:p>
    <w:p w:rsidR="00104A12" w:rsidRPr="005958FF" w:rsidRDefault="00104A12" w:rsidP="007F7964">
      <w:pPr>
        <w:spacing w:line="360" w:lineRule="auto"/>
        <w:jc w:val="both"/>
      </w:pPr>
    </w:p>
    <w:p w:rsidR="00104A12" w:rsidRDefault="00104A12" w:rsidP="007F7964">
      <w:pPr>
        <w:spacing w:line="360" w:lineRule="auto"/>
        <w:jc w:val="both"/>
      </w:pPr>
      <w:r w:rsidRPr="005958FF">
        <w:t>No segundo inquérito, (casos concretos de terminais), foram obtidos resultados relevantes com R2=0,23 a 0,43, tendo por base explicativa minimalista o número de pórticos por metro de cais, ou</w:t>
      </w:r>
      <w:r w:rsidRPr="004D55DA">
        <w:t xml:space="preserve"> seja a intensidade do equipamento utilizado no cais e o </w:t>
      </w:r>
      <w:r w:rsidRPr="004D55DA">
        <w:rPr>
          <w:i/>
        </w:rPr>
        <w:t>comprimento do cais do porto</w:t>
      </w:r>
      <w:r w:rsidRPr="004D55DA">
        <w:t xml:space="preserve">, que representa a dimensão do porto, com influência na eficiência do terminal, em resultado da possibilidade de cruzamento de linhas e cargas e das economias de escala do porto. Em resumo, a eficiência do terminal de contentores é influenciado pela intensidade do equipamento de cais, “hard-terminal” e pela dimensão do porto “hard-port”, duas características pesadas, que ignoram por completo, ou tornam secundárias, a gestão e a integração do porto nas cadeias logísticas, bem como os </w:t>
      </w:r>
      <w:r w:rsidR="00136906" w:rsidRPr="004D55DA">
        <w:t>fatores</w:t>
      </w:r>
      <w:r w:rsidRPr="004D55DA">
        <w:t xml:space="preserve"> “soft-port”, “soft-terminal” e “position-port” de localização. Por cada pórtico a mais em média por quilómetro, obtém-se mais 0,48 a 0,66 unidades de medida de eficiência DEA. Por cada quilómetro a mais de cais do porto, obtém-se mais 0,22 unidades de medida de eficiência DEA.</w:t>
      </w:r>
    </w:p>
    <w:p w:rsidR="005958FF" w:rsidRDefault="005958FF" w:rsidP="007F7964">
      <w:pPr>
        <w:spacing w:line="360" w:lineRule="auto"/>
        <w:jc w:val="both"/>
      </w:pPr>
    </w:p>
    <w:p w:rsidR="00015B88" w:rsidRDefault="00015B88" w:rsidP="007F7964">
      <w:pPr>
        <w:spacing w:line="360" w:lineRule="auto"/>
        <w:jc w:val="both"/>
      </w:pPr>
    </w:p>
    <w:p w:rsidR="00015B88" w:rsidRDefault="00015B88" w:rsidP="007F7964">
      <w:pPr>
        <w:spacing w:line="360" w:lineRule="auto"/>
        <w:jc w:val="both"/>
      </w:pPr>
    </w:p>
    <w:p w:rsidR="00015B88" w:rsidRDefault="00015B88" w:rsidP="007F7964">
      <w:pPr>
        <w:spacing w:line="360" w:lineRule="auto"/>
        <w:jc w:val="both"/>
      </w:pPr>
    </w:p>
    <w:p w:rsidR="00015B88" w:rsidRPr="004D55DA" w:rsidRDefault="00015B88" w:rsidP="007F7964">
      <w:pPr>
        <w:spacing w:line="360" w:lineRule="auto"/>
        <w:jc w:val="both"/>
      </w:pPr>
    </w:p>
    <w:p w:rsidR="00104A12" w:rsidRPr="00D713C2" w:rsidRDefault="00104A12" w:rsidP="007F7964">
      <w:pPr>
        <w:pStyle w:val="Legenda"/>
        <w:rPr>
          <w:sz w:val="24"/>
          <w:szCs w:val="24"/>
        </w:rPr>
      </w:pPr>
      <w:bookmarkStart w:id="210" w:name="_Toc396134162"/>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39</w:t>
      </w:r>
      <w:r w:rsidR="00372F0E" w:rsidRPr="00D713C2">
        <w:rPr>
          <w:noProof/>
          <w:sz w:val="24"/>
          <w:szCs w:val="24"/>
        </w:rPr>
        <w:fldChar w:fldCharType="end"/>
      </w:r>
      <w:r w:rsidRPr="00D713C2">
        <w:rPr>
          <w:sz w:val="24"/>
          <w:szCs w:val="24"/>
        </w:rPr>
        <w:t xml:space="preserve"> – Resultados para o constructo eficiência</w:t>
      </w:r>
      <w:bookmarkEnd w:id="210"/>
    </w:p>
    <w:p w:rsidR="00104A12" w:rsidRPr="004D55DA" w:rsidRDefault="00BF31C8" w:rsidP="007F7964">
      <w:pPr>
        <w:spacing w:line="360" w:lineRule="auto"/>
        <w:jc w:val="both"/>
      </w:pPr>
      <w:r w:rsidRPr="004D55DA">
        <w:rPr>
          <w:noProof/>
        </w:rPr>
        <w:drawing>
          <wp:inline distT="0" distB="0" distL="0" distR="0" wp14:anchorId="6AF11A89" wp14:editId="3E93FCD2">
            <wp:extent cx="4725670" cy="4018280"/>
            <wp:effectExtent l="0" t="0" r="0" b="1270"/>
            <wp:docPr id="411" name="Image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25670" cy="4018280"/>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O constructo </w:t>
      </w:r>
      <w:r w:rsidRPr="004D55DA">
        <w:rPr>
          <w:i/>
        </w:rPr>
        <w:t>satisfação do cliente</w:t>
      </w:r>
      <w:r w:rsidRPr="004D55DA">
        <w:t xml:space="preserve"> é aquele que apresenta melhores resultados nos dois inquéritos (Tabela </w:t>
      </w:r>
      <w:r w:rsidR="00E43CE1">
        <w:t>40</w:t>
      </w:r>
      <w:r w:rsidRPr="004D55DA">
        <w:t>). No primeiro inquérito (de opinião geral), o grau de explicação é reduzido R</w:t>
      </w:r>
      <w:r w:rsidRPr="004D55DA">
        <w:rPr>
          <w:vertAlign w:val="superscript"/>
        </w:rPr>
        <w:t>2</w:t>
      </w:r>
      <w:r w:rsidRPr="004D55DA">
        <w:t xml:space="preserve">=0,22 a 0,37 com significância explicativa pelas variáveis </w:t>
      </w:r>
      <w:r w:rsidRPr="004D55DA">
        <w:rPr>
          <w:i/>
        </w:rPr>
        <w:t>integração logística e organização do terminal, dinamismo do porto e acesso marítimo</w:t>
      </w:r>
      <w:r w:rsidRPr="004D55DA">
        <w:t xml:space="preserve">, representando os </w:t>
      </w:r>
      <w:r w:rsidR="00136906" w:rsidRPr="004D55DA">
        <w:t>fatores</w:t>
      </w:r>
      <w:r w:rsidRPr="004D55DA">
        <w:t xml:space="preserve"> “soft-terminal”, “soft-port” e “hard-terminal”, aqueles que teoricamente os especialistas consideram importantes.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Ou seja, os especialistas consideram, em termos gerais, que a satisfação do cliente do terminal de contentores é influenciada pela organização do terminal e integração na cadeia logística, conferindo ainda papel importante ao dinamismo da autoridade portuária e comunidade portuária, bem como aos serviços marítimos e à dimensão do acesso marítimo, que permita a entrada de navios maiores e mais eficientes.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lastRenderedPageBreak/>
        <w:t>No segundo inquérito (relativo a terminais concretos), os graus de determinação encontrados são muito elevados R</w:t>
      </w:r>
      <w:r w:rsidRPr="004D55DA">
        <w:rPr>
          <w:vertAlign w:val="superscript"/>
        </w:rPr>
        <w:t>2</w:t>
      </w:r>
      <w:r w:rsidRPr="004D55DA">
        <w:t xml:space="preserve">=0,66 a 0,72, com especial relevância explicativa para a </w:t>
      </w:r>
      <w:r w:rsidRPr="004D55DA">
        <w:rPr>
          <w:i/>
        </w:rPr>
        <w:t xml:space="preserve">integração logística e organização do terminal, </w:t>
      </w:r>
      <w:r w:rsidRPr="004D55DA">
        <w:t xml:space="preserve">dos </w:t>
      </w:r>
      <w:r w:rsidR="00136906" w:rsidRPr="004D55DA">
        <w:t>fatores</w:t>
      </w:r>
      <w:r w:rsidRPr="004D55DA">
        <w:t xml:space="preserve"> “soft-terminal”,</w:t>
      </w:r>
      <w:r w:rsidRPr="004D55DA">
        <w:rPr>
          <w:i/>
        </w:rPr>
        <w:t xml:space="preserve"> </w:t>
      </w:r>
      <w:r w:rsidRPr="004D55DA">
        <w:t xml:space="preserve">que se mantém e ganha importância face ao primeiro inquérito, surgindo como o principal factor com influência na satisfação do cliente, </w:t>
      </w:r>
      <w:r w:rsidR="00732E07">
        <w:t>não permitindo rejeitar</w:t>
      </w:r>
      <w:r w:rsidRPr="004D55DA">
        <w:t xml:space="preserve"> os mais recentes trabalhos sobre o tema da logística e os portos.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w:t>
      </w:r>
      <w:r w:rsidRPr="004D55DA">
        <w:rPr>
          <w:i/>
        </w:rPr>
        <w:t xml:space="preserve"> acessibilidade terrestre </w:t>
      </w:r>
      <w:r w:rsidRPr="004D55DA">
        <w:t>surge também com grande importância, a montante, na ligação às fábricas e centros de distribuição, como factor “hard-port”. Estão mais satisfeitos os clientes de terminais com melhores acessos terrestres e melhores ligações ao “hinterland”.</w:t>
      </w:r>
      <w:r w:rsidRPr="004D55DA">
        <w:rPr>
          <w:i/>
        </w:rPr>
        <w:t xml:space="preserve"> Os serviços marítimos do terminal </w:t>
      </w:r>
      <w:r w:rsidRPr="004D55DA">
        <w:t xml:space="preserve">possuem igualmente papel importante, a jusante da atividade, incluindo o acesso marítimo, a dimensão dos navios e o tipo e frequência de linhas marítimas. Esta variável, além de ter vertentes “softsea-terminal”, tem forte correlação com a infraestrutura do terminal “hard-terminal” (fundos do acesso marítimo), pelo que se pode considerar que também a representa.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w:t>
      </w:r>
      <w:r w:rsidRPr="004D55DA">
        <w:rPr>
          <w:i/>
        </w:rPr>
        <w:t xml:space="preserve"> especialização do porto </w:t>
      </w:r>
      <w:r w:rsidRPr="004D55DA">
        <w:t xml:space="preserve">em contentores é importante factor “soft-port” para a maioria dos clientes do terminal de contentores, uma vez que um porto especializado possui as condições ideais para operação de um terminal de contentores. </w:t>
      </w:r>
      <w:r w:rsidRPr="004D55DA">
        <w:rPr>
          <w:i/>
        </w:rPr>
        <w:t xml:space="preserve">A localização regional </w:t>
      </w:r>
      <w:r w:rsidRPr="004D55DA">
        <w:t>parece ainda ser importante na Europa, incluindo a proximidade aos centros de produção e consumo, assumindo o papel de factor “position-port”.</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Este é o resultado mais marcante do estudo, tendo como âmbito a observação do universo de terminais concretos na Península Ibérica e na Europa, mantém os resultados com a utilização das diversas metodologias, sendo muito relevante para o futuro.</w:t>
      </w:r>
    </w:p>
    <w:p w:rsidR="00104A12" w:rsidRPr="004D55DA" w:rsidRDefault="00104A12" w:rsidP="007F7964">
      <w:pPr>
        <w:spacing w:line="360" w:lineRule="auto"/>
        <w:jc w:val="both"/>
      </w:pPr>
    </w:p>
    <w:p w:rsidR="00104A12" w:rsidRPr="004D55DA" w:rsidRDefault="00104A12" w:rsidP="005958FF">
      <w:pPr>
        <w:spacing w:line="360" w:lineRule="auto"/>
        <w:jc w:val="both"/>
      </w:pPr>
      <w:r w:rsidRPr="004D55DA">
        <w:t xml:space="preserve">Para satisfazer o seu cliente, o terminal de contentores deve integrar-se nas cadeias logísticas, cumprindo os seus requisitos, ligar-se bem ao hinterland, dragar as suas acessibilidades marítimas e atrair linhas regulares importantes, bem como deve ser localizado num porto especializado em contentores e numa região com centros de produção, consumo e logísticos próximos. </w:t>
      </w:r>
    </w:p>
    <w:p w:rsidR="00104A12" w:rsidRDefault="00104A12" w:rsidP="007F7964">
      <w:pPr>
        <w:spacing w:line="360" w:lineRule="auto"/>
        <w:jc w:val="both"/>
      </w:pPr>
    </w:p>
    <w:p w:rsidR="00E43CE1" w:rsidRDefault="00E43CE1" w:rsidP="007F7964">
      <w:pPr>
        <w:spacing w:line="360" w:lineRule="auto"/>
        <w:jc w:val="both"/>
      </w:pPr>
    </w:p>
    <w:p w:rsidR="00015B88" w:rsidRDefault="00015B88" w:rsidP="007F7964">
      <w:pPr>
        <w:spacing w:line="360" w:lineRule="auto"/>
        <w:jc w:val="both"/>
      </w:pPr>
    </w:p>
    <w:p w:rsidR="00015B88" w:rsidRDefault="00015B88" w:rsidP="007F7964">
      <w:pPr>
        <w:spacing w:line="360" w:lineRule="auto"/>
        <w:jc w:val="both"/>
      </w:pPr>
    </w:p>
    <w:p w:rsidR="00E43CE1" w:rsidRPr="004D55DA" w:rsidRDefault="00E43CE1" w:rsidP="007F7964">
      <w:pPr>
        <w:spacing w:line="360" w:lineRule="auto"/>
        <w:jc w:val="both"/>
      </w:pPr>
    </w:p>
    <w:p w:rsidR="00104A12" w:rsidRPr="00D713C2" w:rsidRDefault="00104A12" w:rsidP="007F7964">
      <w:pPr>
        <w:pStyle w:val="Legenda"/>
        <w:rPr>
          <w:sz w:val="24"/>
          <w:szCs w:val="24"/>
        </w:rPr>
      </w:pPr>
      <w:bookmarkStart w:id="211" w:name="_Toc396134163"/>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40</w:t>
      </w:r>
      <w:r w:rsidR="00372F0E" w:rsidRPr="00D713C2">
        <w:rPr>
          <w:noProof/>
          <w:sz w:val="24"/>
          <w:szCs w:val="24"/>
        </w:rPr>
        <w:fldChar w:fldCharType="end"/>
      </w:r>
      <w:r w:rsidRPr="00D713C2">
        <w:rPr>
          <w:sz w:val="24"/>
          <w:szCs w:val="24"/>
        </w:rPr>
        <w:t xml:space="preserve"> – Resultados para o constructo satisfação do cliente</w:t>
      </w:r>
      <w:bookmarkEnd w:id="211"/>
    </w:p>
    <w:p w:rsidR="00104A12" w:rsidRPr="004D55DA" w:rsidRDefault="00BF31C8" w:rsidP="007F7964">
      <w:r w:rsidRPr="004D55DA">
        <w:rPr>
          <w:noProof/>
        </w:rPr>
        <w:drawing>
          <wp:inline distT="0" distB="0" distL="0" distR="0" wp14:anchorId="4E56D24A" wp14:editId="73CE3E17">
            <wp:extent cx="5736590" cy="3681095"/>
            <wp:effectExtent l="0" t="0" r="0" b="0"/>
            <wp:docPr id="412" name="Image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6590" cy="3681095"/>
                    </a:xfrm>
                    <a:prstGeom prst="rect">
                      <a:avLst/>
                    </a:prstGeom>
                    <a:noFill/>
                    <a:ln>
                      <a:noFill/>
                    </a:ln>
                  </pic:spPr>
                </pic:pic>
              </a:graphicData>
            </a:graphic>
          </wp:inline>
        </w:drawing>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que se refere ao constructo </w:t>
      </w:r>
      <w:r w:rsidR="00136906" w:rsidRPr="004D55DA">
        <w:rPr>
          <w:i/>
        </w:rPr>
        <w:t>atividade</w:t>
      </w:r>
      <w:r w:rsidRPr="004D55DA">
        <w:t xml:space="preserve"> do terminal, verificam-se resultados com alguma relevância no primeiro inquérito, com R</w:t>
      </w:r>
      <w:r w:rsidRPr="004D55DA">
        <w:rPr>
          <w:vertAlign w:val="superscript"/>
        </w:rPr>
        <w:t>2</w:t>
      </w:r>
      <w:r w:rsidRPr="004D55DA">
        <w:t>=0,19 a 0,37 (Tabela 4</w:t>
      </w:r>
      <w:r w:rsidR="00E43CE1">
        <w:t>1</w:t>
      </w:r>
      <w:r w:rsidRPr="004D55DA">
        <w:t xml:space="preserve">), com especial destaque para o grau explicativo do </w:t>
      </w:r>
      <w:r w:rsidRPr="004D55DA">
        <w:rPr>
          <w:i/>
        </w:rPr>
        <w:t>dinamismo do porto e a localização na Europa</w:t>
      </w:r>
      <w:r w:rsidRPr="004D55DA">
        <w:t xml:space="preserve"> como variáveis independentes, mostrando a importância teórica atribuída ao dinamismo da autoridade portuária e da comunidade portuária, bem como à localização em posição mais próxima do centro da Europa, onde estão localizadas mais consumidores e tecido produtivo.</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No segundo inquérito, perde-se a coerência dos resultados e o poder explicativo, surgindo os </w:t>
      </w:r>
      <w:r w:rsidRPr="004D55DA">
        <w:rPr>
          <w:i/>
        </w:rPr>
        <w:t xml:space="preserve">serviços marítimos e a infraestrutura do porto </w:t>
      </w:r>
      <w:r w:rsidRPr="004D55DA">
        <w:t xml:space="preserve">(por vezes com sentidos contrários) com influência na </w:t>
      </w:r>
      <w:r w:rsidR="00136906" w:rsidRPr="004D55DA">
        <w:t>atividade</w:t>
      </w:r>
      <w:r w:rsidRPr="004D55DA">
        <w:t xml:space="preserve"> do terminal de contentores com R</w:t>
      </w:r>
      <w:r w:rsidRPr="004D55DA">
        <w:rPr>
          <w:vertAlign w:val="superscript"/>
        </w:rPr>
        <w:t>2</w:t>
      </w:r>
      <w:r w:rsidRPr="004D55DA">
        <w:t xml:space="preserve">=0,9 a 0,26. </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Aprofundando a análise, verificou-se como relevante que as variáveis </w:t>
      </w:r>
      <w:r w:rsidRPr="004D55DA">
        <w:rPr>
          <w:i/>
        </w:rPr>
        <w:t>eficiência, número de pórticos por metro de cais, comprimento do cais do porto e PIB da região</w:t>
      </w:r>
      <w:r w:rsidRPr="004D55DA">
        <w:t xml:space="preserve">, possuem forte poder explicativo da </w:t>
      </w:r>
      <w:r w:rsidR="00136906" w:rsidRPr="004D55DA">
        <w:rPr>
          <w:i/>
        </w:rPr>
        <w:t>atividade</w:t>
      </w:r>
      <w:r w:rsidRPr="004D55DA">
        <w:t xml:space="preserve"> do terminal de contentores com R</w:t>
      </w:r>
      <w:r w:rsidRPr="004D55DA">
        <w:rPr>
          <w:vertAlign w:val="superscript"/>
        </w:rPr>
        <w:t>2</w:t>
      </w:r>
      <w:r w:rsidRPr="004D55DA">
        <w:t xml:space="preserve">=0,75 a 0,80. Este resultado é também muito importante neste estudo. Foi determinado um novo modelo parcimonioso explicativo da </w:t>
      </w:r>
      <w:r w:rsidR="00136906" w:rsidRPr="004D55DA">
        <w:t>atividade</w:t>
      </w:r>
      <w:r w:rsidRPr="004D55DA">
        <w:t xml:space="preserve"> do terminal de contentores, tendo por base explicativa as </w:t>
      </w:r>
      <w:r w:rsidRPr="004D55DA">
        <w:lastRenderedPageBreak/>
        <w:t>características básicas do porto “hard-port”, do terminal “hard-terminal”, da região “position-port” e da eficiência “soft-terminal”. Importava agora testar este modelo numa base alargada de amostra a nível mundial.</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 xml:space="preserve">Conclui-se que para ter muita </w:t>
      </w:r>
      <w:r w:rsidR="00136906" w:rsidRPr="004D55DA">
        <w:t>atividade</w:t>
      </w:r>
      <w:r w:rsidRPr="004D55DA">
        <w:t>, o terminal de contentores deve adquirir muitos pórticos por metro de cais, obter elevada eficiência por essa e outras vias, deve instalar-se num porto grande e numa região com elevado desempenho económico. Uma receita simples, que nem todos cumprem, ou por impossibilidade de relocalização noutro porto ou região, ou por dificuldades de investimento e gestão interna das qualificações e mão-de-obra.</w:t>
      </w:r>
    </w:p>
    <w:p w:rsidR="00104A12" w:rsidRPr="004D55DA" w:rsidRDefault="00104A12" w:rsidP="007F7964">
      <w:pPr>
        <w:spacing w:line="360" w:lineRule="auto"/>
        <w:jc w:val="both"/>
      </w:pPr>
    </w:p>
    <w:p w:rsidR="00104A12" w:rsidRPr="00D713C2" w:rsidRDefault="00104A12" w:rsidP="007F7964">
      <w:pPr>
        <w:pStyle w:val="Legenda"/>
        <w:rPr>
          <w:sz w:val="24"/>
          <w:szCs w:val="24"/>
        </w:rPr>
      </w:pPr>
      <w:bookmarkStart w:id="212" w:name="_Toc396134164"/>
      <w:r w:rsidRPr="00D713C2">
        <w:rPr>
          <w:sz w:val="24"/>
          <w:szCs w:val="24"/>
        </w:rPr>
        <w:t xml:space="preserve">Tabela </w:t>
      </w:r>
      <w:r w:rsidR="00372F0E" w:rsidRPr="00D713C2">
        <w:rPr>
          <w:sz w:val="24"/>
          <w:szCs w:val="24"/>
        </w:rPr>
        <w:fldChar w:fldCharType="begin"/>
      </w:r>
      <w:r w:rsidR="00372F0E" w:rsidRPr="00D713C2">
        <w:rPr>
          <w:sz w:val="24"/>
          <w:szCs w:val="24"/>
        </w:rPr>
        <w:instrText xml:space="preserve"> SEQ Tabela \* ARABIC </w:instrText>
      </w:r>
      <w:r w:rsidR="00372F0E" w:rsidRPr="00D713C2">
        <w:rPr>
          <w:sz w:val="24"/>
          <w:szCs w:val="24"/>
        </w:rPr>
        <w:fldChar w:fldCharType="separate"/>
      </w:r>
      <w:r w:rsidR="008D1B65">
        <w:rPr>
          <w:noProof/>
          <w:sz w:val="24"/>
          <w:szCs w:val="24"/>
        </w:rPr>
        <w:t>41</w:t>
      </w:r>
      <w:r w:rsidR="00372F0E" w:rsidRPr="00D713C2">
        <w:rPr>
          <w:noProof/>
          <w:sz w:val="24"/>
          <w:szCs w:val="24"/>
        </w:rPr>
        <w:fldChar w:fldCharType="end"/>
      </w:r>
      <w:r w:rsidRPr="00D713C2">
        <w:rPr>
          <w:sz w:val="24"/>
          <w:szCs w:val="24"/>
        </w:rPr>
        <w:t xml:space="preserve"> – Resultados para o constructo atividade</w:t>
      </w:r>
      <w:bookmarkEnd w:id="212"/>
    </w:p>
    <w:p w:rsidR="00104A12" w:rsidRPr="004D55DA" w:rsidRDefault="00BF31C8" w:rsidP="007F7964">
      <w:r w:rsidRPr="004D55DA">
        <w:rPr>
          <w:noProof/>
        </w:rPr>
        <w:drawing>
          <wp:inline distT="0" distB="0" distL="0" distR="0" wp14:anchorId="4A30F70F" wp14:editId="5382DA48">
            <wp:extent cx="5753735" cy="4142105"/>
            <wp:effectExtent l="0" t="0" r="0" b="0"/>
            <wp:docPr id="413" name="Imagem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735" cy="4142105"/>
                    </a:xfrm>
                    <a:prstGeom prst="rect">
                      <a:avLst/>
                    </a:prstGeom>
                    <a:noFill/>
                    <a:ln>
                      <a:noFill/>
                    </a:ln>
                  </pic:spPr>
                </pic:pic>
              </a:graphicData>
            </a:graphic>
          </wp:inline>
        </w:drawing>
      </w:r>
    </w:p>
    <w:p w:rsidR="00104A12" w:rsidRPr="004D55DA" w:rsidRDefault="005502CB" w:rsidP="007F7964">
      <w:pPr>
        <w:spacing w:line="360" w:lineRule="auto"/>
        <w:jc w:val="both"/>
      </w:pPr>
      <w:r w:rsidRPr="004D55DA">
        <w:br w:type="page"/>
      </w:r>
      <w:r w:rsidRPr="004D55DA">
        <w:lastRenderedPageBreak/>
        <w:t>Tomando os resultados do segundo inquérito como os mais aproximados da realidade em investigação</w:t>
      </w:r>
      <w:r w:rsidR="00B124D8">
        <w:t>, mas considerando também os restantes</w:t>
      </w:r>
      <w:r w:rsidRPr="004D55DA">
        <w:t xml:space="preserve">, resumem-se na figura </w:t>
      </w:r>
      <w:r w:rsidR="00FE1EED">
        <w:t>35</w:t>
      </w:r>
      <w:r w:rsidRPr="004D55DA">
        <w:t xml:space="preserve"> os resultados mais significativos deste estudo no que se refere à atividade, eficiência e satisfação do cliente.</w:t>
      </w:r>
    </w:p>
    <w:p w:rsidR="005502CB" w:rsidRPr="004D55DA" w:rsidRDefault="005502CB" w:rsidP="007F7964">
      <w:pPr>
        <w:spacing w:line="360" w:lineRule="auto"/>
        <w:jc w:val="both"/>
      </w:pPr>
    </w:p>
    <w:p w:rsidR="005502CB" w:rsidRPr="00D713C2" w:rsidRDefault="005502CB" w:rsidP="007F7964">
      <w:pPr>
        <w:pStyle w:val="Legenda"/>
        <w:rPr>
          <w:sz w:val="24"/>
          <w:szCs w:val="24"/>
        </w:rPr>
      </w:pPr>
      <w:bookmarkStart w:id="213" w:name="_Toc396134198"/>
      <w:r w:rsidRPr="00D713C2">
        <w:rPr>
          <w:sz w:val="24"/>
          <w:szCs w:val="24"/>
        </w:rPr>
        <w:t xml:space="preserve">Figura </w:t>
      </w:r>
      <w:r w:rsidR="00372F0E" w:rsidRPr="00D713C2">
        <w:rPr>
          <w:sz w:val="24"/>
          <w:szCs w:val="24"/>
        </w:rPr>
        <w:fldChar w:fldCharType="begin"/>
      </w:r>
      <w:r w:rsidR="00372F0E" w:rsidRPr="00D713C2">
        <w:rPr>
          <w:sz w:val="24"/>
          <w:szCs w:val="24"/>
        </w:rPr>
        <w:instrText xml:space="preserve"> SEQ Figura \* ARABIC </w:instrText>
      </w:r>
      <w:r w:rsidR="00372F0E" w:rsidRPr="00D713C2">
        <w:rPr>
          <w:sz w:val="24"/>
          <w:szCs w:val="24"/>
        </w:rPr>
        <w:fldChar w:fldCharType="separate"/>
      </w:r>
      <w:r w:rsidR="008D1B65">
        <w:rPr>
          <w:noProof/>
          <w:sz w:val="24"/>
          <w:szCs w:val="24"/>
        </w:rPr>
        <w:t>34</w:t>
      </w:r>
      <w:r w:rsidR="00372F0E" w:rsidRPr="00D713C2">
        <w:rPr>
          <w:noProof/>
          <w:sz w:val="24"/>
          <w:szCs w:val="24"/>
        </w:rPr>
        <w:fldChar w:fldCharType="end"/>
      </w:r>
      <w:r w:rsidRPr="00D713C2">
        <w:rPr>
          <w:sz w:val="24"/>
          <w:szCs w:val="24"/>
        </w:rPr>
        <w:t xml:space="preserve"> – Modelo simplificado dos resultados do 2º inquérito</w:t>
      </w:r>
      <w:bookmarkEnd w:id="213"/>
    </w:p>
    <w:p w:rsidR="005502CB" w:rsidRDefault="005502CB" w:rsidP="007F7964">
      <w:pPr>
        <w:spacing w:line="360" w:lineRule="auto"/>
        <w:jc w:val="both"/>
        <w:rPr>
          <w:noProof/>
        </w:rPr>
      </w:pPr>
    </w:p>
    <w:p w:rsidR="00FE1EED" w:rsidRPr="004D55DA" w:rsidRDefault="00C90BC7" w:rsidP="007F7964">
      <w:pPr>
        <w:spacing w:line="360" w:lineRule="auto"/>
        <w:jc w:val="both"/>
      </w:pPr>
      <w:r w:rsidRPr="00C90BC7">
        <w:rPr>
          <w:noProof/>
        </w:rPr>
        <w:drawing>
          <wp:inline distT="0" distB="0" distL="0" distR="0" wp14:anchorId="5DFCE235" wp14:editId="497EF43A">
            <wp:extent cx="5943600" cy="3243943"/>
            <wp:effectExtent l="0" t="0" r="0" b="0"/>
            <wp:docPr id="454" name="Image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1">
                      <a:extLst>
                        <a:ext uri="{28A0092B-C50C-407E-A947-70E740481C1C}">
                          <a14:useLocalDpi xmlns:a14="http://schemas.microsoft.com/office/drawing/2010/main" val="0"/>
                        </a:ext>
                      </a:extLst>
                    </a:blip>
                    <a:srcRect l="1606"/>
                    <a:stretch/>
                  </pic:blipFill>
                  <pic:spPr bwMode="auto">
                    <a:xfrm>
                      <a:off x="0" y="0"/>
                      <a:ext cx="5943534" cy="3243907"/>
                    </a:xfrm>
                    <a:prstGeom prst="rect">
                      <a:avLst/>
                    </a:prstGeom>
                    <a:noFill/>
                    <a:ln>
                      <a:noFill/>
                    </a:ln>
                    <a:extLst>
                      <a:ext uri="{53640926-AAD7-44D8-BBD7-CCE9431645EC}">
                        <a14:shadowObscured xmlns:a14="http://schemas.microsoft.com/office/drawing/2010/main"/>
                      </a:ext>
                    </a:extLst>
                  </pic:spPr>
                </pic:pic>
              </a:graphicData>
            </a:graphic>
          </wp:inline>
        </w:drawing>
      </w:r>
    </w:p>
    <w:p w:rsidR="005502CB" w:rsidRPr="004D55DA" w:rsidRDefault="005502CB" w:rsidP="007F7964"/>
    <w:p w:rsidR="00E43CE1" w:rsidRDefault="00E43CE1">
      <w:r>
        <w:br w:type="page"/>
      </w:r>
    </w:p>
    <w:p w:rsidR="00015B88" w:rsidRPr="00BE6593" w:rsidRDefault="00015B88" w:rsidP="00015B88">
      <w:pPr>
        <w:pStyle w:val="Cabealho1"/>
        <w:numPr>
          <w:ilvl w:val="0"/>
          <w:numId w:val="1"/>
        </w:numPr>
        <w:rPr>
          <w:rFonts w:ascii="Times New Roman" w:hAnsi="Times New Roman"/>
          <w:sz w:val="24"/>
          <w:szCs w:val="24"/>
        </w:rPr>
      </w:pPr>
      <w:bookmarkStart w:id="214" w:name="_Toc395730165"/>
      <w:r>
        <w:rPr>
          <w:rFonts w:ascii="Times New Roman" w:hAnsi="Times New Roman"/>
          <w:sz w:val="24"/>
          <w:szCs w:val="24"/>
        </w:rPr>
        <w:lastRenderedPageBreak/>
        <w:t>Discussão</w:t>
      </w:r>
      <w:bookmarkEnd w:id="214"/>
    </w:p>
    <w:p w:rsidR="00E43CE1" w:rsidRDefault="00E43CE1" w:rsidP="007F7964"/>
    <w:p w:rsidR="00E43CE1" w:rsidRDefault="00E43CE1" w:rsidP="007F7964"/>
    <w:p w:rsidR="00015B88" w:rsidRDefault="00015B88" w:rsidP="00015B88">
      <w:pPr>
        <w:spacing w:line="360" w:lineRule="auto"/>
        <w:jc w:val="both"/>
      </w:pPr>
      <w:r>
        <w:t>Neste capítulo procede-se à discussão do modelo e das hipóteses propostas no capítulo 3, com base nos resultados obtidos</w:t>
      </w:r>
      <w:r w:rsidR="00751BE0">
        <w:t xml:space="preserve"> no capítulo 5</w:t>
      </w:r>
      <w:r>
        <w:t xml:space="preserve">. </w:t>
      </w:r>
    </w:p>
    <w:p w:rsidR="00015B88" w:rsidRDefault="00015B88" w:rsidP="00015B88">
      <w:pPr>
        <w:spacing w:line="360" w:lineRule="auto"/>
        <w:jc w:val="both"/>
      </w:pPr>
    </w:p>
    <w:p w:rsidR="00015B88" w:rsidRPr="00CF45A2" w:rsidRDefault="00015B88" w:rsidP="00015B88">
      <w:pPr>
        <w:spacing w:line="360" w:lineRule="auto"/>
        <w:jc w:val="both"/>
        <w:rPr>
          <w:b/>
        </w:rPr>
      </w:pPr>
      <w:r w:rsidRPr="00CF45A2">
        <w:rPr>
          <w:b/>
        </w:rPr>
        <w:t>Hipótese 1</w:t>
      </w:r>
      <w:r w:rsidR="00580FC3">
        <w:rPr>
          <w:b/>
        </w:rPr>
        <w:t xml:space="preserve"> – Localização do porto (“Position-port”)</w:t>
      </w:r>
    </w:p>
    <w:p w:rsidR="006347BF" w:rsidRDefault="006347BF" w:rsidP="00015B88">
      <w:pPr>
        <w:spacing w:line="360" w:lineRule="auto"/>
        <w:jc w:val="both"/>
      </w:pPr>
      <w:r>
        <w:t xml:space="preserve">Concorda-se </w:t>
      </w:r>
      <w:r w:rsidR="00AC7B52">
        <w:t>que</w:t>
      </w:r>
      <w:r>
        <w:t xml:space="preserve"> os portos mais pr</w:t>
      </w:r>
      <w:r w:rsidR="00CF45A2">
        <w:t>óximos do</w:t>
      </w:r>
      <w:r>
        <w:t xml:space="preserve"> centro económico</w:t>
      </w:r>
      <w:r w:rsidR="00CF45A2">
        <w:t xml:space="preserve"> da Europa</w:t>
      </w:r>
      <w:r>
        <w:t xml:space="preserve"> tendem a ter um maior movimento de contentores e melhor desempenho</w:t>
      </w:r>
      <w:r w:rsidR="00AC7B52">
        <w:t xml:space="preserve"> (Song &amp; Yeo, 2004; Liu, 1995)</w:t>
      </w:r>
      <w:r>
        <w:t>, como demonstram os resultados do primeiro inquérito</w:t>
      </w:r>
      <w:r w:rsidR="00CF45A2">
        <w:t xml:space="preserve"> (Figuras 17 e 18)</w:t>
      </w:r>
      <w:r>
        <w:t xml:space="preserve">, </w:t>
      </w:r>
      <w:r w:rsidR="003124AA">
        <w:t>onde surge a variável latente explicativa</w:t>
      </w:r>
      <w:r w:rsidR="00AC7B52">
        <w:t xml:space="preserve"> </w:t>
      </w:r>
      <w:r w:rsidR="00B124D8">
        <w:rPr>
          <w:i/>
        </w:rPr>
        <w:t>l</w:t>
      </w:r>
      <w:r w:rsidR="00AC7B52" w:rsidRPr="00B124D8">
        <w:rPr>
          <w:i/>
        </w:rPr>
        <w:t>ocalização na Europa</w:t>
      </w:r>
      <w:r w:rsidR="00AC7B52">
        <w:t xml:space="preserve"> </w:t>
      </w:r>
      <w:r w:rsidR="00AC7B52" w:rsidRPr="004D55DA">
        <w:t>(</w:t>
      </w:r>
      <m:oMath>
        <m:acc>
          <m:accPr>
            <m:ctrlPr>
              <w:rPr>
                <w:rFonts w:ascii="Cambria Math" w:hAnsi="Cambria Math"/>
                <w:i/>
              </w:rPr>
            </m:ctrlPr>
          </m:accPr>
          <m:e>
            <m:r>
              <w:rPr>
                <w:rFonts w:ascii="Cambria Math" w:hAnsi="Cambria Math"/>
              </w:rPr>
              <m:t>β</m:t>
            </m:r>
          </m:e>
        </m:acc>
      </m:oMath>
      <w:r w:rsidR="00136906" w:rsidRPr="004D55DA">
        <w:t>=0,</w:t>
      </w:r>
      <w:r w:rsidR="00136906">
        <w:t>66</w:t>
      </w:r>
      <w:r w:rsidR="00136906" w:rsidRPr="004D55DA">
        <w:t>),</w:t>
      </w:r>
      <w:r w:rsidR="00136906">
        <w:t xml:space="preserve"> bem como os resultados do segundo inquérito para a Europa (Figura 31), uma vez que um maior PIB "per capita" e maior densidade populacional implicam uma maior procura e maior atividade do terminal, ou seja, movimento de contentores e desempenho do terminal, como se demonstra ainda na Figura 25 do segundo inquérito para Portugal e Espanha.</w:t>
      </w:r>
    </w:p>
    <w:p w:rsidR="00015B88" w:rsidRDefault="006347BF" w:rsidP="00015B88">
      <w:pPr>
        <w:spacing w:line="360" w:lineRule="auto"/>
        <w:jc w:val="both"/>
      </w:pPr>
      <w:r>
        <w:t>Não se rejeita</w:t>
      </w:r>
      <w:r w:rsidR="00015B88" w:rsidRPr="004D55DA">
        <w:t xml:space="preserve"> o que Notteboom (2011) refere sobre a importância da localização junto a rotas de primeira dimensão como factor de escolha do terminal</w:t>
      </w:r>
      <w:r w:rsidR="00CF45A2">
        <w:t xml:space="preserve">, tendo em consideração os resultados da variável </w:t>
      </w:r>
      <w:r w:rsidR="00B124D8">
        <w:rPr>
          <w:i/>
        </w:rPr>
        <w:t>l</w:t>
      </w:r>
      <w:r w:rsidR="00CF45A2" w:rsidRPr="00B124D8">
        <w:rPr>
          <w:i/>
        </w:rPr>
        <w:t>ocalizaç</w:t>
      </w:r>
      <w:r w:rsidR="00AC7B52" w:rsidRPr="00B124D8">
        <w:rPr>
          <w:i/>
        </w:rPr>
        <w:t>ão na Europa</w:t>
      </w:r>
      <w:r w:rsidR="00AC7B52">
        <w:t xml:space="preserve">, </w:t>
      </w:r>
      <w:r w:rsidR="00CF45A2">
        <w:t>Figura 1</w:t>
      </w:r>
      <w:r w:rsidR="00AC7B52">
        <w:t>8</w:t>
      </w:r>
      <w:r w:rsidR="00015B88" w:rsidRPr="004D55DA">
        <w:t xml:space="preserve">, </w:t>
      </w:r>
      <w:r w:rsidR="00B124D8">
        <w:t>justificando-se</w:t>
      </w:r>
      <w:r w:rsidR="00015B88" w:rsidRPr="004D55DA">
        <w:t xml:space="preserve"> </w:t>
      </w:r>
      <w:r w:rsidR="00AC7B52">
        <w:t xml:space="preserve">o benefício </w:t>
      </w:r>
      <w:r w:rsidR="00015B88" w:rsidRPr="004D55DA">
        <w:t>da localização junto a grandes rotas de navegação marítima ou na intersecção de rotas norte/sul e este/oeste</w:t>
      </w:r>
      <w:r w:rsidR="003124AA">
        <w:t xml:space="preserve"> com a possibilidade de</w:t>
      </w:r>
      <w:r w:rsidR="00AC7B52">
        <w:t xml:space="preserve"> receber carga de transhipment adicional</w:t>
      </w:r>
      <w:r w:rsidR="00015B88" w:rsidRPr="004D55DA">
        <w:t xml:space="preserve"> (Notteboom &amp; Rodrigue, 2010)</w:t>
      </w:r>
      <w:r w:rsidR="00CF45A2">
        <w:t>.</w:t>
      </w:r>
    </w:p>
    <w:p w:rsidR="00015B88" w:rsidRDefault="00A80785" w:rsidP="003124AA">
      <w:pPr>
        <w:spacing w:line="360" w:lineRule="auto"/>
        <w:jc w:val="both"/>
      </w:pPr>
      <w:r>
        <w:t>A proximidade às origens da</w:t>
      </w:r>
      <w:r w:rsidR="003124AA">
        <w:t>s</w:t>
      </w:r>
      <w:r>
        <w:t xml:space="preserve"> cargas no </w:t>
      </w:r>
      <w:r w:rsidR="003124AA">
        <w:t xml:space="preserve">hinterland, aos centros de produção e consumo, </w:t>
      </w:r>
      <w:r w:rsidR="00015B88" w:rsidRPr="004D55DA">
        <w:t xml:space="preserve">a </w:t>
      </w:r>
      <w:r w:rsidR="00B124D8">
        <w:t xml:space="preserve">curta </w:t>
      </w:r>
      <w:r w:rsidR="00015B88" w:rsidRPr="004D55DA">
        <w:t>distância a zonas industriais e urbanas são fundamentais para compreender o desempenho do terminal. A economia local afeta o movimento de contentores, tendo em consideração o seu nível de produção de mercadorias e consumo, conforme referido por Tongzon (2002) e Cheo (2007)</w:t>
      </w:r>
      <w:r w:rsidR="003124AA">
        <w:t xml:space="preserve"> e como demonstram os resultados do</w:t>
      </w:r>
      <w:r w:rsidR="00580FC3">
        <w:t xml:space="preserve"> primeiro inquérito (Figura 18), através da variável </w:t>
      </w:r>
      <w:r w:rsidR="00B124D8">
        <w:rPr>
          <w:i/>
        </w:rPr>
        <w:t>i</w:t>
      </w:r>
      <w:r w:rsidR="00580FC3" w:rsidRPr="00B124D8">
        <w:rPr>
          <w:i/>
        </w:rPr>
        <w:t>mportância da região</w:t>
      </w:r>
      <w:r w:rsidR="00580FC3">
        <w:t xml:space="preserve"> (</w:t>
      </w:r>
      <m:oMath>
        <m:acc>
          <m:accPr>
            <m:ctrlPr>
              <w:rPr>
                <w:rFonts w:ascii="Cambria Math" w:hAnsi="Cambria Math"/>
                <w:i/>
              </w:rPr>
            </m:ctrlPr>
          </m:accPr>
          <m:e>
            <m:r>
              <w:rPr>
                <w:rFonts w:ascii="Cambria Math" w:hAnsi="Cambria Math"/>
              </w:rPr>
              <m:t>β</m:t>
            </m:r>
          </m:e>
        </m:acc>
      </m:oMath>
      <w:r w:rsidR="00580FC3" w:rsidRPr="004D55DA">
        <w:t>=0,</w:t>
      </w:r>
      <w:r w:rsidR="00580FC3">
        <w:t>68) e de acordo com o</w:t>
      </w:r>
      <w:r w:rsidR="003124AA">
        <w:t xml:space="preserve"> segundo inquérito para a Europa, com a variável explicativa da </w:t>
      </w:r>
      <w:r w:rsidR="00B124D8">
        <w:rPr>
          <w:i/>
        </w:rPr>
        <w:t>s</w:t>
      </w:r>
      <w:r w:rsidR="003124AA" w:rsidRPr="00B124D8">
        <w:rPr>
          <w:i/>
        </w:rPr>
        <w:t>atisfação do cliente</w:t>
      </w:r>
      <w:r w:rsidR="00B124D8">
        <w:t xml:space="preserve">, </w:t>
      </w:r>
      <w:r w:rsidR="00B124D8">
        <w:rPr>
          <w:i/>
        </w:rPr>
        <w:t>l</w:t>
      </w:r>
      <w:r w:rsidR="003124AA" w:rsidRPr="00B124D8">
        <w:rPr>
          <w:i/>
        </w:rPr>
        <w:t>ocalização regional</w:t>
      </w:r>
      <w:r w:rsidR="003124AA">
        <w:t xml:space="preserve"> (Figura 31, </w:t>
      </w:r>
      <m:oMath>
        <m:acc>
          <m:accPr>
            <m:ctrlPr>
              <w:rPr>
                <w:rFonts w:ascii="Cambria Math" w:hAnsi="Cambria Math"/>
                <w:i/>
              </w:rPr>
            </m:ctrlPr>
          </m:accPr>
          <m:e>
            <m:r>
              <w:rPr>
                <w:rFonts w:ascii="Cambria Math" w:hAnsi="Cambria Math"/>
              </w:rPr>
              <m:t>β</m:t>
            </m:r>
          </m:e>
        </m:acc>
      </m:oMath>
      <w:r w:rsidR="003124AA" w:rsidRPr="004D55DA">
        <w:t>=0,</w:t>
      </w:r>
      <w:r w:rsidR="003124AA">
        <w:t>21)</w:t>
      </w:r>
      <w:r w:rsidR="00015B88" w:rsidRPr="004D55DA">
        <w:t xml:space="preserve">. </w:t>
      </w:r>
    </w:p>
    <w:p w:rsidR="003124AA" w:rsidRPr="004D55DA" w:rsidRDefault="003124AA" w:rsidP="003124AA">
      <w:pPr>
        <w:spacing w:line="360" w:lineRule="auto"/>
        <w:jc w:val="both"/>
      </w:pPr>
      <w:r w:rsidRPr="004D55DA">
        <w:t xml:space="preserve">Os resultados </w:t>
      </w:r>
      <w:r>
        <w:t>não permitem rejeitar</w:t>
      </w:r>
      <w:r w:rsidRPr="004D55DA">
        <w:t xml:space="preserve"> que o desempenho económico da região, onde se localiza o terminal de contentores, é fundamental para compreender o desempenho do terminal, já que o seu “hinterland” cativo determina a sua dimensão e o mercado a que pode aceder. Determina ainda a possibilidade de ter mais ou menos massa crítica para poder ser competitivo o e alargar a sua área de influência terrestre. Este factor inclui variáveis como a </w:t>
      </w:r>
      <w:r w:rsidRPr="004D55DA">
        <w:lastRenderedPageBreak/>
        <w:t xml:space="preserve">influência do “hinterland” interior, a localização face às acessibilidades, a proximidade às zonas de importação e exportação (Onut </w:t>
      </w:r>
      <w:r w:rsidRPr="00D713C2">
        <w:rPr>
          <w:i/>
        </w:rPr>
        <w:t>et al.,</w:t>
      </w:r>
      <w:r w:rsidRPr="004D55DA">
        <w:t xml:space="preserve"> 2011)</w:t>
      </w:r>
      <w:r w:rsidR="00580FC3">
        <w:t>. Tal fica demonstrado através</w:t>
      </w:r>
      <w:r w:rsidR="004535F7">
        <w:t xml:space="preserve"> dos resultados da variável </w:t>
      </w:r>
      <w:r w:rsidR="004535F7" w:rsidRPr="004535F7">
        <w:rPr>
          <w:i/>
        </w:rPr>
        <w:t>i</w:t>
      </w:r>
      <w:r w:rsidR="00580FC3" w:rsidRPr="004535F7">
        <w:rPr>
          <w:i/>
        </w:rPr>
        <w:t>mportância da região</w:t>
      </w:r>
      <w:r w:rsidR="00580FC3">
        <w:t xml:space="preserve"> (</w:t>
      </w:r>
      <w:r w:rsidR="005436E3">
        <w:t xml:space="preserve">Figura </w:t>
      </w:r>
      <w:r w:rsidR="00580FC3">
        <w:t>18</w:t>
      </w:r>
      <m:oMath>
        <m:r>
          <w:rPr>
            <w:rFonts w:ascii="Cambria Math" w:hAnsi="Cambria Math"/>
          </w:rPr>
          <m:t>,</m:t>
        </m:r>
        <m:acc>
          <m:accPr>
            <m:ctrlPr>
              <w:rPr>
                <w:rFonts w:ascii="Cambria Math" w:hAnsi="Cambria Math"/>
                <w:i/>
              </w:rPr>
            </m:ctrlPr>
          </m:accPr>
          <m:e>
            <m:r>
              <w:rPr>
                <w:rFonts w:ascii="Cambria Math" w:hAnsi="Cambria Math"/>
              </w:rPr>
              <m:t>β</m:t>
            </m:r>
          </m:e>
        </m:acc>
      </m:oMath>
      <w:r w:rsidR="00580FC3" w:rsidRPr="004D55DA">
        <w:t>=0,</w:t>
      </w:r>
      <w:r w:rsidR="00580FC3">
        <w:t xml:space="preserve">68) e </w:t>
      </w:r>
      <w:r w:rsidR="00580FC3" w:rsidRPr="004535F7">
        <w:rPr>
          <w:i/>
        </w:rPr>
        <w:t>PIB da região</w:t>
      </w:r>
      <w:r w:rsidR="004535F7">
        <w:t xml:space="preserve"> (Figura 25,</w:t>
      </w:r>
      <m:oMath>
        <m:r>
          <w:rPr>
            <w:rFonts w:ascii="Cambria Math" w:hAnsi="Cambria Math"/>
          </w:rPr>
          <m:t xml:space="preserve"> </m:t>
        </m:r>
        <m:acc>
          <m:accPr>
            <m:ctrlPr>
              <w:rPr>
                <w:rFonts w:ascii="Cambria Math" w:hAnsi="Cambria Math"/>
                <w:i/>
              </w:rPr>
            </m:ctrlPr>
          </m:accPr>
          <m:e>
            <m:r>
              <w:rPr>
                <w:rFonts w:ascii="Cambria Math" w:hAnsi="Cambria Math"/>
              </w:rPr>
              <m:t>β</m:t>
            </m:r>
          </m:e>
        </m:acc>
      </m:oMath>
      <w:r w:rsidR="004535F7" w:rsidRPr="004D55DA">
        <w:t>=0,</w:t>
      </w:r>
      <w:r w:rsidR="004535F7">
        <w:t xml:space="preserve">18) explicativas da </w:t>
      </w:r>
      <w:r w:rsidR="004535F7" w:rsidRPr="004535F7">
        <w:rPr>
          <w:i/>
        </w:rPr>
        <w:t>a</w:t>
      </w:r>
      <w:r w:rsidR="00580FC3" w:rsidRPr="004535F7">
        <w:rPr>
          <w:i/>
        </w:rPr>
        <w:t>tividade do terminal</w:t>
      </w:r>
      <w:r w:rsidR="00580FC3">
        <w:t xml:space="preserve"> </w:t>
      </w:r>
      <w:r w:rsidR="004535F7">
        <w:t xml:space="preserve">e através da </w:t>
      </w:r>
      <w:r w:rsidR="004535F7" w:rsidRPr="004535F7">
        <w:rPr>
          <w:i/>
        </w:rPr>
        <w:t>l</w:t>
      </w:r>
      <w:r w:rsidR="00580FC3" w:rsidRPr="004535F7">
        <w:rPr>
          <w:i/>
        </w:rPr>
        <w:t>ocalização na Europa</w:t>
      </w:r>
      <w:r w:rsidR="004535F7">
        <w:t xml:space="preserve">, enquanto variável explicativa da </w:t>
      </w:r>
      <w:r w:rsidR="004535F7" w:rsidRPr="004535F7">
        <w:rPr>
          <w:i/>
        </w:rPr>
        <w:t>s</w:t>
      </w:r>
      <w:r w:rsidR="00580FC3" w:rsidRPr="004535F7">
        <w:rPr>
          <w:i/>
        </w:rPr>
        <w:t>atisfação do cliente</w:t>
      </w:r>
      <w:r w:rsidR="00580FC3">
        <w:t xml:space="preserve"> (Figura 31, </w:t>
      </w:r>
      <m:oMath>
        <m:acc>
          <m:accPr>
            <m:ctrlPr>
              <w:rPr>
                <w:rFonts w:ascii="Cambria Math" w:hAnsi="Cambria Math"/>
                <w:i/>
              </w:rPr>
            </m:ctrlPr>
          </m:accPr>
          <m:e>
            <m:r>
              <w:rPr>
                <w:rFonts w:ascii="Cambria Math" w:hAnsi="Cambria Math"/>
              </w:rPr>
              <m:t>β</m:t>
            </m:r>
          </m:e>
        </m:acc>
      </m:oMath>
      <w:r w:rsidR="00580FC3" w:rsidRPr="004D55DA">
        <w:t>=0,</w:t>
      </w:r>
      <w:r w:rsidR="00580FC3">
        <w:t>17)</w:t>
      </w:r>
      <w:r w:rsidRPr="004D55DA">
        <w:t>.</w:t>
      </w:r>
    </w:p>
    <w:p w:rsidR="003124AA" w:rsidRPr="004D55DA" w:rsidRDefault="00580FC3" w:rsidP="003124AA">
      <w:pPr>
        <w:spacing w:line="360" w:lineRule="auto"/>
        <w:jc w:val="both"/>
      </w:pPr>
      <w:r>
        <w:t>Não se rejeita</w:t>
      </w:r>
      <w:r w:rsidR="003124AA" w:rsidRPr="004D55DA">
        <w:t xml:space="preserve"> </w:t>
      </w:r>
      <w:r w:rsidR="004535F7">
        <w:t xml:space="preserve">assim </w:t>
      </w:r>
      <w:r w:rsidR="003124AA" w:rsidRPr="004D55DA">
        <w:t xml:space="preserve">a importância </w:t>
      </w:r>
      <w:r w:rsidR="004535F7">
        <w:t xml:space="preserve">económica </w:t>
      </w:r>
      <w:r w:rsidR="003124AA" w:rsidRPr="004D55DA">
        <w:t xml:space="preserve">dos “hinterlands” dos portos como suas próprias extensões, tal como </w:t>
      </w:r>
      <w:r w:rsidR="004535F7">
        <w:t>analisado</w:t>
      </w:r>
      <w:r w:rsidR="003124AA" w:rsidRPr="004D55DA">
        <w:t xml:space="preserve"> por Guthed (2005), sendo aqueles parte do próprio porto, num conceito alargado, e determinando o seu desempenho. </w:t>
      </w:r>
      <w:r>
        <w:t>Concorda</w:t>
      </w:r>
      <w:r w:rsidR="003124AA" w:rsidRPr="004D55DA">
        <w:t>-se</w:t>
      </w:r>
      <w:r>
        <w:t xml:space="preserve"> com</w:t>
      </w:r>
      <w:r w:rsidR="003124AA" w:rsidRPr="004D55DA">
        <w:t xml:space="preserve"> o referido p</w:t>
      </w:r>
      <w:r w:rsidR="004535F7">
        <w:t>or Tongzon (2002) e Cheo (2007)</w:t>
      </w:r>
      <w:r w:rsidR="003124AA" w:rsidRPr="004D55DA">
        <w:t xml:space="preserve"> sobre o facto da procura dos serviços portuários derivar da dimensão do movimento de mercadorias e do consumo da região onde o porto está localizado. Não se rejeita a </w:t>
      </w:r>
      <w:r w:rsidR="003124AA" w:rsidRPr="004A2D16">
        <w:rPr>
          <w:u w:val="single"/>
        </w:rPr>
        <w:t>Hipótese H1</w:t>
      </w:r>
      <w:r w:rsidR="003124AA" w:rsidRPr="004D55DA">
        <w:t xml:space="preserve"> relativa à influência da localização</w:t>
      </w:r>
      <w:r>
        <w:t xml:space="preserve"> geográfica</w:t>
      </w:r>
      <w:r w:rsidR="003124AA" w:rsidRPr="004D55DA">
        <w:t xml:space="preserve"> do porto no desempenho do terminal</w:t>
      </w:r>
      <w:r>
        <w:t xml:space="preserve"> de contentores</w:t>
      </w:r>
      <w:r w:rsidR="003124AA" w:rsidRPr="004D55DA">
        <w:t>.</w:t>
      </w:r>
    </w:p>
    <w:p w:rsidR="003124AA" w:rsidRDefault="003124AA" w:rsidP="003124AA">
      <w:pPr>
        <w:spacing w:line="360" w:lineRule="auto"/>
        <w:jc w:val="both"/>
      </w:pPr>
    </w:p>
    <w:p w:rsidR="00580FC3" w:rsidRDefault="00580FC3" w:rsidP="003124AA">
      <w:pPr>
        <w:spacing w:line="360" w:lineRule="auto"/>
        <w:jc w:val="both"/>
      </w:pPr>
    </w:p>
    <w:p w:rsidR="003124AA" w:rsidRPr="00580FC3" w:rsidRDefault="00580FC3" w:rsidP="003124AA">
      <w:pPr>
        <w:spacing w:line="360" w:lineRule="auto"/>
        <w:jc w:val="both"/>
        <w:rPr>
          <w:b/>
        </w:rPr>
      </w:pPr>
      <w:r w:rsidRPr="00580FC3">
        <w:rPr>
          <w:b/>
        </w:rPr>
        <w:t>Hipótese 2</w:t>
      </w:r>
      <w:r>
        <w:rPr>
          <w:b/>
        </w:rPr>
        <w:t xml:space="preserve"> – Infraestruturas do porto (“Hard-port”)</w:t>
      </w:r>
    </w:p>
    <w:p w:rsidR="008221D1" w:rsidRDefault="00E8664D" w:rsidP="00015B88">
      <w:pPr>
        <w:spacing w:line="360" w:lineRule="auto"/>
        <w:jc w:val="both"/>
      </w:pPr>
      <w:r>
        <w:t xml:space="preserve">O </w:t>
      </w:r>
      <w:r w:rsidR="00A51C8A" w:rsidRPr="00A51C8A">
        <w:rPr>
          <w:i/>
        </w:rPr>
        <w:t>a</w:t>
      </w:r>
      <w:r w:rsidRPr="00A51C8A">
        <w:rPr>
          <w:i/>
        </w:rPr>
        <w:t>cesso marítimo</w:t>
      </w:r>
      <w:r>
        <w:t xml:space="preserve"> surge como variável explicativa no primeiro inquérito (</w:t>
      </w:r>
      <m:oMath>
        <m:acc>
          <m:accPr>
            <m:ctrlPr>
              <w:rPr>
                <w:rFonts w:ascii="Cambria Math" w:hAnsi="Cambria Math"/>
                <w:i/>
              </w:rPr>
            </m:ctrlPr>
          </m:accPr>
          <m:e>
            <m:r>
              <w:rPr>
                <w:rFonts w:ascii="Cambria Math" w:hAnsi="Cambria Math"/>
              </w:rPr>
              <m:t>β</m:t>
            </m:r>
          </m:e>
        </m:acc>
      </m:oMath>
      <w:r w:rsidRPr="004D55DA">
        <w:t>=0,</w:t>
      </w:r>
      <w:r>
        <w:t xml:space="preserve">67), como parte dos </w:t>
      </w:r>
      <w:r w:rsidR="00A51C8A" w:rsidRPr="00A51C8A">
        <w:rPr>
          <w:i/>
        </w:rPr>
        <w:t>s</w:t>
      </w:r>
      <w:r w:rsidRPr="00A51C8A">
        <w:rPr>
          <w:i/>
        </w:rPr>
        <w:t>erviços marítimos</w:t>
      </w:r>
      <w:r>
        <w:t xml:space="preserve"> no segundo inquérito Portugal e Espanha (</w:t>
      </w:r>
      <m:oMath>
        <m:acc>
          <m:accPr>
            <m:ctrlPr>
              <w:rPr>
                <w:rFonts w:ascii="Cambria Math" w:hAnsi="Cambria Math"/>
                <w:i/>
              </w:rPr>
            </m:ctrlPr>
          </m:accPr>
          <m:e>
            <m:r>
              <w:rPr>
                <w:rFonts w:ascii="Cambria Math" w:hAnsi="Cambria Math"/>
              </w:rPr>
              <m:t>β</m:t>
            </m:r>
          </m:e>
        </m:acc>
      </m:oMath>
      <w:r w:rsidRPr="004D55DA">
        <w:t>=0,</w:t>
      </w:r>
      <w:r>
        <w:t>55)</w:t>
      </w:r>
      <w:r w:rsidR="00A8252B">
        <w:t xml:space="preserve"> </w:t>
      </w:r>
      <w:r w:rsidR="00A51C8A">
        <w:t xml:space="preserve">enquanto variável explicativa da </w:t>
      </w:r>
      <w:r w:rsidR="00A51C8A" w:rsidRPr="00A51C8A">
        <w:rPr>
          <w:i/>
        </w:rPr>
        <w:t>s</w:t>
      </w:r>
      <w:r w:rsidR="00A8252B" w:rsidRPr="00A51C8A">
        <w:rPr>
          <w:i/>
        </w:rPr>
        <w:t>atisfação do cliente</w:t>
      </w:r>
      <w:r w:rsidR="00A51C8A">
        <w:t>. Surge ainda</w:t>
      </w:r>
      <w:r w:rsidR="00A8252B">
        <w:t xml:space="preserve"> no</w:t>
      </w:r>
      <w:r w:rsidR="00A51C8A">
        <w:t>s</w:t>
      </w:r>
      <w:r w:rsidR="00A8252B">
        <w:t xml:space="preserve"> </w:t>
      </w:r>
      <w:r w:rsidR="00A51C8A" w:rsidRPr="00A51C8A">
        <w:rPr>
          <w:i/>
        </w:rPr>
        <w:t>s</w:t>
      </w:r>
      <w:r w:rsidR="00A8252B" w:rsidRPr="00A51C8A">
        <w:rPr>
          <w:i/>
        </w:rPr>
        <w:t>erviços marítimos</w:t>
      </w:r>
      <w:r w:rsidR="00A8252B">
        <w:t xml:space="preserve"> do terminal no segundo inquérito </w:t>
      </w:r>
      <w:r w:rsidR="00A51C8A">
        <w:t xml:space="preserve">para a </w:t>
      </w:r>
      <w:r w:rsidR="00A8252B">
        <w:t xml:space="preserve">Europa, como explicativa com </w:t>
      </w:r>
      <m:oMath>
        <m:acc>
          <m:accPr>
            <m:ctrlPr>
              <w:rPr>
                <w:rFonts w:ascii="Cambria Math" w:hAnsi="Cambria Math"/>
                <w:i/>
              </w:rPr>
            </m:ctrlPr>
          </m:accPr>
          <m:e>
            <m:r>
              <w:rPr>
                <w:rFonts w:ascii="Cambria Math" w:hAnsi="Cambria Math"/>
              </w:rPr>
              <m:t>β</m:t>
            </m:r>
          </m:e>
        </m:acc>
      </m:oMath>
      <w:r w:rsidR="00A8252B" w:rsidRPr="004D55DA">
        <w:t>=0,</w:t>
      </w:r>
      <w:r w:rsidR="00A8252B">
        <w:t xml:space="preserve">23 para a </w:t>
      </w:r>
      <w:r w:rsidR="00A51C8A" w:rsidRPr="00A51C8A">
        <w:rPr>
          <w:i/>
        </w:rPr>
        <w:t>s</w:t>
      </w:r>
      <w:r w:rsidR="00A8252B" w:rsidRPr="00A51C8A">
        <w:rPr>
          <w:i/>
        </w:rPr>
        <w:t>atisfaçã</w:t>
      </w:r>
      <w:r w:rsidR="00A51C8A">
        <w:rPr>
          <w:i/>
        </w:rPr>
        <w:t>o do cliente</w:t>
      </w:r>
      <w:r w:rsidR="00A8252B">
        <w:t xml:space="preserve"> e </w:t>
      </w:r>
      <m:oMath>
        <m:acc>
          <m:accPr>
            <m:ctrlPr>
              <w:rPr>
                <w:rFonts w:ascii="Cambria Math" w:hAnsi="Cambria Math"/>
                <w:i/>
              </w:rPr>
            </m:ctrlPr>
          </m:accPr>
          <m:e>
            <m:r>
              <w:rPr>
                <w:rFonts w:ascii="Cambria Math" w:hAnsi="Cambria Math"/>
              </w:rPr>
              <m:t>β</m:t>
            </m:r>
          </m:e>
        </m:acc>
      </m:oMath>
      <w:r w:rsidR="00A8252B" w:rsidRPr="004D55DA">
        <w:t>=0,</w:t>
      </w:r>
      <w:r w:rsidR="00A8252B">
        <w:t xml:space="preserve">16 para a </w:t>
      </w:r>
      <w:r w:rsidR="00A51C8A" w:rsidRPr="00A51C8A">
        <w:rPr>
          <w:i/>
        </w:rPr>
        <w:t>a</w:t>
      </w:r>
      <w:r w:rsidR="00A8252B" w:rsidRPr="00A51C8A">
        <w:rPr>
          <w:i/>
        </w:rPr>
        <w:t>tividade</w:t>
      </w:r>
      <w:r w:rsidR="00A51C8A">
        <w:t>. Concorda</w:t>
      </w:r>
      <w:r w:rsidR="00A8252B">
        <w:t xml:space="preserve">-se assim com Wang e Cullinane (2006) e Gaur (2005) </w:t>
      </w:r>
      <w:r w:rsidR="00A51C8A">
        <w:t>quando referem que</w:t>
      </w:r>
      <w:r w:rsidR="00A8252B">
        <w:t xml:space="preserve"> a maior dimensão dos fundos de acesso marítimo permitir</w:t>
      </w:r>
      <w:r w:rsidR="00A51C8A">
        <w:t>em a entrada de navios maiores, assim</w:t>
      </w:r>
      <w:r w:rsidR="00A8252B">
        <w:t xml:space="preserve"> atraindo mais carga e navios.</w:t>
      </w:r>
    </w:p>
    <w:p w:rsidR="00015B88" w:rsidRDefault="00015B88" w:rsidP="00015B88">
      <w:pPr>
        <w:spacing w:line="360" w:lineRule="auto"/>
        <w:jc w:val="both"/>
      </w:pPr>
      <w:r>
        <w:t xml:space="preserve">Não </w:t>
      </w:r>
      <w:r w:rsidR="008221D1">
        <w:t>se rejeita</w:t>
      </w:r>
      <w:r w:rsidR="00A51C8A">
        <w:t>m</w:t>
      </w:r>
      <w:r w:rsidRPr="004D55DA">
        <w:t xml:space="preserve"> as conclusões de Turner</w:t>
      </w:r>
      <w:r w:rsidR="008221D1">
        <w:t xml:space="preserve"> </w:t>
      </w:r>
      <w:r w:rsidR="008221D1" w:rsidRPr="00D713C2">
        <w:rPr>
          <w:i/>
        </w:rPr>
        <w:t>et al.</w:t>
      </w:r>
      <w:r w:rsidRPr="004D55DA">
        <w:t xml:space="preserve"> (2004) e de Gaur (2005) sobre a importância do impacto das acessibilidades terrestres no desempenho do terminal. As acessibilidades ao “hinterland” terrestre permitem expandir a dimensão do próprio terminal, levando o terminal para além do porto, criando portarias de segunda linha</w:t>
      </w:r>
      <w:r w:rsidR="00A51C8A">
        <w:t xml:space="preserve"> em portos secos</w:t>
      </w:r>
      <w:r w:rsidRPr="004D55DA">
        <w:t xml:space="preserve"> que fazem parte do próprio terminal e alargam a sua área de influência, com ligações de massa por ferrovia. Também </w:t>
      </w:r>
      <w:r w:rsidR="00A51C8A">
        <w:t>s</w:t>
      </w:r>
      <w:r w:rsidRPr="004D55DA">
        <w:t>e demonstra a importância das ligações às redes de autoestrada do “hinterland”.</w:t>
      </w:r>
      <w:r w:rsidR="008221D1">
        <w:t xml:space="preserve"> Tal é corroborado pelos resultados do primeiro inquérito, na variável explicativa </w:t>
      </w:r>
      <w:r w:rsidR="00A51C8A" w:rsidRPr="00A51C8A">
        <w:rPr>
          <w:i/>
        </w:rPr>
        <w:t>a</w:t>
      </w:r>
      <w:r w:rsidR="008221D1" w:rsidRPr="00A51C8A">
        <w:rPr>
          <w:i/>
        </w:rPr>
        <w:t>cessibilidades terrestres</w:t>
      </w:r>
      <w:r w:rsidR="008221D1">
        <w:t xml:space="preserve"> (Figura 18, </w:t>
      </w:r>
      <m:oMath>
        <m:acc>
          <m:accPr>
            <m:ctrlPr>
              <w:rPr>
                <w:rFonts w:ascii="Cambria Math" w:hAnsi="Cambria Math"/>
                <w:i/>
              </w:rPr>
            </m:ctrlPr>
          </m:accPr>
          <m:e>
            <m:r>
              <w:rPr>
                <w:rFonts w:ascii="Cambria Math" w:hAnsi="Cambria Math"/>
              </w:rPr>
              <m:t>β</m:t>
            </m:r>
          </m:e>
        </m:acc>
      </m:oMath>
      <w:r w:rsidR="008221D1" w:rsidRPr="004D55DA">
        <w:t>=0,</w:t>
      </w:r>
      <w:r w:rsidR="008221D1">
        <w:t>6</w:t>
      </w:r>
      <w:r w:rsidR="00E76BDF">
        <w:t xml:space="preserve">3), bem </w:t>
      </w:r>
      <w:r w:rsidR="003B1302">
        <w:t xml:space="preserve">como </w:t>
      </w:r>
      <w:r w:rsidR="00A51C8A">
        <w:t>pela</w:t>
      </w:r>
      <w:r w:rsidR="008221D1">
        <w:t xml:space="preserve"> variável </w:t>
      </w:r>
      <w:r w:rsidR="00A51C8A" w:rsidRPr="00A51C8A">
        <w:rPr>
          <w:i/>
        </w:rPr>
        <w:t>a</w:t>
      </w:r>
      <w:r w:rsidR="008221D1" w:rsidRPr="00A51C8A">
        <w:rPr>
          <w:i/>
        </w:rPr>
        <w:t>cessibilidades terrestres</w:t>
      </w:r>
      <w:r w:rsidR="00A51C8A">
        <w:t xml:space="preserve"> explicativa da </w:t>
      </w:r>
      <w:r w:rsidR="00A51C8A" w:rsidRPr="00A51C8A">
        <w:rPr>
          <w:i/>
        </w:rPr>
        <w:t>s</w:t>
      </w:r>
      <w:r w:rsidR="008221D1" w:rsidRPr="00A51C8A">
        <w:rPr>
          <w:i/>
        </w:rPr>
        <w:t>atisfação do cliente</w:t>
      </w:r>
      <w:r w:rsidR="008221D1">
        <w:t xml:space="preserve"> no segundo inquérito </w:t>
      </w:r>
      <w:r w:rsidR="00A51C8A">
        <w:t xml:space="preserve">para </w:t>
      </w:r>
      <w:r w:rsidR="008221D1">
        <w:t xml:space="preserve">Portugal e Espanha (Figura 26, </w:t>
      </w:r>
      <m:oMath>
        <m:acc>
          <m:accPr>
            <m:ctrlPr>
              <w:rPr>
                <w:rFonts w:ascii="Cambria Math" w:hAnsi="Cambria Math"/>
                <w:i/>
              </w:rPr>
            </m:ctrlPr>
          </m:accPr>
          <m:e>
            <m:r>
              <w:rPr>
                <w:rFonts w:ascii="Cambria Math" w:hAnsi="Cambria Math"/>
              </w:rPr>
              <m:t>β</m:t>
            </m:r>
          </m:e>
        </m:acc>
      </m:oMath>
      <w:r w:rsidR="008221D1" w:rsidRPr="004D55DA">
        <w:t>=0,</w:t>
      </w:r>
      <w:r w:rsidR="008221D1">
        <w:t>70) e no segundo inquérito</w:t>
      </w:r>
      <w:r w:rsidR="00A51C8A">
        <w:t xml:space="preserve"> da</w:t>
      </w:r>
      <w:r w:rsidR="008221D1">
        <w:t xml:space="preserve"> Europa para a </w:t>
      </w:r>
      <w:r w:rsidR="00A51C8A" w:rsidRPr="00A51C8A">
        <w:rPr>
          <w:i/>
        </w:rPr>
        <w:t>s</w:t>
      </w:r>
      <w:r w:rsidR="008221D1" w:rsidRPr="00A51C8A">
        <w:rPr>
          <w:i/>
        </w:rPr>
        <w:t>atisfação do cliente</w:t>
      </w:r>
      <w:r w:rsidR="008221D1">
        <w:t xml:space="preserve"> (Figura 31, </w:t>
      </w:r>
      <m:oMath>
        <m:acc>
          <m:accPr>
            <m:ctrlPr>
              <w:rPr>
                <w:rFonts w:ascii="Cambria Math" w:hAnsi="Cambria Math"/>
                <w:i/>
              </w:rPr>
            </m:ctrlPr>
          </m:accPr>
          <m:e>
            <m:r>
              <w:rPr>
                <w:rFonts w:ascii="Cambria Math" w:hAnsi="Cambria Math"/>
              </w:rPr>
              <m:t>β</m:t>
            </m:r>
          </m:e>
        </m:acc>
      </m:oMath>
      <w:r w:rsidR="008221D1" w:rsidRPr="004D55DA">
        <w:t>=0,</w:t>
      </w:r>
      <w:r w:rsidR="008221D1">
        <w:t>33).</w:t>
      </w:r>
    </w:p>
    <w:p w:rsidR="00117817" w:rsidRDefault="00117817" w:rsidP="00015B88">
      <w:pPr>
        <w:spacing w:line="360" w:lineRule="auto"/>
        <w:jc w:val="both"/>
      </w:pPr>
      <w:r>
        <w:lastRenderedPageBreak/>
        <w:t xml:space="preserve">A existência de áreas logísticas junto ao porto surge como variável observada da latente </w:t>
      </w:r>
      <w:r w:rsidR="00692639" w:rsidRPr="00692639">
        <w:rPr>
          <w:i/>
        </w:rPr>
        <w:t>a</w:t>
      </w:r>
      <w:r w:rsidRPr="00692639">
        <w:rPr>
          <w:i/>
        </w:rPr>
        <w:t>cessibilidades terrestres</w:t>
      </w:r>
      <w:r>
        <w:t xml:space="preserve"> no segundo inquérito</w:t>
      </w:r>
      <w:r w:rsidR="00692639">
        <w:t xml:space="preserve"> de</w:t>
      </w:r>
      <w:r>
        <w:t xml:space="preserve"> Portugal e Espanha, </w:t>
      </w:r>
      <w:r w:rsidR="00692639">
        <w:t>admitindo-se a possibilidade d</w:t>
      </w:r>
      <w:r>
        <w:t>esta característica do porto ser importante para o desempenho do termina</w:t>
      </w:r>
      <w:r w:rsidR="00692639">
        <w:t>l</w:t>
      </w:r>
      <w:r>
        <w:t xml:space="preserve">, em especial </w:t>
      </w:r>
      <w:r w:rsidR="00692639">
        <w:t xml:space="preserve">para </w:t>
      </w:r>
      <w:r>
        <w:t xml:space="preserve">a </w:t>
      </w:r>
      <w:r w:rsidR="00692639" w:rsidRPr="00692639">
        <w:rPr>
          <w:i/>
        </w:rPr>
        <w:t>s</w:t>
      </w:r>
      <w:r w:rsidRPr="00692639">
        <w:rPr>
          <w:i/>
        </w:rPr>
        <w:t>atisfação do cliente</w:t>
      </w:r>
      <w:r>
        <w:t>.</w:t>
      </w:r>
    </w:p>
    <w:p w:rsidR="00A8252B" w:rsidRPr="004D55DA" w:rsidRDefault="00A8252B" w:rsidP="00A8252B">
      <w:pPr>
        <w:spacing w:line="360" w:lineRule="auto"/>
        <w:jc w:val="both"/>
      </w:pPr>
      <w:r>
        <w:t xml:space="preserve">Verifica-se que </w:t>
      </w:r>
      <w:r w:rsidRPr="004D55DA">
        <w:t xml:space="preserve">a dimensão dos portos </w:t>
      </w:r>
      <w:r>
        <w:t>influencia a</w:t>
      </w:r>
      <w:r w:rsidRPr="004D55DA">
        <w:t xml:space="preserve"> eficiência relativa</w:t>
      </w:r>
      <w:r>
        <w:t xml:space="preserve"> e a atividade do terminal de contentores (Barros, 2006), sendo</w:t>
      </w:r>
      <w:r w:rsidRPr="004D55DA">
        <w:t xml:space="preserve"> a dimensão uma variável instrumen</w:t>
      </w:r>
      <w:r>
        <w:t>tal para aumentar a eficiência, com o seu efeito de escala e aprendizagem (Serrano &amp; Trujillo, 2005), o que é consistente com os resultados do segundo inqu</w:t>
      </w:r>
      <w:r w:rsidR="002B23D0">
        <w:t xml:space="preserve">érito para a Europa, </w:t>
      </w:r>
      <w:r w:rsidR="005D1708">
        <w:t>em que se verifica</w:t>
      </w:r>
      <w:r w:rsidR="002B23D0">
        <w:t xml:space="preserve"> que o </w:t>
      </w:r>
      <w:r w:rsidRPr="005D1708">
        <w:rPr>
          <w:i/>
        </w:rPr>
        <w:t>comprimento do porto</w:t>
      </w:r>
      <w:r>
        <w:t xml:space="preserve"> influencia a </w:t>
      </w:r>
      <w:r w:rsidRPr="005D1708">
        <w:rPr>
          <w:i/>
        </w:rPr>
        <w:t>atividade</w:t>
      </w:r>
      <w:r>
        <w:t xml:space="preserve"> (</w:t>
      </w:r>
      <m:oMath>
        <m:acc>
          <m:accPr>
            <m:ctrlPr>
              <w:rPr>
                <w:rFonts w:ascii="Cambria Math" w:hAnsi="Cambria Math"/>
                <w:i/>
              </w:rPr>
            </m:ctrlPr>
          </m:accPr>
          <m:e>
            <m:r>
              <w:rPr>
                <w:rFonts w:ascii="Cambria Math" w:hAnsi="Cambria Math"/>
              </w:rPr>
              <m:t>β</m:t>
            </m:r>
          </m:e>
        </m:acc>
      </m:oMath>
      <w:r w:rsidRPr="004D55DA">
        <w:t>=0,</w:t>
      </w:r>
      <w:r w:rsidR="0009687B">
        <w:t>57</w:t>
      </w:r>
      <w:r>
        <w:t xml:space="preserve">) </w:t>
      </w:r>
      <w:r w:rsidR="005D1708">
        <w:t xml:space="preserve">diretamente </w:t>
      </w:r>
      <w:r>
        <w:t>e</w:t>
      </w:r>
      <w:r w:rsidR="00C25DBF">
        <w:t xml:space="preserve"> indiretamente</w:t>
      </w:r>
      <w:r w:rsidR="005D1708">
        <w:t xml:space="preserve"> através</w:t>
      </w:r>
      <w:r>
        <w:t xml:space="preserve"> </w:t>
      </w:r>
      <w:r w:rsidR="005D1708">
        <w:t>d</w:t>
      </w:r>
      <w:r>
        <w:t xml:space="preserve">a </w:t>
      </w:r>
      <w:r w:rsidRPr="005D1708">
        <w:rPr>
          <w:i/>
        </w:rPr>
        <w:t>eficiência</w:t>
      </w:r>
      <w:r>
        <w:t xml:space="preserve"> </w:t>
      </w:r>
      <m:oMath>
        <m:r>
          <w:rPr>
            <w:rFonts w:ascii="Cambria Math" w:hAnsi="Cambria Math"/>
          </w:rPr>
          <m:t>(</m:t>
        </m:r>
        <m:acc>
          <m:accPr>
            <m:ctrlPr>
              <w:rPr>
                <w:rFonts w:ascii="Cambria Math" w:hAnsi="Cambria Math"/>
                <w:i/>
              </w:rPr>
            </m:ctrlPr>
          </m:accPr>
          <m:e>
            <m:r>
              <w:rPr>
                <w:rFonts w:ascii="Cambria Math" w:hAnsi="Cambria Math"/>
              </w:rPr>
              <m:t>β</m:t>
            </m:r>
          </m:e>
        </m:acc>
        <m:r>
          <w:rPr>
            <w:rFonts w:ascii="Cambria Math" w:hAnsi="Cambria Math"/>
          </w:rPr>
          <m:t>=0,53 × 0,48)</m:t>
        </m:r>
      </m:oMath>
      <w:r>
        <w:t xml:space="preserve"> do terminal de contentores</w:t>
      </w:r>
      <w:r w:rsidR="00433B0A">
        <w:t xml:space="preserve"> (Figura 25)</w:t>
      </w:r>
      <w:r>
        <w:t>.</w:t>
      </w:r>
    </w:p>
    <w:p w:rsidR="00A8252B" w:rsidRDefault="00E76BDF" w:rsidP="00015B88">
      <w:pPr>
        <w:spacing w:line="360" w:lineRule="auto"/>
        <w:jc w:val="both"/>
      </w:pPr>
      <w:r w:rsidRPr="004D55DA">
        <w:t xml:space="preserve">Não se rejeita a </w:t>
      </w:r>
      <w:r w:rsidRPr="004A2D16">
        <w:rPr>
          <w:u w:val="single"/>
        </w:rPr>
        <w:t>Hipótese H2</w:t>
      </w:r>
      <w:r w:rsidRPr="004D55DA">
        <w:t xml:space="preserve"> relativa à influência </w:t>
      </w:r>
      <w:r>
        <w:t>infraestrutura</w:t>
      </w:r>
      <w:r w:rsidRPr="004D55DA">
        <w:t xml:space="preserve"> do porto no desempenho do terminal</w:t>
      </w:r>
      <w:r>
        <w:t xml:space="preserve"> de contentores</w:t>
      </w:r>
      <w:r w:rsidRPr="004D55DA">
        <w:t>.</w:t>
      </w:r>
    </w:p>
    <w:p w:rsidR="008221D1" w:rsidRPr="004D55DA" w:rsidRDefault="008221D1" w:rsidP="00015B88">
      <w:pPr>
        <w:spacing w:line="360" w:lineRule="auto"/>
        <w:jc w:val="both"/>
      </w:pPr>
    </w:p>
    <w:p w:rsidR="00015B88" w:rsidRDefault="00015B88" w:rsidP="00015B88"/>
    <w:p w:rsidR="008221D1" w:rsidRDefault="00E76BDF" w:rsidP="00015B88">
      <w:pPr>
        <w:rPr>
          <w:b/>
        </w:rPr>
      </w:pPr>
      <w:r w:rsidRPr="00E76BDF">
        <w:rPr>
          <w:b/>
        </w:rPr>
        <w:t>Hipótese 3</w:t>
      </w:r>
      <w:r>
        <w:rPr>
          <w:b/>
        </w:rPr>
        <w:t xml:space="preserve"> – Serviços do porto (“Soft-port”)</w:t>
      </w:r>
    </w:p>
    <w:p w:rsidR="00AD25F9" w:rsidRPr="00E76BDF" w:rsidRDefault="00AD25F9" w:rsidP="00015B88">
      <w:pPr>
        <w:rPr>
          <w:b/>
        </w:rPr>
      </w:pPr>
    </w:p>
    <w:p w:rsidR="004A2D16" w:rsidRDefault="004A2D16" w:rsidP="004A2D16">
      <w:pPr>
        <w:spacing w:line="360" w:lineRule="auto"/>
        <w:jc w:val="both"/>
      </w:pPr>
      <w:r>
        <w:t>Concorda-se que o</w:t>
      </w:r>
      <w:r w:rsidRPr="004D55DA">
        <w:t>s portos com maior especialização em contentores têm habitualmente maiores níveis de eficiência na utilização das respetivas infraestruturas de cais. Um porto especializado consegue normalmente ter elevados níveis de eficiência</w:t>
      </w:r>
      <w:r w:rsidR="00897D8D">
        <w:t xml:space="preserve"> dos seus serviços</w:t>
      </w:r>
      <w:r w:rsidRPr="004D55DA">
        <w:t xml:space="preserve">, devido </w:t>
      </w:r>
      <w:r w:rsidR="00897D8D">
        <w:t xml:space="preserve">à </w:t>
      </w:r>
      <w:r w:rsidRPr="004D55DA">
        <w:t>adequação total a certo tipo de carga e operações. Fica ainda demonstrada a grande importância da especialização do porto no tráfego regular</w:t>
      </w:r>
      <w:r>
        <w:t xml:space="preserve"> de contentores e </w:t>
      </w:r>
      <w:r w:rsidR="00136906">
        <w:t>despectivos</w:t>
      </w:r>
      <w:r>
        <w:t xml:space="preserve"> navios</w:t>
      </w:r>
      <w:r w:rsidRPr="004D55DA">
        <w:t xml:space="preserve">, verificada </w:t>
      </w:r>
      <w:r w:rsidR="00897D8D">
        <w:t xml:space="preserve">também </w:t>
      </w:r>
      <w:r w:rsidRPr="004D55DA">
        <w:t>através da grande frequência de l</w:t>
      </w:r>
      <w:r w:rsidR="00897D8D">
        <w:t>inhas regulares de contentores a</w:t>
      </w:r>
      <w:r w:rsidRPr="004D55DA">
        <w:t xml:space="preserve">o porto, o que permite aos carregadores maior escolha, maior flexibilidade e menores “transit times”, sendo associado a uma maior especialização do porto em contentores (Tongzon, 2002). Estes resultados </w:t>
      </w:r>
      <w:r>
        <w:t>não permitem rejeitar</w:t>
      </w:r>
      <w:r w:rsidRPr="004D55DA">
        <w:t xml:space="preserve"> a importância da especialização dos serviços do porto</w:t>
      </w:r>
      <w:r>
        <w:t xml:space="preserve"> para o desempenho do terminal, em especial no segund</w:t>
      </w:r>
      <w:r w:rsidR="00897D8D">
        <w:t xml:space="preserve">o inquérito, em que a variável </w:t>
      </w:r>
      <w:r w:rsidR="00897D8D" w:rsidRPr="00897D8D">
        <w:rPr>
          <w:i/>
        </w:rPr>
        <w:t>e</w:t>
      </w:r>
      <w:r w:rsidRPr="00897D8D">
        <w:rPr>
          <w:i/>
        </w:rPr>
        <w:t>specialização do porto</w:t>
      </w:r>
      <w:r>
        <w:t xml:space="preserve"> em contentores (</w:t>
      </w:r>
      <m:oMath>
        <m:acc>
          <m:accPr>
            <m:ctrlPr>
              <w:rPr>
                <w:rFonts w:ascii="Cambria Math" w:hAnsi="Cambria Math"/>
                <w:i/>
              </w:rPr>
            </m:ctrlPr>
          </m:accPr>
          <m:e>
            <m:r>
              <w:rPr>
                <w:rFonts w:ascii="Cambria Math" w:hAnsi="Cambria Math"/>
              </w:rPr>
              <m:t>β</m:t>
            </m:r>
          </m:e>
        </m:acc>
      </m:oMath>
      <w:r w:rsidRPr="004D55DA">
        <w:t>=0,</w:t>
      </w:r>
      <w:r>
        <w:t xml:space="preserve">54) </w:t>
      </w:r>
      <w:r w:rsidR="00433B0A">
        <w:t>explica</w:t>
      </w:r>
      <w:r>
        <w:t xml:space="preserve"> a </w:t>
      </w:r>
      <w:r w:rsidR="00897D8D" w:rsidRPr="00897D8D">
        <w:rPr>
          <w:i/>
        </w:rPr>
        <w:t>s</w:t>
      </w:r>
      <w:r w:rsidRPr="00897D8D">
        <w:rPr>
          <w:i/>
        </w:rPr>
        <w:t>atisfação do cliente</w:t>
      </w:r>
      <w:r w:rsidR="00433B0A">
        <w:t xml:space="preserve"> (Figura 26)</w:t>
      </w:r>
      <w:r>
        <w:t>.</w:t>
      </w:r>
    </w:p>
    <w:p w:rsidR="00433B0A" w:rsidRDefault="00897D8D" w:rsidP="004A2D16">
      <w:pPr>
        <w:spacing w:line="360" w:lineRule="auto"/>
        <w:jc w:val="both"/>
      </w:pPr>
      <w:r>
        <w:t>Os</w:t>
      </w:r>
      <w:r w:rsidR="004A2D16">
        <w:t xml:space="preserve"> serviços de reboque e pilotagem do porto </w:t>
      </w:r>
      <w:r>
        <w:t xml:space="preserve">são </w:t>
      </w:r>
      <w:r w:rsidR="004A2D16">
        <w:t>entendido</w:t>
      </w:r>
      <w:r>
        <w:t>s como</w:t>
      </w:r>
      <w:r w:rsidR="004A2D16">
        <w:t xml:space="preserve"> serviço</w:t>
      </w:r>
      <w:r>
        <w:t>s</w:t>
      </w:r>
      <w:r w:rsidR="004A2D16">
        <w:t xml:space="preserve"> do terminal no primeiro inquérito e </w:t>
      </w:r>
      <w:r>
        <w:t xml:space="preserve">a sua qualidade é </w:t>
      </w:r>
      <w:r w:rsidR="004A2D16">
        <w:t>conside</w:t>
      </w:r>
      <w:r>
        <w:t>rada</w:t>
      </w:r>
      <w:r w:rsidR="004A2D16">
        <w:t xml:space="preserve"> no âmbito da variável </w:t>
      </w:r>
      <w:r w:rsidRPr="00897D8D">
        <w:rPr>
          <w:i/>
        </w:rPr>
        <w:t>i</w:t>
      </w:r>
      <w:r w:rsidR="00433B0A" w:rsidRPr="00897D8D">
        <w:rPr>
          <w:i/>
        </w:rPr>
        <w:t>ntegração logística e organização do termina</w:t>
      </w:r>
      <w:r w:rsidR="00433B0A">
        <w:t>l (</w:t>
      </w:r>
      <m:oMath>
        <m:acc>
          <m:accPr>
            <m:ctrlPr>
              <w:rPr>
                <w:rFonts w:ascii="Cambria Math" w:hAnsi="Cambria Math"/>
                <w:i/>
              </w:rPr>
            </m:ctrlPr>
          </m:accPr>
          <m:e>
            <m:r>
              <w:rPr>
                <w:rFonts w:ascii="Cambria Math" w:hAnsi="Cambria Math"/>
              </w:rPr>
              <m:t>β</m:t>
            </m:r>
          </m:e>
        </m:acc>
      </m:oMath>
      <w:r w:rsidR="00433B0A" w:rsidRPr="004D55DA">
        <w:t>=0,</w:t>
      </w:r>
      <w:r w:rsidR="00433B0A">
        <w:t>60, Figura 18)</w:t>
      </w:r>
      <w:r>
        <w:t xml:space="preserve"> explicativa do desempenho</w:t>
      </w:r>
      <w:r w:rsidR="00433B0A">
        <w:t>, corroborando o que é defendido por Juang e Roe (2010).</w:t>
      </w:r>
    </w:p>
    <w:p w:rsidR="00405D37" w:rsidRDefault="00EB59B8" w:rsidP="004A2D16">
      <w:pPr>
        <w:spacing w:line="360" w:lineRule="auto"/>
        <w:jc w:val="both"/>
      </w:pPr>
      <w:r>
        <w:t xml:space="preserve">Verifica-se que o dinamismo da Autoridade Portuária e da Comunidade Portuária influenciam o desempenho, </w:t>
      </w:r>
      <w:r w:rsidR="00211084">
        <w:t>uma vez que cabe a estas entidades a procura de</w:t>
      </w:r>
      <w:r>
        <w:t xml:space="preserve"> soluções logísticas adequadas ao porto e divulga</w:t>
      </w:r>
      <w:r w:rsidR="00211084">
        <w:t>ção</w:t>
      </w:r>
      <w:r>
        <w:t xml:space="preserve"> </w:t>
      </w:r>
      <w:r w:rsidR="00211084">
        <w:t>d</w:t>
      </w:r>
      <w:r>
        <w:t xml:space="preserve">a </w:t>
      </w:r>
      <w:r w:rsidR="00136906">
        <w:t>despectiva</w:t>
      </w:r>
      <w:r>
        <w:t xml:space="preserve"> imagem (Van Der Horst &amp; De Lagen, 2008), surgindo </w:t>
      </w:r>
      <w:r w:rsidR="00211084">
        <w:lastRenderedPageBreak/>
        <w:t xml:space="preserve">esta variável </w:t>
      </w:r>
      <w:r>
        <w:t xml:space="preserve">no primeiro inquérito com </w:t>
      </w:r>
      <m:oMath>
        <m:acc>
          <m:accPr>
            <m:ctrlPr>
              <w:rPr>
                <w:rFonts w:ascii="Cambria Math" w:hAnsi="Cambria Math"/>
                <w:i/>
              </w:rPr>
            </m:ctrlPr>
          </m:accPr>
          <m:e>
            <m:r>
              <w:rPr>
                <w:rFonts w:ascii="Cambria Math" w:hAnsi="Cambria Math"/>
              </w:rPr>
              <m:t>β</m:t>
            </m:r>
          </m:e>
        </m:acc>
      </m:oMath>
      <w:r w:rsidRPr="004D55DA">
        <w:t>=0,</w:t>
      </w:r>
      <w:r>
        <w:t>79</w:t>
      </w:r>
      <w:r w:rsidR="00211084">
        <w:t xml:space="preserve"> na explicação do desempenho</w:t>
      </w:r>
      <w:r>
        <w:t>.</w:t>
      </w:r>
      <w:r w:rsidR="00405D37" w:rsidRPr="00405D37">
        <w:t xml:space="preserve"> </w:t>
      </w:r>
      <w:r w:rsidR="00405D37">
        <w:t xml:space="preserve">Não </w:t>
      </w:r>
      <w:r w:rsidR="00211084">
        <w:t>se rejeitam</w:t>
      </w:r>
      <w:r w:rsidR="00405D37" w:rsidRPr="004D55DA">
        <w:t xml:space="preserve"> as conclusões de Pando </w:t>
      </w:r>
      <w:r w:rsidR="00405D37" w:rsidRPr="00D713C2">
        <w:rPr>
          <w:i/>
        </w:rPr>
        <w:t>et al</w:t>
      </w:r>
      <w:r w:rsidR="005436E3" w:rsidRPr="00D713C2">
        <w:rPr>
          <w:i/>
        </w:rPr>
        <w:t>.</w:t>
      </w:r>
      <w:r w:rsidR="00405D37" w:rsidRPr="004D55DA">
        <w:t xml:space="preserve"> (2005), Pardali e Kounoupas (2007) e Cahoon (2007) sobre a importância dos instrumentos do marketing portuário e da </w:t>
      </w:r>
      <w:r w:rsidR="00211084">
        <w:t xml:space="preserve">marca e </w:t>
      </w:r>
      <w:r w:rsidR="00405D37" w:rsidRPr="004D55DA">
        <w:t>imagem</w:t>
      </w:r>
      <w:r w:rsidR="00211084">
        <w:t xml:space="preserve"> de marca</w:t>
      </w:r>
      <w:r w:rsidR="00405D37" w:rsidRPr="004D55DA">
        <w:t xml:space="preserve"> para o desempenho e as conclusões de Notteboom (2011) sobre a importância do trabalho desenvolvido pela comunidade portuária na vertente do marketing para a reputação do porto e o desempenho do terminal. Por outro lado, confirma-se a importância do dinamismo da autoridade portuária enquanto coordenadora geral do porto, com influênc</w:t>
      </w:r>
      <w:r w:rsidR="00405D37">
        <w:t>ia no desempenho dos terminais.</w:t>
      </w:r>
    </w:p>
    <w:p w:rsidR="004A2D16" w:rsidRPr="004D55DA" w:rsidRDefault="00405D37" w:rsidP="004A2D16">
      <w:pPr>
        <w:spacing w:line="360" w:lineRule="auto"/>
        <w:jc w:val="both"/>
      </w:pPr>
      <w:r>
        <w:t xml:space="preserve">A integração dos portos nas cadeias logísticas terrestres surge como parte das </w:t>
      </w:r>
      <w:r w:rsidR="00211084" w:rsidRPr="00211084">
        <w:rPr>
          <w:i/>
        </w:rPr>
        <w:t>a</w:t>
      </w:r>
      <w:r w:rsidRPr="00211084">
        <w:rPr>
          <w:i/>
        </w:rPr>
        <w:t>cessibilidades terrestres</w:t>
      </w:r>
      <w:r>
        <w:t xml:space="preserve"> ao porto no primeiro inquérito com influência no desempenho do terminal, não se rejeitando o defendido por Juang e Roe (2010) e Onut et al. (2011)</w:t>
      </w:r>
      <w:r w:rsidR="00211084">
        <w:t xml:space="preserve"> sobre este tema, embora num constructo diverso do inicial</w:t>
      </w:r>
      <w:r>
        <w:t>.</w:t>
      </w:r>
      <w:r w:rsidR="00433B0A">
        <w:t xml:space="preserve"> </w:t>
      </w:r>
    </w:p>
    <w:p w:rsidR="00015B88" w:rsidRPr="008F04C2" w:rsidRDefault="00015B88" w:rsidP="00015B88">
      <w:pPr>
        <w:spacing w:line="360" w:lineRule="auto"/>
        <w:jc w:val="both"/>
        <w:rPr>
          <w:i/>
        </w:rPr>
      </w:pPr>
      <w:r w:rsidRPr="004D55DA">
        <w:t xml:space="preserve">Estes dados não permitem rejeitar a </w:t>
      </w:r>
      <w:r w:rsidRPr="008E7136">
        <w:rPr>
          <w:u w:val="single"/>
        </w:rPr>
        <w:t>Hipótese H3</w:t>
      </w:r>
      <w:r w:rsidR="005436E3">
        <w:rPr>
          <w:u w:val="single"/>
        </w:rPr>
        <w:t>, porque o</w:t>
      </w:r>
      <w:r w:rsidRPr="004D55DA">
        <w:t xml:space="preserve">s </w:t>
      </w:r>
      <w:r w:rsidR="00136906" w:rsidRPr="004D55DA">
        <w:t>fatores</w:t>
      </w:r>
      <w:r w:rsidRPr="004D55DA">
        <w:t xml:space="preserve"> relacionados com o serviço </w:t>
      </w:r>
      <w:r w:rsidR="008E7136">
        <w:t xml:space="preserve">do porto </w:t>
      </w:r>
      <w:r w:rsidRPr="004D55DA">
        <w:t>influenciam o desempenho do terminal de contentores</w:t>
      </w:r>
      <w:r w:rsidR="00A41A9C">
        <w:t xml:space="preserve">, em especial a </w:t>
      </w:r>
      <w:r w:rsidR="008F04C2" w:rsidRPr="008F04C2">
        <w:rPr>
          <w:i/>
        </w:rPr>
        <w:t>s</w:t>
      </w:r>
      <w:r w:rsidR="00A41A9C" w:rsidRPr="008F04C2">
        <w:rPr>
          <w:i/>
        </w:rPr>
        <w:t>atisfação do cliente</w:t>
      </w:r>
      <w:r w:rsidRPr="008F04C2">
        <w:rPr>
          <w:i/>
        </w:rPr>
        <w:t>.</w:t>
      </w:r>
    </w:p>
    <w:p w:rsidR="004A2D16" w:rsidRDefault="004A2D16" w:rsidP="00015B88">
      <w:pPr>
        <w:spacing w:line="360" w:lineRule="auto"/>
        <w:jc w:val="both"/>
      </w:pPr>
    </w:p>
    <w:p w:rsidR="00473D4C" w:rsidRDefault="00473D4C" w:rsidP="00015B88"/>
    <w:p w:rsidR="00473D4C" w:rsidRDefault="00473D4C" w:rsidP="00015B88">
      <w:pPr>
        <w:rPr>
          <w:b/>
        </w:rPr>
      </w:pPr>
      <w:r w:rsidRPr="00473D4C">
        <w:rPr>
          <w:b/>
        </w:rPr>
        <w:t>Hipótese 4 – Infraestruturas do terminal (“Hard-terminal”)</w:t>
      </w:r>
    </w:p>
    <w:p w:rsidR="00AD25F9" w:rsidRPr="00AD25F9" w:rsidRDefault="00AD25F9" w:rsidP="00015B88">
      <w:pPr>
        <w:rPr>
          <w:b/>
        </w:rPr>
      </w:pPr>
    </w:p>
    <w:p w:rsidR="006865B5" w:rsidRDefault="006865B5" w:rsidP="006865B5">
      <w:pPr>
        <w:spacing w:line="360" w:lineRule="auto"/>
        <w:jc w:val="both"/>
      </w:pPr>
      <w:r>
        <w:t xml:space="preserve">Os </w:t>
      </w:r>
      <w:r w:rsidRPr="000872B5">
        <w:rPr>
          <w:i/>
        </w:rPr>
        <w:t>fundos marítimos</w:t>
      </w:r>
      <w:r>
        <w:t xml:space="preserve"> do terminal surgem como variável explicativa no primeiro inquérito (</w:t>
      </w:r>
      <m:oMath>
        <m:acc>
          <m:accPr>
            <m:ctrlPr>
              <w:rPr>
                <w:rFonts w:ascii="Cambria Math" w:hAnsi="Cambria Math"/>
                <w:i/>
              </w:rPr>
            </m:ctrlPr>
          </m:accPr>
          <m:e>
            <m:r>
              <w:rPr>
                <w:rFonts w:ascii="Cambria Math" w:hAnsi="Cambria Math"/>
              </w:rPr>
              <m:t>β</m:t>
            </m:r>
          </m:e>
        </m:acc>
      </m:oMath>
      <w:r w:rsidRPr="004D55DA">
        <w:t>=0,</w:t>
      </w:r>
      <w:r>
        <w:t xml:space="preserve">67) da </w:t>
      </w:r>
      <w:r w:rsidR="000872B5" w:rsidRPr="000872B5">
        <w:rPr>
          <w:i/>
        </w:rPr>
        <w:t>s</w:t>
      </w:r>
      <w:r w:rsidRPr="000872B5">
        <w:rPr>
          <w:i/>
        </w:rPr>
        <w:t>atisfação do cliente</w:t>
      </w:r>
      <w:r>
        <w:t xml:space="preserve"> e </w:t>
      </w:r>
      <w:r w:rsidR="000872B5">
        <w:t xml:space="preserve">surgem integrados </w:t>
      </w:r>
      <w:r>
        <w:t>no</w:t>
      </w:r>
      <w:r w:rsidR="00B75493">
        <w:t>s</w:t>
      </w:r>
      <w:r>
        <w:t xml:space="preserve"> </w:t>
      </w:r>
      <w:r w:rsidR="000872B5" w:rsidRPr="000872B5">
        <w:rPr>
          <w:i/>
        </w:rPr>
        <w:t>s</w:t>
      </w:r>
      <w:r w:rsidRPr="000872B5">
        <w:rPr>
          <w:i/>
        </w:rPr>
        <w:t>erviços marítimos</w:t>
      </w:r>
      <w:r>
        <w:t xml:space="preserve"> do terminal no segundo inquérito </w:t>
      </w:r>
      <w:r w:rsidR="00B75493">
        <w:t xml:space="preserve">da </w:t>
      </w:r>
      <w:r>
        <w:t>Europa, explica</w:t>
      </w:r>
      <w:r w:rsidR="000872B5">
        <w:t>ndo</w:t>
      </w:r>
      <w:r>
        <w:t xml:space="preserve"> com </w:t>
      </w:r>
      <m:oMath>
        <m:acc>
          <m:accPr>
            <m:ctrlPr>
              <w:rPr>
                <w:rFonts w:ascii="Cambria Math" w:hAnsi="Cambria Math"/>
                <w:i/>
              </w:rPr>
            </m:ctrlPr>
          </m:accPr>
          <m:e>
            <m:r>
              <w:rPr>
                <w:rFonts w:ascii="Cambria Math" w:hAnsi="Cambria Math"/>
              </w:rPr>
              <m:t>β</m:t>
            </m:r>
          </m:e>
        </m:acc>
      </m:oMath>
      <w:r w:rsidRPr="004D55DA">
        <w:t>=0,</w:t>
      </w:r>
      <w:r w:rsidR="000872B5">
        <w:t xml:space="preserve">23 </w:t>
      </w:r>
      <w:r>
        <w:t xml:space="preserve">a </w:t>
      </w:r>
      <w:r w:rsidR="000872B5" w:rsidRPr="000872B5">
        <w:rPr>
          <w:i/>
        </w:rPr>
        <w:t>s</w:t>
      </w:r>
      <w:r w:rsidRPr="000872B5">
        <w:rPr>
          <w:i/>
        </w:rPr>
        <w:t>atisfação</w:t>
      </w:r>
      <w:r w:rsidR="000872B5" w:rsidRPr="000872B5">
        <w:rPr>
          <w:i/>
        </w:rPr>
        <w:t xml:space="preserve"> do cliente</w:t>
      </w:r>
      <w:r>
        <w:t xml:space="preserve"> e </w:t>
      </w:r>
      <w:r w:rsidR="000872B5">
        <w:t xml:space="preserve">com </w:t>
      </w:r>
      <m:oMath>
        <m:acc>
          <m:accPr>
            <m:ctrlPr>
              <w:rPr>
                <w:rFonts w:ascii="Cambria Math" w:hAnsi="Cambria Math"/>
                <w:i/>
              </w:rPr>
            </m:ctrlPr>
          </m:accPr>
          <m:e>
            <m:r>
              <w:rPr>
                <w:rFonts w:ascii="Cambria Math" w:hAnsi="Cambria Math"/>
              </w:rPr>
              <m:t>β</m:t>
            </m:r>
          </m:e>
        </m:acc>
      </m:oMath>
      <w:r w:rsidRPr="004D55DA">
        <w:t>=0,</w:t>
      </w:r>
      <w:r w:rsidR="000872B5">
        <w:t xml:space="preserve">16 </w:t>
      </w:r>
      <w:r>
        <w:t xml:space="preserve">a </w:t>
      </w:r>
      <w:r w:rsidR="000872B5" w:rsidRPr="000872B5">
        <w:rPr>
          <w:i/>
        </w:rPr>
        <w:t>a</w:t>
      </w:r>
      <w:r w:rsidRPr="000872B5">
        <w:rPr>
          <w:i/>
        </w:rPr>
        <w:t>tividade</w:t>
      </w:r>
      <w:r>
        <w:t xml:space="preserve">. Concordando-se assim com Wang e Cullinane (2006) </w:t>
      </w:r>
      <w:r w:rsidR="002064FE">
        <w:t>relativamente aos</w:t>
      </w:r>
      <w:r>
        <w:t xml:space="preserve"> fundo</w:t>
      </w:r>
      <w:r w:rsidR="002064FE">
        <w:t>s do terminal</w:t>
      </w:r>
      <w:r>
        <w:t xml:space="preserve"> permitirem a acostagem de navios maiores e assim, atraindo mais carga e navios.</w:t>
      </w:r>
    </w:p>
    <w:p w:rsidR="00F74948" w:rsidRPr="004D55DA" w:rsidRDefault="00F74948" w:rsidP="00F74948">
      <w:pPr>
        <w:spacing w:line="360" w:lineRule="auto"/>
        <w:jc w:val="both"/>
      </w:pPr>
      <w:r w:rsidRPr="004D55DA">
        <w:t xml:space="preserve">Os resultados </w:t>
      </w:r>
      <w:r>
        <w:t>não permitem rejeitar</w:t>
      </w:r>
      <w:r w:rsidRPr="004D55DA">
        <w:t xml:space="preserve"> a importância da infraestrutura do terminal, em especial da capacidade de utilização intensiva de pórticos de cais do terminal de contentores, o que está associado a navios maiores, que permitem o uso de maior número de pórticos em simultâneo, a fundos maiores que permitem a acostagem de navios maiores e a grandes terraplenos, que permitem o serviço de maior número de contentores por metro linear de cais, ou seja maior produtividade</w:t>
      </w:r>
      <w:r>
        <w:t xml:space="preserve"> (Cullinane &amp; Wang, 2010)</w:t>
      </w:r>
      <w:r w:rsidRPr="004D55DA">
        <w:t>.</w:t>
      </w:r>
    </w:p>
    <w:p w:rsidR="004A2D16" w:rsidRPr="004D55DA" w:rsidRDefault="00136906" w:rsidP="004A2D16">
      <w:pPr>
        <w:spacing w:line="360" w:lineRule="auto"/>
        <w:jc w:val="both"/>
      </w:pPr>
      <w:r>
        <w:t>Não se rejeita que o</w:t>
      </w:r>
      <w:r w:rsidRPr="004D55DA">
        <w:t xml:space="preserve"> investimento </w:t>
      </w:r>
      <w:r>
        <w:t>do terminal</w:t>
      </w:r>
      <w:r w:rsidRPr="004D55DA">
        <w:t xml:space="preserve"> em infraestruturas e a intensidade do capital nos são fatores explicativo</w:t>
      </w:r>
      <w:r>
        <w:t>s</w:t>
      </w:r>
      <w:r w:rsidRPr="004D55DA">
        <w:t xml:space="preserve"> para as diferenças de desempenho e eficiência nos portos (Liu, 1995). </w:t>
      </w:r>
      <w:r w:rsidR="004A2D16" w:rsidRPr="004D55DA">
        <w:t xml:space="preserve">Um grande movimento de navios apenas é possível com a existência de cais e equipamentos suficientes que permitam não ter elevados tempos de espera, incomportáveis para os navios. </w:t>
      </w:r>
      <w:r w:rsidR="004A2D16" w:rsidRPr="004D55DA">
        <w:lastRenderedPageBreak/>
        <w:t>Por outro lado, um nível elevado de eficiência na utilização do terminal, que permita ter uma posição competitiva no sector portuário, implica dispor de adequadas infraestruturas e superestruturas exploradas de forma intensiva, que facilitem a exploração dos investimentos e a operação de acordo com elevados padrões de desempenho.</w:t>
      </w:r>
    </w:p>
    <w:p w:rsidR="006F0FA9" w:rsidRDefault="00BD4308" w:rsidP="004A2D16">
      <w:pPr>
        <w:spacing w:line="360" w:lineRule="auto"/>
        <w:jc w:val="both"/>
      </w:pPr>
      <w:r>
        <w:t>Parece correto o</w:t>
      </w:r>
      <w:r w:rsidR="004A2D16" w:rsidRPr="004D55DA">
        <w:t xml:space="preserve"> referido por Onut </w:t>
      </w:r>
      <w:r w:rsidR="004A2D16" w:rsidRPr="00D713C2">
        <w:rPr>
          <w:i/>
        </w:rPr>
        <w:t>et al.</w:t>
      </w:r>
      <w:r w:rsidR="004A2D16" w:rsidRPr="004D55DA">
        <w:t xml:space="preserve"> (2011) sobre as características físicas dos terminais como a infraestrutura e o equipamento, enquanto determinantes do desempenho dos portos e terminais. </w:t>
      </w:r>
    </w:p>
    <w:p w:rsidR="004A2D16" w:rsidRPr="004D55DA" w:rsidRDefault="004A2D16" w:rsidP="004A2D16">
      <w:pPr>
        <w:spacing w:line="360" w:lineRule="auto"/>
        <w:jc w:val="both"/>
      </w:pPr>
      <w:r w:rsidRPr="004D55DA">
        <w:t xml:space="preserve">Quanto maiores os navios servidos, maior deve ser a profundidade do terrapleno, maior a capacidade do cais e maior o número de pórticos no mesmo espaço de cais. </w:t>
      </w:r>
      <w:r w:rsidR="002064FE">
        <w:t>A</w:t>
      </w:r>
      <w:r w:rsidRPr="004D55DA">
        <w:t xml:space="preserve"> capacidade do cais é uma característica do terminal de contentores que condiciona o desempenho, ao condicionar a dimensão dos navios passiveis de servem servidos de forma adequada (Acochrane, 2008; Veldman </w:t>
      </w:r>
      <w:r w:rsidRPr="00D713C2">
        <w:rPr>
          <w:i/>
        </w:rPr>
        <w:t>et al.,</w:t>
      </w:r>
      <w:r w:rsidRPr="004D55DA">
        <w:t xml:space="preserve"> 2011; Turner </w:t>
      </w:r>
      <w:r w:rsidRPr="00D713C2">
        <w:rPr>
          <w:i/>
        </w:rPr>
        <w:t>et al.,</w:t>
      </w:r>
      <w:r w:rsidRPr="004D55DA">
        <w:t xml:space="preserve"> 2004; Hung </w:t>
      </w:r>
      <w:r w:rsidRPr="00D713C2">
        <w:rPr>
          <w:i/>
        </w:rPr>
        <w:t>et al.,</w:t>
      </w:r>
      <w:r w:rsidRPr="004D55DA">
        <w:t xml:space="preserve"> 2010).</w:t>
      </w:r>
    </w:p>
    <w:p w:rsidR="004A2D16" w:rsidRPr="004D55DA" w:rsidRDefault="00BD4308" w:rsidP="004A2D16">
      <w:pPr>
        <w:spacing w:line="360" w:lineRule="auto"/>
        <w:jc w:val="both"/>
      </w:pPr>
      <w:r>
        <w:t xml:space="preserve">O </w:t>
      </w:r>
      <w:r w:rsidR="004A2D16" w:rsidRPr="004D55DA">
        <w:t xml:space="preserve">tipo, capacidade e qualidade do equipamento portuário de cais, designados pórticos de cais, e do equipamento de parque, seja empilhadores ou pórticos de parque, são determinantes da produtividade e da capacidade do cais e do terrapleno, condicionando os ritmos de carga e descarga de navios, o que pode afetar o desempenho do terminal (Sharma &amp; Yu, 2009; Cullinane &amp; Wang, 2010; Onut </w:t>
      </w:r>
      <w:r w:rsidR="004A2D16" w:rsidRPr="00D713C2">
        <w:rPr>
          <w:i/>
        </w:rPr>
        <w:t>et al.,</w:t>
      </w:r>
      <w:r w:rsidR="004A2D16" w:rsidRPr="004D55DA">
        <w:t xml:space="preserve"> 2011; Hung </w:t>
      </w:r>
      <w:r w:rsidR="004A2D16" w:rsidRPr="00D713C2">
        <w:rPr>
          <w:i/>
        </w:rPr>
        <w:t>et al.,</w:t>
      </w:r>
      <w:r w:rsidR="004A2D16" w:rsidRPr="004D55DA">
        <w:t xml:space="preserve"> 2010; Wu </w:t>
      </w:r>
      <w:r w:rsidR="004A2D16" w:rsidRPr="00D713C2">
        <w:rPr>
          <w:i/>
        </w:rPr>
        <w:t>et al.,</w:t>
      </w:r>
      <w:r w:rsidR="004A2D16" w:rsidRPr="004D55DA">
        <w:t xml:space="preserve"> 2010). </w:t>
      </w:r>
    </w:p>
    <w:p w:rsidR="004A2D16" w:rsidRDefault="004A2D16" w:rsidP="004A2D16">
      <w:pPr>
        <w:spacing w:line="360" w:lineRule="auto"/>
        <w:jc w:val="both"/>
      </w:pPr>
      <w:r w:rsidRPr="004D55DA">
        <w:t xml:space="preserve">Verificou-se que a </w:t>
      </w:r>
      <w:r w:rsidR="006F0FA9">
        <w:rPr>
          <w:i/>
        </w:rPr>
        <w:t>e</w:t>
      </w:r>
      <w:r w:rsidRPr="006F0FA9">
        <w:rPr>
          <w:i/>
        </w:rPr>
        <w:t>ficiência</w:t>
      </w:r>
      <w:r w:rsidRPr="00BD4308">
        <w:t xml:space="preserve"> do terminal é variável mediadora da influência da infraestrutura do terminal</w:t>
      </w:r>
      <w:r w:rsidR="006F0FA9">
        <w:t>, através do seu equipamento</w:t>
      </w:r>
      <w:r w:rsidRPr="00BD4308">
        <w:t xml:space="preserve"> (</w:t>
      </w:r>
      <w:r w:rsidRPr="006F0FA9">
        <w:rPr>
          <w:i/>
        </w:rPr>
        <w:t>número de pórticos por metro de cais</w:t>
      </w:r>
      <w:r w:rsidRPr="00BD4308">
        <w:t xml:space="preserve">) sobre a </w:t>
      </w:r>
      <w:r w:rsidRPr="006F0FA9">
        <w:rPr>
          <w:i/>
        </w:rPr>
        <w:t>atividade</w:t>
      </w:r>
      <w:r w:rsidRPr="00BD4308">
        <w:t xml:space="preserve"> do terminal, uma vez que a eficiência </w:t>
      </w:r>
      <w:r w:rsidR="006F0FA9">
        <w:t>mede a produtividade relativa dos fatores produtivos do terminal, contribuindo para a atividade do terminal</w:t>
      </w:r>
      <w:r w:rsidRPr="004D55DA">
        <w:t>. Ou seja, a eficiência depende em parte do “hard-port” e é potenciadora de maior procura em termos absolutos no terminal, atraindo e fidelizando clientes.</w:t>
      </w:r>
    </w:p>
    <w:p w:rsidR="00FE11B0" w:rsidRDefault="00FE11B0" w:rsidP="004A2D16">
      <w:pPr>
        <w:spacing w:line="360" w:lineRule="auto"/>
        <w:jc w:val="both"/>
      </w:pPr>
      <w:r>
        <w:t>Os resultados do segundo inquérito perm</w:t>
      </w:r>
      <w:r w:rsidR="006F0FA9">
        <w:t>item admitir a possibilidade d</w:t>
      </w:r>
      <w:r>
        <w:t xml:space="preserve">o tipo e quantidade equipamento por metro de cais do terminal de contentores ter influência sobre o desempenho, em especial na </w:t>
      </w:r>
      <w:r w:rsidRPr="006F0FA9">
        <w:rPr>
          <w:i/>
        </w:rPr>
        <w:t>atividade</w:t>
      </w:r>
      <w:r>
        <w:t xml:space="preserve"> e número de contentores movimentado. Os terminais com maior movimento são aqueles que possuem maior número de pórticos de cais por metro linear de cais, </w:t>
      </w:r>
      <w:r w:rsidR="006F0FA9">
        <w:t xml:space="preserve">o </w:t>
      </w:r>
      <w:r>
        <w:t>que possibilit</w:t>
      </w:r>
      <w:r w:rsidR="006F0FA9">
        <w:t>a</w:t>
      </w:r>
      <w:r>
        <w:t xml:space="preserve"> utilizar diversos pórticos num mesmo navio de maiores dimensões</w:t>
      </w:r>
      <w:r w:rsidR="002566FD">
        <w:t xml:space="preserve"> (Veldman </w:t>
      </w:r>
      <w:r w:rsidR="002566FD" w:rsidRPr="00D713C2">
        <w:rPr>
          <w:i/>
        </w:rPr>
        <w:t>et al.,</w:t>
      </w:r>
      <w:r w:rsidR="002566FD">
        <w:t xml:space="preserve"> 2011)</w:t>
      </w:r>
      <w:r>
        <w:t>.</w:t>
      </w:r>
      <w:r w:rsidR="002064FE">
        <w:t xml:space="preserve"> Esta variável do equipamento de cais possui assim uma influência</w:t>
      </w:r>
      <w:r w:rsidR="006F0FA9">
        <w:t xml:space="preserve"> direta na atividade e indireta através da</w:t>
      </w:r>
      <w:r w:rsidR="002064FE">
        <w:t xml:space="preserve"> </w:t>
      </w:r>
      <w:r w:rsidR="006F0FA9" w:rsidRPr="006F0FA9">
        <w:rPr>
          <w:i/>
        </w:rPr>
        <w:t>e</w:t>
      </w:r>
      <w:r w:rsidR="002064FE" w:rsidRPr="006F0FA9">
        <w:rPr>
          <w:i/>
        </w:rPr>
        <w:t>ficiência</w:t>
      </w:r>
      <w:r w:rsidR="002064FE">
        <w:t xml:space="preserve">, </w:t>
      </w:r>
      <w:r w:rsidR="006F0FA9">
        <w:t>como já se referiu.</w:t>
      </w:r>
    </w:p>
    <w:p w:rsidR="00FE11B0" w:rsidRPr="004D55DA" w:rsidRDefault="00FE11B0" w:rsidP="004A2D16">
      <w:pPr>
        <w:spacing w:line="360" w:lineRule="auto"/>
        <w:jc w:val="both"/>
      </w:pPr>
      <w:r>
        <w:t>O</w:t>
      </w:r>
      <w:r w:rsidR="00136906">
        <w:t xml:space="preserve"> “layout” </w:t>
      </w:r>
      <w:r w:rsidRPr="00F73E46">
        <w:rPr>
          <w:i/>
        </w:rPr>
        <w:t>do terminal</w:t>
      </w:r>
      <w:r>
        <w:t xml:space="preserve"> </w:t>
      </w:r>
      <w:r w:rsidR="002064FE">
        <w:t>surge nos resultados como</w:t>
      </w:r>
      <w:r>
        <w:t xml:space="preserve"> variável explicativa no âmbito da </w:t>
      </w:r>
      <w:r w:rsidR="00F73E46" w:rsidRPr="00F73E46">
        <w:rPr>
          <w:i/>
        </w:rPr>
        <w:t>i</w:t>
      </w:r>
      <w:r w:rsidRPr="00F73E46">
        <w:rPr>
          <w:i/>
        </w:rPr>
        <w:t>ntegração logística e organização do terminal</w:t>
      </w:r>
      <w:r>
        <w:t xml:space="preserve"> no primeiro inquérito (</w:t>
      </w:r>
      <w:r w:rsidR="00E83705">
        <w:t xml:space="preserve">Figura 18, </w:t>
      </w:r>
      <m:oMath>
        <m:acc>
          <m:accPr>
            <m:ctrlPr>
              <w:rPr>
                <w:rFonts w:ascii="Cambria Math" w:hAnsi="Cambria Math"/>
                <w:i/>
              </w:rPr>
            </m:ctrlPr>
          </m:accPr>
          <m:e>
            <m:r>
              <w:rPr>
                <w:rFonts w:ascii="Cambria Math" w:hAnsi="Cambria Math"/>
              </w:rPr>
              <m:t>β</m:t>
            </m:r>
          </m:e>
        </m:acc>
      </m:oMath>
      <w:r w:rsidRPr="004D55DA">
        <w:t>=0,</w:t>
      </w:r>
      <w:r>
        <w:t xml:space="preserve">60) e surge novamente com a </w:t>
      </w:r>
      <w:r w:rsidR="00F73E46" w:rsidRPr="00F73E46">
        <w:rPr>
          <w:i/>
        </w:rPr>
        <w:t>l</w:t>
      </w:r>
      <w:r w:rsidRPr="00F73E46">
        <w:rPr>
          <w:i/>
        </w:rPr>
        <w:t>argura do terrapleno</w:t>
      </w:r>
      <w:r>
        <w:t xml:space="preserve"> e as </w:t>
      </w:r>
      <w:r w:rsidRPr="00F73E46">
        <w:rPr>
          <w:i/>
        </w:rPr>
        <w:t>ligações ferroviárias</w:t>
      </w:r>
      <w:r w:rsidR="00F73E46">
        <w:t>, enquanto</w:t>
      </w:r>
      <w:r>
        <w:t xml:space="preserve"> variáveis </w:t>
      </w:r>
      <w:r>
        <w:lastRenderedPageBreak/>
        <w:t xml:space="preserve">explicativas </w:t>
      </w:r>
      <w:r w:rsidR="00F73E46">
        <w:t xml:space="preserve">da </w:t>
      </w:r>
      <w:r w:rsidR="00F73E46" w:rsidRPr="00F73E46">
        <w:rPr>
          <w:i/>
        </w:rPr>
        <w:t>satisfação do cliente</w:t>
      </w:r>
      <w:r w:rsidR="00F73E46">
        <w:t xml:space="preserve"> </w:t>
      </w:r>
      <w:r>
        <w:t xml:space="preserve">no segundo inquérito no âmbito das </w:t>
      </w:r>
      <w:r w:rsidR="00F73E46" w:rsidRPr="00F73E46">
        <w:rPr>
          <w:i/>
        </w:rPr>
        <w:t>a</w:t>
      </w:r>
      <w:r w:rsidRPr="00F73E46">
        <w:rPr>
          <w:i/>
        </w:rPr>
        <w:t>cessibilidades terrestres</w:t>
      </w:r>
      <w:r>
        <w:t xml:space="preserve"> (</w:t>
      </w:r>
      <w:r w:rsidR="00E83705">
        <w:t xml:space="preserve">Figura 26, </w:t>
      </w:r>
      <m:oMath>
        <m:acc>
          <m:accPr>
            <m:ctrlPr>
              <w:rPr>
                <w:rFonts w:ascii="Cambria Math" w:hAnsi="Cambria Math"/>
                <w:i/>
              </w:rPr>
            </m:ctrlPr>
          </m:accPr>
          <m:e>
            <m:r>
              <w:rPr>
                <w:rFonts w:ascii="Cambria Math" w:hAnsi="Cambria Math"/>
              </w:rPr>
              <m:t>β</m:t>
            </m:r>
          </m:e>
        </m:acc>
      </m:oMath>
      <w:r w:rsidRPr="004D55DA">
        <w:t>=0,</w:t>
      </w:r>
      <w:r>
        <w:t>70).</w:t>
      </w:r>
    </w:p>
    <w:p w:rsidR="004A2D16" w:rsidRDefault="002064FE" w:rsidP="00015B88">
      <w:pPr>
        <w:spacing w:line="360" w:lineRule="auto"/>
        <w:jc w:val="both"/>
      </w:pPr>
      <w:r w:rsidRPr="004D55DA">
        <w:t xml:space="preserve">Não se rejeita a </w:t>
      </w:r>
      <w:r w:rsidRPr="00F73E46">
        <w:rPr>
          <w:u w:val="single"/>
        </w:rPr>
        <w:t>hipótese H4</w:t>
      </w:r>
      <w:r w:rsidRPr="004D55DA">
        <w:t>, relativa à influência da infraestrutura do terminal no desempenho do terminal</w:t>
      </w:r>
      <w:r w:rsidR="00906D04">
        <w:t xml:space="preserve">, em especial na </w:t>
      </w:r>
      <w:r w:rsidR="00F73E46" w:rsidRPr="00F73E46">
        <w:rPr>
          <w:u w:val="single"/>
        </w:rPr>
        <w:t>a</w:t>
      </w:r>
      <w:r w:rsidR="00906D04" w:rsidRPr="00F73E46">
        <w:rPr>
          <w:u w:val="single"/>
        </w:rPr>
        <w:t>tividade</w:t>
      </w:r>
      <w:r w:rsidRPr="004D55DA">
        <w:t>.</w:t>
      </w:r>
    </w:p>
    <w:p w:rsidR="00305378" w:rsidRDefault="00305378" w:rsidP="00015B88">
      <w:pPr>
        <w:spacing w:line="360" w:lineRule="auto"/>
        <w:jc w:val="both"/>
      </w:pPr>
    </w:p>
    <w:p w:rsidR="00305378" w:rsidRDefault="00305378" w:rsidP="00015B88">
      <w:pPr>
        <w:spacing w:line="360" w:lineRule="auto"/>
        <w:jc w:val="both"/>
      </w:pPr>
    </w:p>
    <w:p w:rsidR="00305378" w:rsidRPr="00305378" w:rsidRDefault="00305378" w:rsidP="00015B88">
      <w:pPr>
        <w:spacing w:line="360" w:lineRule="auto"/>
        <w:jc w:val="both"/>
        <w:rPr>
          <w:b/>
        </w:rPr>
      </w:pPr>
      <w:r w:rsidRPr="00305378">
        <w:rPr>
          <w:b/>
        </w:rPr>
        <w:t>Hipótese 5 – Serviços do terminal (“Soft-terminal”)</w:t>
      </w:r>
    </w:p>
    <w:p w:rsidR="00906D04" w:rsidRDefault="00906D04" w:rsidP="00906D04">
      <w:pPr>
        <w:spacing w:line="360" w:lineRule="auto"/>
        <w:jc w:val="both"/>
      </w:pPr>
      <w:r>
        <w:t xml:space="preserve">Os serviços do terminal revelaram-se determinantes para a </w:t>
      </w:r>
      <w:r w:rsidR="00BC2797" w:rsidRPr="00BC2797">
        <w:rPr>
          <w:i/>
        </w:rPr>
        <w:t>s</w:t>
      </w:r>
      <w:r w:rsidRPr="00BC2797">
        <w:rPr>
          <w:i/>
        </w:rPr>
        <w:t>atisfação do cliente</w:t>
      </w:r>
      <w:r>
        <w:t xml:space="preserve">. </w:t>
      </w:r>
      <w:r w:rsidR="001E0665">
        <w:t xml:space="preserve">A variável latente </w:t>
      </w:r>
      <w:r w:rsidR="00BC2797" w:rsidRPr="00BC2797">
        <w:rPr>
          <w:i/>
        </w:rPr>
        <w:t>i</w:t>
      </w:r>
      <w:r w:rsidR="001E0665" w:rsidRPr="00BC2797">
        <w:rPr>
          <w:i/>
        </w:rPr>
        <w:t>ntegração logística e organização do terminal</w:t>
      </w:r>
      <w:r w:rsidR="001E0665">
        <w:t xml:space="preserve"> surge com </w:t>
      </w:r>
      <m:oMath>
        <m:acc>
          <m:accPr>
            <m:ctrlPr>
              <w:rPr>
                <w:rFonts w:ascii="Cambria Math" w:hAnsi="Cambria Math"/>
                <w:i/>
              </w:rPr>
            </m:ctrlPr>
          </m:accPr>
          <m:e>
            <m:r>
              <w:rPr>
                <w:rFonts w:ascii="Cambria Math" w:hAnsi="Cambria Math"/>
              </w:rPr>
              <m:t>β</m:t>
            </m:r>
          </m:e>
        </m:acc>
      </m:oMath>
      <w:r w:rsidR="001E0665" w:rsidRPr="004D55DA">
        <w:t>=0,</w:t>
      </w:r>
      <w:r w:rsidR="001E0665">
        <w:t xml:space="preserve">60 no primeiro inquérito (Figura 18),  </w:t>
      </w:r>
      <m:oMath>
        <m:acc>
          <m:accPr>
            <m:ctrlPr>
              <w:rPr>
                <w:rFonts w:ascii="Cambria Math" w:hAnsi="Cambria Math"/>
                <w:i/>
              </w:rPr>
            </m:ctrlPr>
          </m:accPr>
          <m:e>
            <m:r>
              <w:rPr>
                <w:rFonts w:ascii="Cambria Math" w:hAnsi="Cambria Math"/>
              </w:rPr>
              <m:t>β</m:t>
            </m:r>
          </m:e>
        </m:acc>
      </m:oMath>
      <w:r w:rsidR="001E0665" w:rsidRPr="004D55DA">
        <w:t>=0,</w:t>
      </w:r>
      <w:r w:rsidR="001E0665">
        <w:t xml:space="preserve">92 no segundo inquérito de Portugal e Espanha e </w:t>
      </w:r>
      <m:oMath>
        <m:acc>
          <m:accPr>
            <m:ctrlPr>
              <w:rPr>
                <w:rFonts w:ascii="Cambria Math" w:hAnsi="Cambria Math"/>
                <w:i/>
              </w:rPr>
            </m:ctrlPr>
          </m:accPr>
          <m:e>
            <m:r>
              <w:rPr>
                <w:rFonts w:ascii="Cambria Math" w:hAnsi="Cambria Math"/>
              </w:rPr>
              <m:t>β</m:t>
            </m:r>
          </m:e>
        </m:acc>
      </m:oMath>
      <w:r w:rsidR="001E0665" w:rsidRPr="004D55DA">
        <w:t>=0,</w:t>
      </w:r>
      <w:r w:rsidR="001E0665">
        <w:t>70 (Figura 26) no segundo inquérito</w:t>
      </w:r>
      <w:r w:rsidR="00BC2797">
        <w:t xml:space="preserve"> da Europa</w:t>
      </w:r>
      <w:r w:rsidR="001E0665">
        <w:t xml:space="preserve"> (Figura 31), revelando a elevada importância explicativa </w:t>
      </w:r>
      <w:r w:rsidR="00BC2797">
        <w:t>para a</w:t>
      </w:r>
      <w:r w:rsidR="001E0665">
        <w:t xml:space="preserve"> </w:t>
      </w:r>
      <w:r w:rsidR="001E0665" w:rsidRPr="00BC2797">
        <w:rPr>
          <w:i/>
        </w:rPr>
        <w:t>satisfação do cliente</w:t>
      </w:r>
      <w:r w:rsidR="001E0665">
        <w:t xml:space="preserve"> quer em termos gerais</w:t>
      </w:r>
      <w:r w:rsidR="00BC2797">
        <w:t>,</w:t>
      </w:r>
      <w:r w:rsidR="001E0665">
        <w:t xml:space="preserve"> como concretos, sendo algo transversal à Europa.</w:t>
      </w:r>
    </w:p>
    <w:p w:rsidR="001E0665" w:rsidRDefault="001E0665" w:rsidP="00906D04">
      <w:pPr>
        <w:spacing w:line="360" w:lineRule="auto"/>
        <w:jc w:val="both"/>
      </w:pPr>
      <w:r>
        <w:t xml:space="preserve">Os serviços incluem diversas variáveis observadas. No primeiro inquérito surge o </w:t>
      </w:r>
      <w:r w:rsidRPr="00D118E2">
        <w:rPr>
          <w:i/>
        </w:rPr>
        <w:t>tipo de gestor, a orientação para o cliente, os sistemas de informação, o modelo de organização como serviços do terminal</w:t>
      </w:r>
      <w:r w:rsidR="0009660F">
        <w:t xml:space="preserve"> (Figura 18)</w:t>
      </w:r>
      <w:r>
        <w:t xml:space="preserve">. No segundo inquérito para Portugal e Espanha surgem nesta variável latente a </w:t>
      </w:r>
      <w:r w:rsidRPr="00D118E2">
        <w:rPr>
          <w:i/>
        </w:rPr>
        <w:t xml:space="preserve">imagem do terminal, o tipo de gestor, a qualidade geral do terminal, a orientação para o cliente, </w:t>
      </w:r>
      <w:r w:rsidR="0009660F" w:rsidRPr="00D118E2">
        <w:rPr>
          <w:i/>
        </w:rPr>
        <w:t>a organização do terminal, os sistemas de informações, a agilidade, flexibilidade, fiabilidade do terminal, o tempo de operação e espera dos navios, a integração nas cadeias logísticas e a tarifa de handling do terminal</w:t>
      </w:r>
      <w:r w:rsidR="0009660F">
        <w:t xml:space="preserve"> (Figura 26)</w:t>
      </w:r>
      <w:r w:rsidR="002D5FB9">
        <w:t xml:space="preserve">. No segundo inquérito para a Europa surgem nesta variável latente a </w:t>
      </w:r>
      <w:r w:rsidR="002D5FB9" w:rsidRPr="00D118E2">
        <w:rPr>
          <w:i/>
        </w:rPr>
        <w:t>imagem do terminal, o tipo de gestor, a qualidade geral do terminal, a orientação para o cliente, a organização do terminal, os sistemas de informações, a agilidade, flexibilidade, fiabilidade do terminal, o tempo de operação dos navios, a integração nas cadeias logísticas</w:t>
      </w:r>
      <w:r w:rsidR="000A409F" w:rsidRPr="00D118E2">
        <w:rPr>
          <w:i/>
        </w:rPr>
        <w:t>, os serviços de valor acrescentado no terminal</w:t>
      </w:r>
      <w:r w:rsidR="002D5FB9" w:rsidRPr="00D118E2">
        <w:rPr>
          <w:i/>
        </w:rPr>
        <w:t xml:space="preserve"> e a tarifa de handling do terminal</w:t>
      </w:r>
      <w:r w:rsidR="002D5FB9">
        <w:t xml:space="preserve"> (</w:t>
      </w:r>
      <w:r w:rsidR="000A409F">
        <w:t xml:space="preserve">Tabela 35 e </w:t>
      </w:r>
      <w:r w:rsidR="002D5FB9">
        <w:t xml:space="preserve">Figura </w:t>
      </w:r>
      <w:r w:rsidR="000A409F">
        <w:t>31</w:t>
      </w:r>
      <w:r w:rsidR="002D5FB9">
        <w:t>).</w:t>
      </w:r>
      <w:r w:rsidR="000A409F" w:rsidRPr="000A409F">
        <w:t xml:space="preserve"> </w:t>
      </w:r>
    </w:p>
    <w:p w:rsidR="00015B88" w:rsidRPr="004D55DA" w:rsidRDefault="000A409F" w:rsidP="00015B88">
      <w:pPr>
        <w:spacing w:line="360" w:lineRule="auto"/>
        <w:jc w:val="both"/>
      </w:pPr>
      <w:r>
        <w:t>Revela-se assim que</w:t>
      </w:r>
      <w:r w:rsidR="00015B88" w:rsidRPr="004D55DA">
        <w:t xml:space="preserve"> a integração em redes logísticas globais</w:t>
      </w:r>
      <w:r w:rsidR="00D118E2">
        <w:t xml:space="preserve"> logísticas e</w:t>
      </w:r>
      <w:r w:rsidR="00015B88" w:rsidRPr="004D55DA">
        <w:t xml:space="preserve"> de armadores possui influência sobre o desempenho (Tongzon &amp; Heng, 2005).</w:t>
      </w:r>
      <w:r>
        <w:t xml:space="preserve"> </w:t>
      </w:r>
      <w:r w:rsidR="00015B88" w:rsidRPr="004D55DA">
        <w:t xml:space="preserve">A integração logística dos portos implica forte orientação para o cliente, sistemas de informação compatíveis, agilidade, flexibilidade e qualidade do serviço (Notteboom &amp; Winkelmans, 2004). </w:t>
      </w:r>
      <w:r>
        <w:t>Concorda-se com</w:t>
      </w:r>
      <w:r w:rsidR="00015B88" w:rsidRPr="004D55DA">
        <w:t xml:space="preserve"> o que refere Robinson (2002) sobre a escolha dos portos ser realizada no contexto da cadeia de abastecimento, o que exige uma visão alargada de porto e de terminal. </w:t>
      </w:r>
    </w:p>
    <w:p w:rsidR="00015B88" w:rsidRPr="004D55DA" w:rsidRDefault="00015B88" w:rsidP="00015B88">
      <w:pPr>
        <w:spacing w:line="360" w:lineRule="auto"/>
        <w:jc w:val="both"/>
      </w:pPr>
      <w:r w:rsidRPr="004D55DA">
        <w:t xml:space="preserve">A </w:t>
      </w:r>
      <w:r w:rsidRPr="00D118E2">
        <w:rPr>
          <w:i/>
        </w:rPr>
        <w:t>orientação para o cliente</w:t>
      </w:r>
      <w:r w:rsidRPr="004D55DA">
        <w:t xml:space="preserve"> é importante para o </w:t>
      </w:r>
      <w:r w:rsidRPr="00D118E2">
        <w:rPr>
          <w:i/>
        </w:rPr>
        <w:t>desempenho do terminal</w:t>
      </w:r>
      <w:r w:rsidRPr="004D55DA">
        <w:t xml:space="preserve"> de contentores, por permitir a adaptação rápida a alterações dos requisitos das cadeias e a resposta a alterações do </w:t>
      </w:r>
      <w:r w:rsidRPr="004D55DA">
        <w:lastRenderedPageBreak/>
        <w:t xml:space="preserve">mercado em colaboração com o cliente. </w:t>
      </w:r>
      <w:r w:rsidR="000A409F">
        <w:t>Revela-se também</w:t>
      </w:r>
      <w:r w:rsidRPr="004D55DA">
        <w:t xml:space="preserve"> a importância dos </w:t>
      </w:r>
      <w:r w:rsidRPr="00D118E2">
        <w:rPr>
          <w:i/>
        </w:rPr>
        <w:t>sistemas de informação</w:t>
      </w:r>
      <w:r w:rsidRPr="004D55DA">
        <w:t xml:space="preserve"> por permitirem a partilha de informação, levando a elevados níveis de integração dos terminais de contentores nas cadeias de abastecimento</w:t>
      </w:r>
      <w:r w:rsidR="000A409F">
        <w:t xml:space="preserve"> (Carbone &amp; De Martino, 2003)</w:t>
      </w:r>
      <w:r w:rsidRPr="004D55DA">
        <w:t xml:space="preserve">. </w:t>
      </w:r>
    </w:p>
    <w:p w:rsidR="000A409F" w:rsidRDefault="000A409F" w:rsidP="000A409F">
      <w:pPr>
        <w:spacing w:line="360" w:lineRule="auto"/>
        <w:jc w:val="both"/>
      </w:pPr>
      <w:r>
        <w:t>Verifica-se a</w:t>
      </w:r>
      <w:r w:rsidR="00015B88" w:rsidRPr="004D55DA">
        <w:t xml:space="preserve"> importância do </w:t>
      </w:r>
      <w:r w:rsidR="00015B88" w:rsidRPr="00D118E2">
        <w:rPr>
          <w:i/>
        </w:rPr>
        <w:t>tipo de gestor</w:t>
      </w:r>
      <w:r w:rsidR="00015B88" w:rsidRPr="004D55DA">
        <w:t xml:space="preserve"> orientado para o cliente e para as cadeias logísticas ancoradas no porto, bem como do </w:t>
      </w:r>
      <w:r w:rsidR="00015B88" w:rsidRPr="00D118E2">
        <w:rPr>
          <w:i/>
        </w:rPr>
        <w:t>tipo de organização</w:t>
      </w:r>
      <w:r w:rsidR="00015B88" w:rsidRPr="004D55DA">
        <w:t xml:space="preserve"> determinantes da agilidade do terminal na adequada resposta às necessidades das redes logísticas (Liu </w:t>
      </w:r>
      <w:r w:rsidR="00015B88" w:rsidRPr="00D713C2">
        <w:rPr>
          <w:i/>
        </w:rPr>
        <w:t>et al.,</w:t>
      </w:r>
      <w:r w:rsidR="00015B88" w:rsidRPr="004D55DA">
        <w:t xml:space="preserve"> 2009). O </w:t>
      </w:r>
      <w:r w:rsidR="00015B88" w:rsidRPr="00D118E2">
        <w:rPr>
          <w:i/>
        </w:rPr>
        <w:t>tipo de gestor</w:t>
      </w:r>
      <w:r w:rsidR="00015B88" w:rsidRPr="004D55DA">
        <w:t xml:space="preserve"> pode permitir ou não que o terminal se assuma como um elo </w:t>
      </w:r>
      <w:r w:rsidR="00D118E2">
        <w:t xml:space="preserve">eficaz </w:t>
      </w:r>
      <w:r w:rsidR="00015B88" w:rsidRPr="004D55DA">
        <w:t>da cadeia logística, funcionando em rede com determinado padrão de requisitos da cadeia.</w:t>
      </w:r>
      <w:r>
        <w:t xml:space="preserve"> A</w:t>
      </w:r>
      <w:r w:rsidRPr="004D55DA">
        <w:t xml:space="preserve"> </w:t>
      </w:r>
      <w:r w:rsidRPr="00D118E2">
        <w:rPr>
          <w:i/>
        </w:rPr>
        <w:t xml:space="preserve">orientação para o cliente </w:t>
      </w:r>
      <w:r w:rsidRPr="004D55DA">
        <w:t xml:space="preserve">é muito importante para a sua satisfação, por permitir a adaptação rápida a alterações dos requisitos das cadeias e a resposta a alterações do mercado em colaboração com o cliente. </w:t>
      </w:r>
    </w:p>
    <w:p w:rsidR="00ED2DAA" w:rsidRPr="004D55DA" w:rsidRDefault="00ED2DAA" w:rsidP="00ED2DAA">
      <w:pPr>
        <w:spacing w:line="360" w:lineRule="auto"/>
        <w:jc w:val="both"/>
      </w:pPr>
      <w:r w:rsidRPr="004D55DA">
        <w:t xml:space="preserve">A </w:t>
      </w:r>
      <w:r w:rsidRPr="00D118E2">
        <w:rPr>
          <w:i/>
        </w:rPr>
        <w:t>imagem</w:t>
      </w:r>
      <w:r w:rsidR="00D118E2" w:rsidRPr="00D118E2">
        <w:rPr>
          <w:i/>
        </w:rPr>
        <w:t xml:space="preserve"> de marca</w:t>
      </w:r>
      <w:r w:rsidRPr="004D55DA">
        <w:t xml:space="preserve"> positiva do terminal tem forte influência positiva na escolha pelos clientes e no seu desempenho (J</w:t>
      </w:r>
      <w:r>
        <w:t>uang &amp; Roe, 2010</w:t>
      </w:r>
      <w:r w:rsidRPr="004D55DA">
        <w:t>).</w:t>
      </w:r>
      <w:r w:rsidR="00F90164">
        <w:t xml:space="preserve"> Concorda-se que o</w:t>
      </w:r>
      <w:r w:rsidRPr="004D55DA">
        <w:t xml:space="preserve"> reduzido tempo de espera do navio para acostar ao terminal, devido ao congestionamento do cais do terminal tem influência sobre os custos do navio em porto e logo efeitos positivos sobre o desempenho do terminal (Onut </w:t>
      </w:r>
      <w:r w:rsidRPr="00D713C2">
        <w:rPr>
          <w:i/>
        </w:rPr>
        <w:t>et al.,</w:t>
      </w:r>
      <w:r w:rsidRPr="004D55DA">
        <w:t xml:space="preserve"> 2011).</w:t>
      </w:r>
    </w:p>
    <w:p w:rsidR="00ED2DAA" w:rsidRPr="004D55DA" w:rsidRDefault="00F90164" w:rsidP="00ED2DAA">
      <w:pPr>
        <w:spacing w:line="360" w:lineRule="auto"/>
        <w:jc w:val="both"/>
      </w:pPr>
      <w:r>
        <w:t>São importantes os</w:t>
      </w:r>
      <w:r w:rsidR="00ED2DAA" w:rsidRPr="004D55DA">
        <w:t xml:space="preserve"> </w:t>
      </w:r>
      <w:r w:rsidR="00ED2DAA" w:rsidRPr="00D118E2">
        <w:rPr>
          <w:i/>
        </w:rPr>
        <w:t>serviços de valor acrescentado</w:t>
      </w:r>
      <w:r w:rsidR="00ED2DAA" w:rsidRPr="004D55DA">
        <w:t xml:space="preserve"> à carga no interior</w:t>
      </w:r>
      <w:r>
        <w:t xml:space="preserve"> do terminal, facilitando as operações industriais e de finalização dos produtos ao longo das cadeias logísticas (</w:t>
      </w:r>
      <w:r w:rsidR="00ED2DAA" w:rsidRPr="004D55DA">
        <w:t xml:space="preserve">Woo </w:t>
      </w:r>
      <w:r w:rsidRPr="00D713C2">
        <w:rPr>
          <w:i/>
        </w:rPr>
        <w:t>et al.,</w:t>
      </w:r>
      <w:r>
        <w:t xml:space="preserve"> 2011; Juang &amp; Roe, 2010</w:t>
      </w:r>
      <w:r w:rsidR="00ED2DAA" w:rsidRPr="004D55DA">
        <w:t>).</w:t>
      </w:r>
      <w:r w:rsidR="00D118E2">
        <w:t xml:space="preserve"> </w:t>
      </w:r>
      <w:r w:rsidR="00ED2DAA" w:rsidRPr="004D55DA">
        <w:t xml:space="preserve">O tarifário de “handling” </w:t>
      </w:r>
      <w:r w:rsidR="00D118E2">
        <w:t>reduzido</w:t>
      </w:r>
      <w:r w:rsidR="00D118E2" w:rsidRPr="004D55DA">
        <w:t xml:space="preserve"> </w:t>
      </w:r>
      <w:r w:rsidR="00ED2DAA" w:rsidRPr="004D55DA">
        <w:t xml:space="preserve">do terminal tem influência positiva no desempenho do terminal (Onut </w:t>
      </w:r>
      <w:r w:rsidR="00ED2DAA" w:rsidRPr="00D713C2">
        <w:rPr>
          <w:i/>
        </w:rPr>
        <w:t>et al.,</w:t>
      </w:r>
      <w:r w:rsidR="00ED2DAA" w:rsidRPr="004D55DA">
        <w:t xml:space="preserve"> 2011).</w:t>
      </w:r>
    </w:p>
    <w:p w:rsidR="00F90164" w:rsidRPr="004D55DA" w:rsidRDefault="00F90164" w:rsidP="00F90164">
      <w:pPr>
        <w:spacing w:line="360" w:lineRule="auto"/>
        <w:jc w:val="both"/>
      </w:pPr>
      <w:r>
        <w:t>Na vertente do serviço marítimo do terminal, verifica-se que o</w:t>
      </w:r>
      <w:r w:rsidRPr="004D55DA">
        <w:t xml:space="preserve"> elevado número e tipo de linhas de navios porta-contentores que escalam o terminal de contentores, </w:t>
      </w:r>
      <w:r>
        <w:t>dos diver</w:t>
      </w:r>
      <w:r w:rsidR="00D118E2">
        <w:t>s</w:t>
      </w:r>
      <w:r>
        <w:t>os segmentos</w:t>
      </w:r>
      <w:r w:rsidRPr="004D55DA">
        <w:t xml:space="preserve"> de linhas “feeder”, de shortsea, intercontinentais e de armadores do top10 mundial são características que influenciam positivamente </w:t>
      </w:r>
      <w:r>
        <w:t xml:space="preserve">o </w:t>
      </w:r>
      <w:r w:rsidRPr="004D55DA">
        <w:t>desempenho (Hung et al., 2010).</w:t>
      </w:r>
    </w:p>
    <w:p w:rsidR="000A409F" w:rsidRPr="004D55DA" w:rsidRDefault="00D118E2" w:rsidP="000A409F">
      <w:pPr>
        <w:spacing w:line="360" w:lineRule="auto"/>
        <w:jc w:val="both"/>
      </w:pPr>
      <w:r>
        <w:t>Assim, n</w:t>
      </w:r>
      <w:r w:rsidR="000A409F" w:rsidRPr="004D55DA">
        <w:t xml:space="preserve">ão se rejeita a </w:t>
      </w:r>
      <w:r w:rsidR="000A409F" w:rsidRPr="000A409F">
        <w:rPr>
          <w:u w:val="single"/>
        </w:rPr>
        <w:t>Hipótese H5</w:t>
      </w:r>
      <w:r w:rsidR="000A409F" w:rsidRPr="004D55DA">
        <w:t>, relativa á influência do serviço do terminal no seu desempenho. Não</w:t>
      </w:r>
      <w:r>
        <w:t xml:space="preserve"> chega ter infraestruturas, </w:t>
      </w:r>
      <w:r w:rsidR="000A409F" w:rsidRPr="004D55DA">
        <w:t xml:space="preserve">é importante ter um serviço </w:t>
      </w:r>
      <w:r w:rsidR="000A409F">
        <w:t>adequado</w:t>
      </w:r>
      <w:r w:rsidR="000A409F" w:rsidRPr="004D55DA">
        <w:t>.</w:t>
      </w:r>
    </w:p>
    <w:p w:rsidR="000A409F" w:rsidRDefault="000A409F" w:rsidP="000A409F"/>
    <w:p w:rsidR="00015B88" w:rsidRDefault="00015B88" w:rsidP="00015B88"/>
    <w:p w:rsidR="00015B88" w:rsidRDefault="00015B88" w:rsidP="00015B88"/>
    <w:p w:rsidR="00015B88" w:rsidRDefault="00015B88" w:rsidP="00015B88"/>
    <w:p w:rsidR="00F90164" w:rsidRDefault="00F90164">
      <w:r>
        <w:br w:type="page"/>
      </w:r>
    </w:p>
    <w:p w:rsidR="00015B88" w:rsidRDefault="00015B88" w:rsidP="007F7964"/>
    <w:p w:rsidR="00104A12" w:rsidRPr="004D55DA" w:rsidRDefault="00104A12" w:rsidP="007F7964">
      <w:pPr>
        <w:spacing w:line="360" w:lineRule="auto"/>
        <w:jc w:val="both"/>
      </w:pPr>
    </w:p>
    <w:p w:rsidR="00104A12" w:rsidRPr="00BE6593" w:rsidRDefault="00104A12" w:rsidP="00BE6593">
      <w:pPr>
        <w:pStyle w:val="Cabealho1"/>
        <w:numPr>
          <w:ilvl w:val="0"/>
          <w:numId w:val="1"/>
        </w:numPr>
        <w:rPr>
          <w:rFonts w:ascii="Times New Roman" w:hAnsi="Times New Roman"/>
          <w:sz w:val="24"/>
          <w:szCs w:val="24"/>
        </w:rPr>
      </w:pPr>
      <w:bookmarkStart w:id="215" w:name="_Toc395730166"/>
      <w:r w:rsidRPr="00BE6593">
        <w:rPr>
          <w:rFonts w:ascii="Times New Roman" w:hAnsi="Times New Roman"/>
          <w:sz w:val="24"/>
          <w:szCs w:val="24"/>
        </w:rPr>
        <w:t>Conclusões</w:t>
      </w:r>
      <w:bookmarkEnd w:id="215"/>
    </w:p>
    <w:p w:rsidR="00104A12" w:rsidRPr="00517679" w:rsidRDefault="00FC05CE" w:rsidP="00DE198B">
      <w:pPr>
        <w:pStyle w:val="Cabealho2"/>
        <w:numPr>
          <w:ilvl w:val="0"/>
          <w:numId w:val="0"/>
        </w:numPr>
        <w:rPr>
          <w:lang w:val="pt-PT"/>
        </w:rPr>
      </w:pPr>
      <w:r>
        <w:fldChar w:fldCharType="begin"/>
      </w:r>
      <w:r w:rsidRPr="00517679">
        <w:rPr>
          <w:lang w:val="pt-PT"/>
        </w:rPr>
        <w:instrText xml:space="preserve"> XE "Conclusões" </w:instrText>
      </w:r>
      <w:r>
        <w:fldChar w:fldCharType="end"/>
      </w:r>
    </w:p>
    <w:p w:rsidR="00104A12" w:rsidRPr="004D55DA" w:rsidRDefault="00104A12" w:rsidP="007F7964">
      <w:pPr>
        <w:spacing w:line="360" w:lineRule="auto"/>
        <w:jc w:val="both"/>
      </w:pPr>
      <w:r w:rsidRPr="004D55DA">
        <w:t xml:space="preserve">O presente trabalho de investigação </w:t>
      </w:r>
      <w:r w:rsidR="00467FD9" w:rsidRPr="004D55DA">
        <w:t>pretende</w:t>
      </w:r>
      <w:r w:rsidRPr="004D55DA">
        <w:t xml:space="preserve"> determinar o impacto dos </w:t>
      </w:r>
      <w:r w:rsidR="00136906" w:rsidRPr="004D55DA">
        <w:t>fatores</w:t>
      </w:r>
      <w:r w:rsidRPr="004D55DA">
        <w:t xml:space="preserve"> de caracterização do porto e </w:t>
      </w:r>
      <w:r w:rsidR="00136906" w:rsidRPr="004D55DA">
        <w:t>fatores</w:t>
      </w:r>
      <w:r w:rsidR="00467FD9" w:rsidRPr="004D55DA">
        <w:t xml:space="preserve"> de caracterização </w:t>
      </w:r>
      <w:r w:rsidRPr="004D55DA">
        <w:t xml:space="preserve">do terminal de contentores no desempenho do terminal. </w:t>
      </w:r>
      <w:r w:rsidR="00467FD9" w:rsidRPr="004D55DA">
        <w:t>Pretende-se responder às seguintes questões: Como aumentar o nível de desempenho de um terminal d</w:t>
      </w:r>
      <w:r w:rsidR="00494C5D">
        <w:t>e contentores</w:t>
      </w:r>
      <w:r w:rsidR="00467FD9" w:rsidRPr="004D55DA">
        <w:t>? O que explica o sucesso dos terminais de contentores?</w:t>
      </w:r>
      <w:r w:rsidR="00152550" w:rsidRPr="004D55DA">
        <w:t xml:space="preserve"> </w:t>
      </w:r>
    </w:p>
    <w:p w:rsidR="00104A12" w:rsidRPr="004D55DA" w:rsidRDefault="00104A12" w:rsidP="007F7964">
      <w:pPr>
        <w:spacing w:line="360" w:lineRule="auto"/>
        <w:jc w:val="both"/>
      </w:pPr>
    </w:p>
    <w:p w:rsidR="00104A12" w:rsidRDefault="004D1482" w:rsidP="007F7964">
      <w:pPr>
        <w:spacing w:line="360" w:lineRule="auto"/>
        <w:jc w:val="both"/>
      </w:pPr>
      <w:r>
        <w:t>Verifica-se a existência de</w:t>
      </w:r>
      <w:r w:rsidR="00104A12" w:rsidRPr="004D55DA">
        <w:t xml:space="preserve"> d</w:t>
      </w:r>
      <w:r w:rsidR="00F314FC">
        <w:t>ivergência entre a imagem ideal</w:t>
      </w:r>
      <w:r w:rsidR="0052580A">
        <w:t xml:space="preserve"> </w:t>
      </w:r>
      <w:r w:rsidR="00104A12" w:rsidRPr="004D55DA">
        <w:t xml:space="preserve">que os </w:t>
      </w:r>
      <w:r w:rsidR="00BE2246">
        <w:t>gestores de empresas utilizadoras</w:t>
      </w:r>
      <w:r w:rsidR="00104A12" w:rsidRPr="004D55DA">
        <w:t xml:space="preserve"> </w:t>
      </w:r>
      <w:r w:rsidR="00BE2246">
        <w:t>de</w:t>
      </w:r>
      <w:r w:rsidR="00104A12" w:rsidRPr="004D55DA">
        <w:t xml:space="preserve"> terminais de contentores possuem sobre a influência dos </w:t>
      </w:r>
      <w:r w:rsidR="00136906" w:rsidRPr="004D55DA">
        <w:t>fatores</w:t>
      </w:r>
      <w:r w:rsidR="00104A12" w:rsidRPr="004D55DA">
        <w:t xml:space="preserve"> de caracteri</w:t>
      </w:r>
      <w:r w:rsidR="0083152B" w:rsidRPr="004D55DA">
        <w:t>zação do terminal no desempenho</w:t>
      </w:r>
      <w:r w:rsidR="00104A12" w:rsidRPr="004D55DA">
        <w:t xml:space="preserve"> e a situação real verificada sobre esta relação </w:t>
      </w:r>
      <w:r w:rsidR="0083152B" w:rsidRPr="004D55DA">
        <w:t>baseada na</w:t>
      </w:r>
      <w:r w:rsidR="00104A12" w:rsidRPr="004D55DA">
        <w:t xml:space="preserve"> observação de terminais de contentores concretos. </w:t>
      </w:r>
      <w:r w:rsidR="00AB1E24">
        <w:t>Verifica</w:t>
      </w:r>
      <w:r w:rsidR="00B710F6">
        <w:t>m</w:t>
      </w:r>
      <w:r w:rsidR="00AB1E24">
        <w:t>-se ainda diferenças entre estas e a observação meramente qua</w:t>
      </w:r>
      <w:r w:rsidR="00B710F6">
        <w:t>nt</w:t>
      </w:r>
      <w:r w:rsidR="00AB1E24">
        <w:t>itativa dos terminais.</w:t>
      </w:r>
    </w:p>
    <w:p w:rsidR="0052580A" w:rsidRDefault="0052580A" w:rsidP="007F7964">
      <w:pPr>
        <w:spacing w:line="360" w:lineRule="auto"/>
        <w:jc w:val="both"/>
      </w:pPr>
    </w:p>
    <w:p w:rsidR="00BE2246" w:rsidRDefault="00BE2246" w:rsidP="007F7964">
      <w:pPr>
        <w:spacing w:line="360" w:lineRule="auto"/>
        <w:jc w:val="both"/>
      </w:pPr>
      <w:r>
        <w:t>No caso em que os gestores de empresas utilizadoras de terminais de contentores se pronuncia</w:t>
      </w:r>
      <w:r w:rsidR="004D1482">
        <w:t>m</w:t>
      </w:r>
      <w:r>
        <w:t xml:space="preserve"> sobre a relação entre as características do porto e do terminal e o desempenho do terminal em termos genéricos, verifica-se que surgem em termos teóricos </w:t>
      </w:r>
      <w:r w:rsidR="004D1482">
        <w:t xml:space="preserve">vários </w:t>
      </w:r>
      <w:r w:rsidR="00136906">
        <w:t>fatores</w:t>
      </w:r>
      <w:r>
        <w:t xml:space="preserve"> </w:t>
      </w:r>
      <w:r w:rsidR="004D1482">
        <w:t xml:space="preserve">considerados significativos </w:t>
      </w:r>
      <w:r>
        <w:t xml:space="preserve">para a explicação do desempenho, como sejam o </w:t>
      </w:r>
      <w:r w:rsidRPr="005862C9">
        <w:rPr>
          <w:i/>
        </w:rPr>
        <w:t>acesso marítimo, a importância da região, a integração logística e organização do terminal, as acessibilidades terrestres, o dinamismo do porto, os serviços marítimos do terminal e a localização na europa</w:t>
      </w:r>
      <w:r>
        <w:t xml:space="preserve">. </w:t>
      </w:r>
    </w:p>
    <w:p w:rsidR="00BE2246" w:rsidRDefault="00BE2246" w:rsidP="007F7964">
      <w:pPr>
        <w:spacing w:line="360" w:lineRule="auto"/>
        <w:jc w:val="both"/>
      </w:pPr>
    </w:p>
    <w:p w:rsidR="00F63629" w:rsidRDefault="004D1482" w:rsidP="00BE2246">
      <w:pPr>
        <w:spacing w:line="360" w:lineRule="auto"/>
        <w:jc w:val="both"/>
      </w:pPr>
      <w:r>
        <w:t>No caso</w:t>
      </w:r>
      <w:r w:rsidR="00BE2246">
        <w:t xml:space="preserve"> em que os gestores de empresas utilizadoras de terminais de contentores se pronuncia</w:t>
      </w:r>
      <w:r>
        <w:t>m</w:t>
      </w:r>
      <w:r w:rsidR="00BE2246">
        <w:t xml:space="preserve"> </w:t>
      </w:r>
      <w:r w:rsidR="005862C9">
        <w:t xml:space="preserve">apenas </w:t>
      </w:r>
      <w:r w:rsidR="00BE2246">
        <w:t>sobre a qualidade das características</w:t>
      </w:r>
      <w:r w:rsidR="008E4B02">
        <w:t xml:space="preserve"> reais</w:t>
      </w:r>
      <w:r w:rsidR="00BE2246">
        <w:t xml:space="preserve"> do porto e do terminal que escolheram e sobre o desempenho desse mesmo terminal em termos concretos</w:t>
      </w:r>
      <w:r w:rsidR="005862C9">
        <w:t>, caracterizando o terminal, mas não se pronunciando sobre as relação causa-efeito, cabendo ao investigador averiguar sobre a relação causal</w:t>
      </w:r>
      <w:r w:rsidR="00BE2246">
        <w:t xml:space="preserve">, verifica-se que surge menor número de </w:t>
      </w:r>
      <w:r w:rsidR="00136906">
        <w:t>fatores</w:t>
      </w:r>
      <w:r w:rsidR="00BE2246">
        <w:t xml:space="preserve"> </w:t>
      </w:r>
      <w:r>
        <w:t>que</w:t>
      </w:r>
      <w:r w:rsidR="00BE2246">
        <w:t xml:space="preserve"> </w:t>
      </w:r>
      <w:r>
        <w:t xml:space="preserve">explicam </w:t>
      </w:r>
      <w:r w:rsidR="00BE2246">
        <w:t xml:space="preserve">o desempenho, </w:t>
      </w:r>
      <w:r>
        <w:t>e que são</w:t>
      </w:r>
      <w:r w:rsidR="00BE2246">
        <w:t xml:space="preserve"> a </w:t>
      </w:r>
      <w:r w:rsidR="00BE2246" w:rsidRPr="005862C9">
        <w:rPr>
          <w:i/>
        </w:rPr>
        <w:t>integração logística e organização do terminal, as acessibilidades terrestres, os serviços mar</w:t>
      </w:r>
      <w:r w:rsidR="00F63629" w:rsidRPr="005862C9">
        <w:rPr>
          <w:i/>
        </w:rPr>
        <w:t>ítimos do terminal, a especialização do porto em contentores e</w:t>
      </w:r>
      <w:r w:rsidR="00BE2246" w:rsidRPr="005862C9">
        <w:rPr>
          <w:i/>
        </w:rPr>
        <w:t xml:space="preserve"> a localização na europa</w:t>
      </w:r>
      <w:r w:rsidR="005862C9">
        <w:rPr>
          <w:i/>
        </w:rPr>
        <w:t xml:space="preserve"> e</w:t>
      </w:r>
      <w:r w:rsidR="005862C9" w:rsidRPr="005862C9">
        <w:rPr>
          <w:i/>
        </w:rPr>
        <w:t xml:space="preserve"> regional</w:t>
      </w:r>
      <w:r w:rsidR="005862C9">
        <w:t xml:space="preserve">. A </w:t>
      </w:r>
      <w:r w:rsidR="005862C9" w:rsidRPr="005862C9">
        <w:rPr>
          <w:i/>
        </w:rPr>
        <w:t>localização</w:t>
      </w:r>
      <w:r w:rsidR="005862C9">
        <w:t xml:space="preserve"> </w:t>
      </w:r>
      <w:r w:rsidR="00F63629">
        <w:t xml:space="preserve">apenas </w:t>
      </w:r>
      <w:r w:rsidR="005862C9">
        <w:t xml:space="preserve">surge </w:t>
      </w:r>
      <w:r w:rsidR="00F63629">
        <w:t>no caso do</w:t>
      </w:r>
      <w:r>
        <w:t>s portos da</w:t>
      </w:r>
      <w:r w:rsidR="00F63629">
        <w:t xml:space="preserve"> Europa</w:t>
      </w:r>
      <w:r w:rsidR="005862C9">
        <w:t xml:space="preserve">, substituindo a </w:t>
      </w:r>
      <w:r w:rsidR="005862C9" w:rsidRPr="005862C9">
        <w:rPr>
          <w:i/>
        </w:rPr>
        <w:t>especialização</w:t>
      </w:r>
      <w:r w:rsidR="00BE2246">
        <w:t>.</w:t>
      </w:r>
      <w:r w:rsidR="00F63629">
        <w:t xml:space="preserve"> </w:t>
      </w:r>
    </w:p>
    <w:p w:rsidR="00356A53" w:rsidRDefault="00356A53" w:rsidP="00BE2246">
      <w:pPr>
        <w:spacing w:line="360" w:lineRule="auto"/>
        <w:jc w:val="both"/>
      </w:pPr>
    </w:p>
    <w:p w:rsidR="00356A53" w:rsidRDefault="00356A53" w:rsidP="00BE2246">
      <w:pPr>
        <w:spacing w:line="360" w:lineRule="auto"/>
        <w:jc w:val="both"/>
      </w:pPr>
      <w:r>
        <w:lastRenderedPageBreak/>
        <w:t>Já através da observação quantitativa e objetiva</w:t>
      </w:r>
      <w:r w:rsidR="008E4B02">
        <w:t xml:space="preserve"> </w:t>
      </w:r>
      <w:r>
        <w:t xml:space="preserve">dos terminais, recorrendo apenas a medidas físicas, verifica-se que o desempenho (atividade e eficiência) é explicado pela </w:t>
      </w:r>
      <w:r w:rsidRPr="00356A53">
        <w:rPr>
          <w:i/>
        </w:rPr>
        <w:t>dimensão do porto, PIB da região e equipamento de cais do terminal.</w:t>
      </w:r>
    </w:p>
    <w:p w:rsidR="0052580A" w:rsidRDefault="0052580A" w:rsidP="00BE2246">
      <w:pPr>
        <w:spacing w:line="360" w:lineRule="auto"/>
        <w:jc w:val="both"/>
      </w:pPr>
    </w:p>
    <w:p w:rsidR="00C303F5" w:rsidRDefault="00BA4221" w:rsidP="00C303F5">
      <w:pPr>
        <w:spacing w:line="360" w:lineRule="auto"/>
        <w:jc w:val="both"/>
      </w:pPr>
      <w:r>
        <w:t>Em termos genéricos, o</w:t>
      </w:r>
      <w:r w:rsidR="00C303F5" w:rsidRPr="004D55DA">
        <w:t xml:space="preserve">s terminais com melhor desempenho são aqueles </w:t>
      </w:r>
      <w:r w:rsidR="00E67926">
        <w:t xml:space="preserve">que </w:t>
      </w:r>
      <w:r w:rsidR="00C303F5" w:rsidRPr="004D55DA">
        <w:t xml:space="preserve">possuem níveis mais adequados </w:t>
      </w:r>
      <w:r w:rsidR="00E67926">
        <w:t>no que respeita às</w:t>
      </w:r>
      <w:r w:rsidR="00E67926" w:rsidRPr="004D55DA">
        <w:t xml:space="preserve"> </w:t>
      </w:r>
      <w:r w:rsidR="00C303F5" w:rsidRPr="004D55DA">
        <w:t>características do porto e características do terminal.</w:t>
      </w:r>
      <w:r w:rsidR="00E67926">
        <w:t xml:space="preserve"> Evid</w:t>
      </w:r>
      <w:r w:rsidR="0052580A">
        <w:t xml:space="preserve">enciam-se os </w:t>
      </w:r>
      <w:r w:rsidR="00136906">
        <w:t>fatores</w:t>
      </w:r>
      <w:r w:rsidR="0052580A">
        <w:t xml:space="preserve"> seguintes</w:t>
      </w:r>
      <w:r w:rsidR="00C303F5" w:rsidRPr="004D55DA">
        <w:t xml:space="preserve">: </w:t>
      </w:r>
      <w:r w:rsidR="00F1492C">
        <w:t>(</w:t>
      </w:r>
      <w:r w:rsidR="00C303F5" w:rsidRPr="004D55DA">
        <w:t xml:space="preserve">a) localização (“position-port”) na europa, junto aos grandes centros de consumo do continente e junto às grandes rotas marítimas, e a nível regional, junto à origem e destino da carga e em regiões de maior PIB; </w:t>
      </w:r>
      <w:r w:rsidR="00F1492C">
        <w:t>(</w:t>
      </w:r>
      <w:r w:rsidR="00C303F5" w:rsidRPr="004D55DA">
        <w:t xml:space="preserve">b) infraestrutura do porto (“hard-port”), maior dimensão/escala do porto e melhores acessibilidades terrestres; </w:t>
      </w:r>
      <w:r w:rsidR="00F1492C">
        <w:t>(</w:t>
      </w:r>
      <w:r w:rsidR="00C303F5" w:rsidRPr="004D55DA">
        <w:t xml:space="preserve">c) serviços do porto (“soft-port”), maior especialização do porto em contentores; </w:t>
      </w:r>
      <w:r w:rsidR="00F1492C">
        <w:t>(</w:t>
      </w:r>
      <w:r w:rsidR="00C303F5" w:rsidRPr="004D55DA">
        <w:t>d) infraestrutura do terminal (“hard-terminal”), maior número de pórticos</w:t>
      </w:r>
      <w:r w:rsidR="00F1492C">
        <w:t xml:space="preserve"> por posto de acostagem</w:t>
      </w:r>
      <w:r w:rsidR="00C303F5" w:rsidRPr="004D55DA">
        <w:t xml:space="preserve">; </w:t>
      </w:r>
      <w:r w:rsidR="00F1492C">
        <w:t>(</w:t>
      </w:r>
      <w:r w:rsidR="00C303F5" w:rsidRPr="004D55DA">
        <w:t>e) serviços do terminal (“soft-terminal”), melhores serviços marítimos, organização e integração logística do terminal.</w:t>
      </w:r>
    </w:p>
    <w:p w:rsidR="00E35EF7" w:rsidRDefault="00E35EF7" w:rsidP="00C303F5">
      <w:pPr>
        <w:spacing w:line="360" w:lineRule="auto"/>
        <w:jc w:val="both"/>
      </w:pPr>
    </w:p>
    <w:p w:rsidR="00E35EF7" w:rsidRPr="004D55DA" w:rsidRDefault="00BA4221" w:rsidP="00C303F5">
      <w:pPr>
        <w:spacing w:line="360" w:lineRule="auto"/>
        <w:jc w:val="both"/>
      </w:pPr>
      <w:r>
        <w:t>No entanto, v</w:t>
      </w:r>
      <w:r w:rsidR="00E35EF7">
        <w:t>erificaram-se duas vertentes bastante diferenciadas nos resultados. A atividade e a eficiência são explicadas através de variáveis quantitativas</w:t>
      </w:r>
      <w:r w:rsidR="00E67926">
        <w:t>,</w:t>
      </w:r>
      <w:r w:rsidR="00E35EF7">
        <w:t xml:space="preserve"> como sejam</w:t>
      </w:r>
      <w:r w:rsidR="00E67926">
        <w:t>,</w:t>
      </w:r>
      <w:r w:rsidR="00E35EF7">
        <w:t xml:space="preserve"> a dimensão do porto, o equipamento e o PIB da região</w:t>
      </w:r>
      <w:r w:rsidR="00F1492C">
        <w:t>. Além disso, o nível de atividade do terminal depende da sua eficiência</w:t>
      </w:r>
      <w:r w:rsidR="00E35EF7">
        <w:t xml:space="preserve">. Já a satisfação do cliente é explicada através de variáveis qualitativas como sejam a </w:t>
      </w:r>
      <w:r w:rsidR="00F1492C">
        <w:t xml:space="preserve">especialização do porto e a </w:t>
      </w:r>
      <w:r w:rsidR="0052580A">
        <w:t>qualidade dos acessos,</w:t>
      </w:r>
      <w:r w:rsidR="0052580A" w:rsidRPr="0052580A">
        <w:t xml:space="preserve"> </w:t>
      </w:r>
      <w:r w:rsidR="0052580A">
        <w:t>da integração logística e dos serviços marítimos</w:t>
      </w:r>
      <w:r w:rsidR="00E35EF7">
        <w:t>.</w:t>
      </w:r>
    </w:p>
    <w:p w:rsidR="00C303F5" w:rsidRDefault="00C303F5" w:rsidP="00BE2246">
      <w:pPr>
        <w:spacing w:line="360" w:lineRule="auto"/>
        <w:jc w:val="both"/>
      </w:pPr>
    </w:p>
    <w:p w:rsidR="00C303F5" w:rsidRPr="004D55DA" w:rsidRDefault="003C44B4" w:rsidP="00C303F5">
      <w:pPr>
        <w:spacing w:line="360" w:lineRule="auto"/>
        <w:jc w:val="both"/>
      </w:pPr>
      <w:r>
        <w:t>Na primeira vertente, v</w:t>
      </w:r>
      <w:r w:rsidR="00F63629" w:rsidRPr="00247371">
        <w:t xml:space="preserve">erifica-se que </w:t>
      </w:r>
      <w:r w:rsidR="005E719C" w:rsidRPr="00247371">
        <w:t>para um terminal ter</w:t>
      </w:r>
      <w:r w:rsidR="00104A12" w:rsidRPr="00247371">
        <w:t xml:space="preserve"> grande sucesso em termos de</w:t>
      </w:r>
      <w:r w:rsidR="00104A12" w:rsidRPr="003C44B4">
        <w:rPr>
          <w:b/>
        </w:rPr>
        <w:t xml:space="preserve"> </w:t>
      </w:r>
      <w:r w:rsidR="00136906" w:rsidRPr="003C44B4">
        <w:rPr>
          <w:b/>
        </w:rPr>
        <w:t>atividade</w:t>
      </w:r>
      <w:r w:rsidR="005E719C" w:rsidRPr="00247371">
        <w:t>, ou seja, número de contentores movimentados por ano</w:t>
      </w:r>
      <w:r w:rsidR="00104A12" w:rsidRPr="00247371">
        <w:t>, deve estar localizado num grande por</w:t>
      </w:r>
      <w:r w:rsidR="00D6047F" w:rsidRPr="00247371">
        <w:t>to</w:t>
      </w:r>
      <w:r>
        <w:t>,</w:t>
      </w:r>
      <w:r w:rsidRPr="003C44B4">
        <w:t xml:space="preserve"> </w:t>
      </w:r>
      <w:r w:rsidRPr="00247371">
        <w:t>que permita a obtenção de economias de escala com outros terminais, com as infraestruturas comuns e com os serviços do porto, sendo esta uma vantagem determinante do sucesso do seu movimento</w:t>
      </w:r>
      <w:r>
        <w:t>.</w:t>
      </w:r>
      <w:r w:rsidR="00D6047F" w:rsidRPr="00247371">
        <w:t xml:space="preserve"> </w:t>
      </w:r>
      <w:r>
        <w:t xml:space="preserve">Deve localizar-se </w:t>
      </w:r>
      <w:r w:rsidR="00D6047F" w:rsidRPr="00247371">
        <w:t xml:space="preserve">numa região </w:t>
      </w:r>
      <w:r w:rsidR="00F63629" w:rsidRPr="00247371">
        <w:t>rica</w:t>
      </w:r>
      <w:r w:rsidR="0052580A" w:rsidRPr="0052580A">
        <w:t xml:space="preserve"> </w:t>
      </w:r>
      <w:r w:rsidR="0052580A" w:rsidRPr="00247371">
        <w:t>com elevado rendimento e</w:t>
      </w:r>
      <w:r w:rsidR="0052580A">
        <w:t xml:space="preserve"> com procura do “hinterland” que</w:t>
      </w:r>
      <w:r w:rsidR="0052580A" w:rsidRPr="00247371">
        <w:t xml:space="preserve"> justifique a sua construção</w:t>
      </w:r>
      <w:r>
        <w:t xml:space="preserve"> e</w:t>
      </w:r>
      <w:r w:rsidR="005E719C" w:rsidRPr="00247371">
        <w:t xml:space="preserve"> </w:t>
      </w:r>
      <w:r w:rsidR="00104A12" w:rsidRPr="00247371">
        <w:t>deve</w:t>
      </w:r>
      <w:r w:rsidR="0027683B" w:rsidRPr="00247371">
        <w:t xml:space="preserve"> ser muito eficiente </w:t>
      </w:r>
      <w:r>
        <w:t>e ter infraestruturas adequadas para esse efeito, com</w:t>
      </w:r>
      <w:r w:rsidRPr="00247371">
        <w:t xml:space="preserve"> a implantação de elevado número de equipamentos de cais por posto de acostagem, permitindo o serviço de grandes navios de forma muito rápida com grande número de pórticos</w:t>
      </w:r>
      <w:r>
        <w:t xml:space="preserve"> de cais</w:t>
      </w:r>
      <w:r w:rsidRPr="00247371">
        <w:t xml:space="preserve"> em simultâneo no mesmo</w:t>
      </w:r>
      <w:r>
        <w:t xml:space="preserve"> posto de acostagem de cada</w:t>
      </w:r>
      <w:r w:rsidRPr="00247371">
        <w:t xml:space="preserve"> navio, evitando esperas desadequadas aos grandes navios intercontinentais</w:t>
      </w:r>
      <w:r>
        <w:t>.</w:t>
      </w:r>
      <w:r w:rsidRPr="003C44B4">
        <w:t xml:space="preserve"> </w:t>
      </w:r>
      <w:r w:rsidR="00136906">
        <w:t>Correlacionados</w:t>
      </w:r>
      <w:r w:rsidR="00AB1E24">
        <w:t xml:space="preserve"> com os equipamentos, e</w:t>
      </w:r>
      <w:r w:rsidR="00BA4221">
        <w:t>xistem</w:t>
      </w:r>
      <w:r>
        <w:t xml:space="preserve"> depois outros </w:t>
      </w:r>
      <w:r w:rsidR="00AB1E24">
        <w:t>fatores relativos</w:t>
      </w:r>
      <w:r>
        <w:t xml:space="preserve"> </w:t>
      </w:r>
      <w:r w:rsidR="00AB1E24">
        <w:t>aos fundos de acesso marítimo e</w:t>
      </w:r>
      <w:r>
        <w:t xml:space="preserve"> terrapleno com capacidade adequada</w:t>
      </w:r>
      <w:r w:rsidR="00BA4221">
        <w:t xml:space="preserve"> para servir </w:t>
      </w:r>
      <w:r w:rsidR="00AB1E24">
        <w:lastRenderedPageBreak/>
        <w:t>esses navios</w:t>
      </w:r>
      <w:r>
        <w:t>.</w:t>
      </w:r>
      <w:r w:rsidR="00BA4221">
        <w:t xml:space="preserve"> </w:t>
      </w:r>
      <w:r w:rsidR="0052580A">
        <w:t xml:space="preserve">São resultados que mostram uma relação causal </w:t>
      </w:r>
      <w:r w:rsidR="007B1679">
        <w:t xml:space="preserve">absolutamente determinística e </w:t>
      </w:r>
      <w:r w:rsidR="00136906">
        <w:t>quantitativa</w:t>
      </w:r>
      <w:r w:rsidR="0052580A">
        <w:t>, uma vez que o</w:t>
      </w:r>
      <w:r w:rsidR="00C23DBE">
        <w:t>nde existem mais pessoas</w:t>
      </w:r>
      <w:r w:rsidR="007B1679">
        <w:t xml:space="preserve"> e </w:t>
      </w:r>
      <w:r w:rsidR="00C23DBE">
        <w:t>rendimento</w:t>
      </w:r>
      <w:r w:rsidR="0052580A">
        <w:t>s</w:t>
      </w:r>
      <w:r w:rsidR="00AB1E24">
        <w:t>, compra</w:t>
      </w:r>
      <w:r w:rsidR="007B1679">
        <w:t xml:space="preserve">-se e vende-se </w:t>
      </w:r>
      <w:r w:rsidR="00AB1E24">
        <w:t>maior quantidade de</w:t>
      </w:r>
      <w:r w:rsidR="00C23DBE">
        <w:t xml:space="preserve"> </w:t>
      </w:r>
      <w:r w:rsidR="007B1679">
        <w:t>bens</w:t>
      </w:r>
      <w:r w:rsidR="0052580A">
        <w:t xml:space="preserve">, </w:t>
      </w:r>
      <w:r w:rsidR="00AB1E24">
        <w:t>implicando maior</w:t>
      </w:r>
      <w:r w:rsidR="00C23DBE">
        <w:t xml:space="preserve"> </w:t>
      </w:r>
      <w:r w:rsidR="007B1679">
        <w:t>movimento de contentores</w:t>
      </w:r>
      <w:r w:rsidR="004C772D">
        <w:t xml:space="preserve"> nos terminais mais eficientes e melhor dotados</w:t>
      </w:r>
      <w:r w:rsidR="007B1679">
        <w:t>.</w:t>
      </w:r>
      <w:r>
        <w:t xml:space="preserve"> </w:t>
      </w:r>
      <w:r w:rsidR="00F61BB0">
        <w:t>Em suma</w:t>
      </w:r>
      <w:r w:rsidR="00C303F5">
        <w:t>, p</w:t>
      </w:r>
      <w:r w:rsidR="00C303F5" w:rsidRPr="004D55DA">
        <w:t>ara a atividade e eficiência, a ênfase é mais quantitativ</w:t>
      </w:r>
      <w:r w:rsidR="00C303F5">
        <w:t>a</w:t>
      </w:r>
      <w:r w:rsidR="00C303F5" w:rsidRPr="004D55DA">
        <w:t xml:space="preserve"> e coloca-se nos </w:t>
      </w:r>
      <w:r w:rsidR="00136906" w:rsidRPr="004D55DA">
        <w:t>fatores</w:t>
      </w:r>
      <w:r w:rsidR="004C772D">
        <w:t xml:space="preserve"> “position-port”</w:t>
      </w:r>
      <w:r w:rsidR="00C303F5" w:rsidRPr="004D55DA">
        <w:t xml:space="preserve">, “hard-terminal” e “hard-port”, sendo desconsiderados os </w:t>
      </w:r>
      <w:r w:rsidR="00136906" w:rsidRPr="004D55DA">
        <w:t>fatores</w:t>
      </w:r>
      <w:r w:rsidR="00C303F5" w:rsidRPr="004D55DA">
        <w:t xml:space="preserve"> “soft-port” e “soft-terminal”.</w:t>
      </w:r>
    </w:p>
    <w:p w:rsidR="00104A12" w:rsidRPr="0027683B" w:rsidRDefault="00104A12" w:rsidP="007F7964">
      <w:pPr>
        <w:spacing w:line="360" w:lineRule="auto"/>
        <w:jc w:val="both"/>
        <w:rPr>
          <w:highlight w:val="yellow"/>
        </w:rPr>
      </w:pPr>
    </w:p>
    <w:p w:rsidR="00104A12" w:rsidRPr="007B1679" w:rsidRDefault="00136906" w:rsidP="007F7964">
      <w:pPr>
        <w:spacing w:line="360" w:lineRule="auto"/>
        <w:jc w:val="both"/>
      </w:pPr>
      <w:r>
        <w:t>Na outra vertente, c</w:t>
      </w:r>
      <w:r w:rsidRPr="007B1679">
        <w:t>onclui-se</w:t>
      </w:r>
      <w:r>
        <w:t xml:space="preserve"> </w:t>
      </w:r>
      <w:r w:rsidRPr="007B1679">
        <w:t xml:space="preserve">que um terminal de grande sucesso e eficácia na </w:t>
      </w:r>
      <w:r w:rsidRPr="003C44B4">
        <w:rPr>
          <w:b/>
        </w:rPr>
        <w:t>satisfação dos clientes</w:t>
      </w:r>
      <w:r w:rsidRPr="007B1679">
        <w:t xml:space="preserve"> está localizado num porto especializado em contentores, </w:t>
      </w:r>
      <w:r>
        <w:t>com</w:t>
      </w:r>
      <w:r w:rsidRPr="007B1679">
        <w:t xml:space="preserve"> bons acessos terrestres, </w:t>
      </w:r>
      <w:r w:rsidR="004C772D">
        <w:t>adequadas</w:t>
      </w:r>
      <w:r w:rsidRPr="007B1679">
        <w:t xml:space="preserve"> lin</w:t>
      </w:r>
      <w:r>
        <w:t>has marítimas e, principalmente</w:t>
      </w:r>
      <w:r w:rsidRPr="007B1679">
        <w:t xml:space="preserve"> </w:t>
      </w:r>
      <w:r>
        <w:t xml:space="preserve">deve </w:t>
      </w:r>
      <w:r w:rsidRPr="007B1679">
        <w:t>possui</w:t>
      </w:r>
      <w:r>
        <w:t>r</w:t>
      </w:r>
      <w:r w:rsidRPr="007B1679">
        <w:t xml:space="preserve"> uma organização/gestão que respond</w:t>
      </w:r>
      <w:r>
        <w:t>a</w:t>
      </w:r>
      <w:r w:rsidRPr="007B1679">
        <w:t xml:space="preserve"> às necessidades logísticas dos clientes</w:t>
      </w:r>
      <w:r>
        <w:t xml:space="preserve">. </w:t>
      </w:r>
      <w:r w:rsidR="00AB1E24">
        <w:t>A localização geográfica na Europa é também importante.</w:t>
      </w:r>
    </w:p>
    <w:p w:rsidR="00E35EF7" w:rsidRPr="007B1679" w:rsidRDefault="00E35EF7" w:rsidP="007F7964">
      <w:pPr>
        <w:spacing w:line="360" w:lineRule="auto"/>
        <w:jc w:val="both"/>
      </w:pPr>
    </w:p>
    <w:p w:rsidR="00E35EF7" w:rsidRPr="007B1679" w:rsidRDefault="00E35EF7" w:rsidP="007F7964">
      <w:pPr>
        <w:spacing w:line="360" w:lineRule="auto"/>
        <w:jc w:val="both"/>
        <w:rPr>
          <w:color w:val="000000" w:themeColor="text1"/>
        </w:rPr>
      </w:pPr>
      <w:r w:rsidRPr="007B1679">
        <w:rPr>
          <w:color w:val="000000" w:themeColor="text1"/>
        </w:rPr>
        <w:t xml:space="preserve">A </w:t>
      </w:r>
      <w:r w:rsidR="00EE337E">
        <w:rPr>
          <w:color w:val="000000" w:themeColor="text1"/>
        </w:rPr>
        <w:t xml:space="preserve">eficácia na </w:t>
      </w:r>
      <w:r w:rsidRPr="007B1679">
        <w:rPr>
          <w:color w:val="000000" w:themeColor="text1"/>
        </w:rPr>
        <w:t xml:space="preserve">satisfação do cliente não é necessariamente concordante com </w:t>
      </w:r>
      <w:r w:rsidR="00EA40BE" w:rsidRPr="007B1679">
        <w:rPr>
          <w:color w:val="000000" w:themeColor="text1"/>
        </w:rPr>
        <w:t>um</w:t>
      </w:r>
      <w:r w:rsidR="00EE337E">
        <w:rPr>
          <w:color w:val="000000" w:themeColor="text1"/>
        </w:rPr>
        <w:t>a</w:t>
      </w:r>
      <w:r w:rsidRPr="007B1679">
        <w:rPr>
          <w:color w:val="000000" w:themeColor="text1"/>
        </w:rPr>
        <w:t xml:space="preserve"> grande</w:t>
      </w:r>
      <w:r w:rsidR="00EE337E">
        <w:rPr>
          <w:color w:val="000000" w:themeColor="text1"/>
        </w:rPr>
        <w:t xml:space="preserve"> eficiência e um forte</w:t>
      </w:r>
      <w:r w:rsidRPr="007B1679">
        <w:rPr>
          <w:color w:val="000000" w:themeColor="text1"/>
        </w:rPr>
        <w:t xml:space="preserve"> movimento de </w:t>
      </w:r>
      <w:r w:rsidR="00EA40BE" w:rsidRPr="007B1679">
        <w:rPr>
          <w:color w:val="000000" w:themeColor="text1"/>
        </w:rPr>
        <w:t>contentores, n</w:t>
      </w:r>
      <w:r w:rsidRPr="007B1679">
        <w:rPr>
          <w:color w:val="000000" w:themeColor="text1"/>
        </w:rPr>
        <w:t xml:space="preserve">um grande terminal. Um terminal pequeno pode satisfazer </w:t>
      </w:r>
      <w:r w:rsidR="00EE337E">
        <w:rPr>
          <w:color w:val="000000" w:themeColor="text1"/>
        </w:rPr>
        <w:t>de forma mais eficaz</w:t>
      </w:r>
      <w:r w:rsidRPr="007B1679">
        <w:rPr>
          <w:color w:val="000000" w:themeColor="text1"/>
        </w:rPr>
        <w:t xml:space="preserve"> certos clientes e cadeias logísticas, de segmentos específicos, </w:t>
      </w:r>
      <w:r w:rsidR="00EE337E">
        <w:rPr>
          <w:color w:val="000000" w:themeColor="text1"/>
        </w:rPr>
        <w:t xml:space="preserve">mesmo </w:t>
      </w:r>
      <w:r w:rsidRPr="007B1679">
        <w:rPr>
          <w:color w:val="000000" w:themeColor="text1"/>
        </w:rPr>
        <w:t>sem grande atividade</w:t>
      </w:r>
      <w:r w:rsidR="00EE337E">
        <w:rPr>
          <w:color w:val="000000" w:themeColor="text1"/>
        </w:rPr>
        <w:t xml:space="preserve"> anual</w:t>
      </w:r>
      <w:r w:rsidRPr="007B1679">
        <w:rPr>
          <w:color w:val="000000" w:themeColor="text1"/>
        </w:rPr>
        <w:t xml:space="preserve">. Um terminal </w:t>
      </w:r>
      <w:r w:rsidR="00EE337E">
        <w:rPr>
          <w:color w:val="000000" w:themeColor="text1"/>
        </w:rPr>
        <w:t xml:space="preserve">muito eficiente, </w:t>
      </w:r>
      <w:r w:rsidRPr="007B1679">
        <w:rPr>
          <w:color w:val="000000" w:themeColor="text1"/>
        </w:rPr>
        <w:t>com grande atividade e grande movimento de contentores, pode alojar clientes insatisfeitos</w:t>
      </w:r>
      <w:r w:rsidR="00EE337E">
        <w:rPr>
          <w:color w:val="000000" w:themeColor="text1"/>
        </w:rPr>
        <w:t xml:space="preserve"> e ser ineficaz na satisfação específica dos seus requisitos logísticos</w:t>
      </w:r>
      <w:r w:rsidRPr="007B1679">
        <w:rPr>
          <w:color w:val="000000" w:themeColor="text1"/>
        </w:rPr>
        <w:t xml:space="preserve">, embora </w:t>
      </w:r>
      <w:r w:rsidR="00EE337E">
        <w:rPr>
          <w:color w:val="000000" w:themeColor="text1"/>
        </w:rPr>
        <w:t>seja a única alternativa em termos de preço e/ou tempo</w:t>
      </w:r>
      <w:r w:rsidRPr="007B1679">
        <w:rPr>
          <w:color w:val="000000" w:themeColor="text1"/>
        </w:rPr>
        <w:t>.</w:t>
      </w:r>
    </w:p>
    <w:p w:rsidR="00104A12" w:rsidRPr="007B1679" w:rsidRDefault="00104A12" w:rsidP="007F7964">
      <w:pPr>
        <w:spacing w:line="360" w:lineRule="auto"/>
        <w:jc w:val="both"/>
      </w:pPr>
    </w:p>
    <w:p w:rsidR="004C772D" w:rsidRDefault="00EA40BE" w:rsidP="00BA4221">
      <w:pPr>
        <w:spacing w:line="360" w:lineRule="auto"/>
        <w:jc w:val="both"/>
      </w:pPr>
      <w:r>
        <w:t>A especialização do porto em contentores é fator determinante da satisfação do cliente, uma vez que tal permite ter vantagens relacionadas com a especialização dos serviços, das infraestruturas e dos equipamentos e com a curva de aprendizagem e aperfeiçoamento nas soluções para as necessidades específicas dos</w:t>
      </w:r>
      <w:r w:rsidR="00AB1E24">
        <w:t xml:space="preserve"> clientes dos</w:t>
      </w:r>
      <w:r>
        <w:t xml:space="preserve"> contentores</w:t>
      </w:r>
      <w:r w:rsidR="00BA4221">
        <w:t xml:space="preserve">. </w:t>
      </w:r>
      <w:r>
        <w:t>As acessibilidades terrestres</w:t>
      </w:r>
      <w:r w:rsidR="00175B57">
        <w:t xml:space="preserve"> </w:t>
      </w:r>
      <w:r>
        <w:t>rodoviárias</w:t>
      </w:r>
      <w:r w:rsidR="00175B57">
        <w:t xml:space="preserve"> e </w:t>
      </w:r>
      <w:r>
        <w:t xml:space="preserve">ferroviárias </w:t>
      </w:r>
      <w:r w:rsidR="00175B57">
        <w:t xml:space="preserve">de ligação </w:t>
      </w:r>
      <w:r>
        <w:t xml:space="preserve">às cidades, áreas logísticas e industriais, ao </w:t>
      </w:r>
      <w:r w:rsidR="00F61BB0">
        <w:t>“</w:t>
      </w:r>
      <w:r>
        <w:t>hinterland</w:t>
      </w:r>
      <w:r w:rsidR="00F61BB0">
        <w:t>”</w:t>
      </w:r>
      <w:r>
        <w:t xml:space="preserve"> mais próximo </w:t>
      </w:r>
      <w:r w:rsidR="004C772D">
        <w:t xml:space="preserve">e </w:t>
      </w:r>
      <w:r>
        <w:t>mais distante,</w:t>
      </w:r>
      <w:r w:rsidR="00175B57">
        <w:t xml:space="preserve"> assim como as acessibilidades n</w:t>
      </w:r>
      <w:r>
        <w:t>o próprio porto, em termos de capacidade, congestionamento e qualidade</w:t>
      </w:r>
      <w:r w:rsidR="00AB1E24">
        <w:t>,</w:t>
      </w:r>
      <w:r>
        <w:t xml:space="preserve"> são </w:t>
      </w:r>
      <w:r w:rsidR="00F61BB0">
        <w:t xml:space="preserve">variáveis fundamentais </w:t>
      </w:r>
      <w:r>
        <w:t>e determinante</w:t>
      </w:r>
      <w:r w:rsidR="00F61BB0">
        <w:t>s</w:t>
      </w:r>
      <w:r>
        <w:t xml:space="preserve"> da satisfação dos clientes do terminal.</w:t>
      </w:r>
      <w:r w:rsidR="00175B57">
        <w:t xml:space="preserve"> </w:t>
      </w:r>
      <w:r w:rsidR="004C772D">
        <w:t>O tipo,</w:t>
      </w:r>
      <w:r>
        <w:t xml:space="preserve"> quantidade, frequência</w:t>
      </w:r>
      <w:r w:rsidR="004C772D">
        <w:t>,</w:t>
      </w:r>
      <w:r w:rsidR="00F61BB0">
        <w:t xml:space="preserve"> </w:t>
      </w:r>
      <w:r>
        <w:t>portos de e</w:t>
      </w:r>
      <w:r w:rsidR="004C772D">
        <w:t>scala e</w:t>
      </w:r>
      <w:r>
        <w:t xml:space="preserve"> qualidade da oferta de linhas marítimas e dos serviços de transporte marítimo </w:t>
      </w:r>
      <w:r w:rsidR="00175B57">
        <w:t>disponibilizados</w:t>
      </w:r>
      <w:r>
        <w:t xml:space="preserve"> no porto, são parte</w:t>
      </w:r>
      <w:r w:rsidR="00F61BB0">
        <w:t>s</w:t>
      </w:r>
      <w:r w:rsidR="004C772D">
        <w:t xml:space="preserve"> da oferta do próprio terminal</w:t>
      </w:r>
      <w:r>
        <w:t xml:space="preserve"> </w:t>
      </w:r>
      <w:r w:rsidR="00F61BB0">
        <w:t xml:space="preserve">e </w:t>
      </w:r>
      <w:r w:rsidR="007B1679">
        <w:t xml:space="preserve">o principal motivo de escala do terminal pelas </w:t>
      </w:r>
      <w:r w:rsidR="004C772D">
        <w:t>cargas</w:t>
      </w:r>
      <w:r w:rsidR="007B1679">
        <w:t xml:space="preserve">. </w:t>
      </w:r>
    </w:p>
    <w:p w:rsidR="004C772D" w:rsidRDefault="004C772D" w:rsidP="00BA4221">
      <w:pPr>
        <w:spacing w:line="360" w:lineRule="auto"/>
        <w:jc w:val="both"/>
      </w:pPr>
    </w:p>
    <w:p w:rsidR="00C303F5" w:rsidRDefault="00BA4221" w:rsidP="00C303F5">
      <w:pPr>
        <w:spacing w:line="360" w:lineRule="auto"/>
        <w:jc w:val="both"/>
      </w:pPr>
      <w:r w:rsidRPr="007B1679">
        <w:lastRenderedPageBreak/>
        <w:t>A questão do cumprimento dos requisitos das cadeias logísticas que permita a plena integração nas redes complexas dos clientes do terminal é considerad</w:t>
      </w:r>
      <w:r>
        <w:t>a</w:t>
      </w:r>
      <w:r w:rsidRPr="007B1679">
        <w:t xml:space="preserve"> factor base para a satisfação dos clientes, estando intimamente associad</w:t>
      </w:r>
      <w:r>
        <w:t>a</w:t>
      </w:r>
      <w:r w:rsidRPr="007B1679">
        <w:t xml:space="preserve"> à capacidade do gestor e ao tipo de organização que permita a </w:t>
      </w:r>
      <w:r>
        <w:t xml:space="preserve">rápida e adequada </w:t>
      </w:r>
      <w:r w:rsidRPr="007B1679">
        <w:t>adaptação d</w:t>
      </w:r>
      <w:r>
        <w:t>o terminal a estes requisitos</w:t>
      </w:r>
      <w:r w:rsidRPr="001B309B">
        <w:t>.</w:t>
      </w:r>
      <w:r w:rsidR="004C772D">
        <w:t xml:space="preserve"> </w:t>
      </w:r>
      <w:r w:rsidR="004F1771">
        <w:t>Em suma, a</w:t>
      </w:r>
      <w:r w:rsidR="005967AA">
        <w:t xml:space="preserve"> </w:t>
      </w:r>
      <w:r w:rsidR="000E1E20">
        <w:t>satisfação do cliente</w:t>
      </w:r>
      <w:r w:rsidR="00C303F5" w:rsidRPr="004D55DA">
        <w:t xml:space="preserve"> </w:t>
      </w:r>
      <w:r w:rsidR="000E1E20">
        <w:t>coloca</w:t>
      </w:r>
      <w:r w:rsidR="004F1771">
        <w:t xml:space="preserve"> a</w:t>
      </w:r>
      <w:r w:rsidR="00C303F5" w:rsidRPr="004D55DA">
        <w:t xml:space="preserve"> ênfase nos </w:t>
      </w:r>
      <w:r w:rsidR="00136906" w:rsidRPr="004D55DA">
        <w:t>fatores</w:t>
      </w:r>
      <w:r w:rsidR="004C772D">
        <w:t xml:space="preserve"> “soft-terminal”, </w:t>
      </w:r>
      <w:r w:rsidR="00C303F5" w:rsidRPr="004D55DA">
        <w:t xml:space="preserve">“soft-port” </w:t>
      </w:r>
      <w:r w:rsidR="005967AA">
        <w:t>e</w:t>
      </w:r>
      <w:r w:rsidR="00C303F5" w:rsidRPr="004D55DA">
        <w:t xml:space="preserve"> </w:t>
      </w:r>
      <w:r w:rsidR="004C772D">
        <w:t>“hard-port”</w:t>
      </w:r>
      <w:r w:rsidR="00C303F5" w:rsidRPr="004D55DA">
        <w:t xml:space="preserve">, não </w:t>
      </w:r>
      <w:r w:rsidR="005967AA">
        <w:t xml:space="preserve">se verificando relevantes </w:t>
      </w:r>
      <w:r w:rsidR="000E1E20">
        <w:t xml:space="preserve">os </w:t>
      </w:r>
      <w:r w:rsidR="00136906">
        <w:t>fatores</w:t>
      </w:r>
      <w:r w:rsidR="000E1E20">
        <w:t xml:space="preserve"> “hard-terminal”.</w:t>
      </w:r>
    </w:p>
    <w:p w:rsidR="00FD2162" w:rsidRDefault="00FD2162" w:rsidP="007F7964">
      <w:pPr>
        <w:spacing w:line="360" w:lineRule="auto"/>
        <w:jc w:val="both"/>
      </w:pPr>
    </w:p>
    <w:p w:rsidR="00C82112" w:rsidRPr="004D55DA" w:rsidRDefault="00C82112" w:rsidP="00C82112">
      <w:pPr>
        <w:spacing w:line="360" w:lineRule="auto"/>
        <w:jc w:val="both"/>
      </w:pPr>
      <w:r>
        <w:t>Finalmente, destas conclusões</w:t>
      </w:r>
      <w:r w:rsidRPr="004F1771">
        <w:t xml:space="preserve"> </w:t>
      </w:r>
      <w:r w:rsidR="00DF0B4C">
        <w:t>surgem</w:t>
      </w:r>
      <w:r w:rsidR="00DF0B4C" w:rsidRPr="004F1771">
        <w:t xml:space="preserve"> </w:t>
      </w:r>
      <w:r w:rsidRPr="004F1771">
        <w:t>novas questões</w:t>
      </w:r>
      <w:r>
        <w:t xml:space="preserve">, como por exemplo: (a) </w:t>
      </w:r>
      <w:r w:rsidR="004C772D">
        <w:t>se</w:t>
      </w:r>
      <w:r>
        <w:t xml:space="preserve"> os terminais devem estar localizados em regiões com elevado PIB e próximo das origens e destinos das cargas no hinterland, d</w:t>
      </w:r>
      <w:r w:rsidRPr="00C82112">
        <w:t>evem os novos terminais de contentores ser implan</w:t>
      </w:r>
      <w:r>
        <w:t xml:space="preserve">tados nos portos grandes junto </w:t>
      </w:r>
      <w:r w:rsidR="000E1E20">
        <w:t>às</w:t>
      </w:r>
      <w:r w:rsidRPr="00C82112">
        <w:t xml:space="preserve"> cidade</w:t>
      </w:r>
      <w:r>
        <w:t>s</w:t>
      </w:r>
      <w:r w:rsidRPr="00C82112">
        <w:t xml:space="preserve"> ou em novos portos distantes</w:t>
      </w:r>
      <w:r>
        <w:t xml:space="preserve"> com maiores fundos e espaço para terraplenos e cais, mais perto dos eixos de transhipment</w:t>
      </w:r>
      <w:r w:rsidRPr="00C82112">
        <w:t>?</w:t>
      </w:r>
      <w:r>
        <w:t xml:space="preserve"> (b) </w:t>
      </w:r>
      <w:r w:rsidRPr="00C82112">
        <w:t>Os portos e terminais mais pequenos, de proximidade, são importantes</w:t>
      </w:r>
      <w:r w:rsidR="004C772D">
        <w:t xml:space="preserve"> </w:t>
      </w:r>
      <w:r>
        <w:t>e devem ser desenvolvidos</w:t>
      </w:r>
      <w:r w:rsidRPr="00C82112">
        <w:t xml:space="preserve"> ou a carga deve se</w:t>
      </w:r>
      <w:r>
        <w:t>r concentrada nos grandes terminais mais eficientes e</w:t>
      </w:r>
      <w:r w:rsidRPr="00C82112">
        <w:t xml:space="preserve"> com maior dimensão?</w:t>
      </w:r>
      <w:r>
        <w:t xml:space="preserve"> Qual </w:t>
      </w:r>
      <w:r w:rsidR="000E1E20">
        <w:t>o mix a considerar numa região?</w:t>
      </w:r>
      <w:r w:rsidR="004C772D">
        <w:t xml:space="preserve"> Qual o “mix” adequado de concorrência e concentração?</w:t>
      </w:r>
    </w:p>
    <w:p w:rsidR="004C70DB" w:rsidRPr="004D55DA" w:rsidRDefault="004C70DB" w:rsidP="007F7964">
      <w:pPr>
        <w:spacing w:line="360" w:lineRule="auto"/>
        <w:jc w:val="both"/>
      </w:pPr>
    </w:p>
    <w:p w:rsidR="001A75A0" w:rsidRDefault="001A75A0">
      <w:r>
        <w:br w:type="page"/>
      </w:r>
    </w:p>
    <w:p w:rsidR="00104A12" w:rsidRPr="004D55DA" w:rsidRDefault="00104A12" w:rsidP="007F7964"/>
    <w:p w:rsidR="00104A12" w:rsidRPr="004D55DA" w:rsidRDefault="00104A12" w:rsidP="007F7964">
      <w:pPr>
        <w:spacing w:line="360" w:lineRule="auto"/>
        <w:jc w:val="both"/>
      </w:pPr>
    </w:p>
    <w:p w:rsidR="00104A12" w:rsidRPr="00BE6593" w:rsidRDefault="00104A12" w:rsidP="00BE6593">
      <w:pPr>
        <w:pStyle w:val="Cabealho1"/>
        <w:numPr>
          <w:ilvl w:val="0"/>
          <w:numId w:val="1"/>
        </w:numPr>
        <w:rPr>
          <w:rFonts w:ascii="Times New Roman" w:hAnsi="Times New Roman"/>
          <w:sz w:val="24"/>
          <w:szCs w:val="24"/>
        </w:rPr>
      </w:pPr>
      <w:bookmarkStart w:id="216" w:name="_Toc395730167"/>
      <w:r w:rsidRPr="00BE6593">
        <w:rPr>
          <w:rFonts w:ascii="Times New Roman" w:hAnsi="Times New Roman"/>
          <w:sz w:val="24"/>
          <w:szCs w:val="24"/>
        </w:rPr>
        <w:t>Contribuições</w:t>
      </w:r>
      <w:r w:rsidR="00843485">
        <w:rPr>
          <w:rFonts w:ascii="Times New Roman" w:hAnsi="Times New Roman"/>
          <w:sz w:val="24"/>
          <w:szCs w:val="24"/>
        </w:rPr>
        <w:t>,</w:t>
      </w:r>
      <w:r w:rsidR="00FC05CE" w:rsidRPr="00BE6593">
        <w:rPr>
          <w:rFonts w:ascii="Times New Roman" w:hAnsi="Times New Roman"/>
          <w:sz w:val="24"/>
          <w:szCs w:val="24"/>
        </w:rPr>
        <w:fldChar w:fldCharType="begin"/>
      </w:r>
      <w:r w:rsidR="00FC05CE" w:rsidRPr="00BE6593">
        <w:rPr>
          <w:rFonts w:ascii="Times New Roman" w:hAnsi="Times New Roman"/>
          <w:sz w:val="24"/>
          <w:szCs w:val="24"/>
        </w:rPr>
        <w:instrText xml:space="preserve"> XE "Contribuições" </w:instrText>
      </w:r>
      <w:r w:rsidR="00FC05CE" w:rsidRPr="00BE6593">
        <w:rPr>
          <w:rFonts w:ascii="Times New Roman" w:hAnsi="Times New Roman"/>
          <w:sz w:val="24"/>
          <w:szCs w:val="24"/>
        </w:rPr>
        <w:fldChar w:fldCharType="end"/>
      </w:r>
      <w:r w:rsidRPr="00BE6593">
        <w:rPr>
          <w:rFonts w:ascii="Times New Roman" w:hAnsi="Times New Roman"/>
          <w:sz w:val="24"/>
          <w:szCs w:val="24"/>
        </w:rPr>
        <w:t xml:space="preserve"> limitações e trabalhos futuros</w:t>
      </w:r>
      <w:bookmarkEnd w:id="216"/>
    </w:p>
    <w:p w:rsidR="00104A12" w:rsidRPr="004D55DA" w:rsidRDefault="00104A12" w:rsidP="007F7964">
      <w:pPr>
        <w:spacing w:line="360" w:lineRule="auto"/>
        <w:jc w:val="both"/>
      </w:pPr>
    </w:p>
    <w:p w:rsidR="00843485" w:rsidRDefault="00843485" w:rsidP="008E4927">
      <w:pPr>
        <w:spacing w:line="360" w:lineRule="auto"/>
        <w:jc w:val="both"/>
        <w:rPr>
          <w:b/>
        </w:rPr>
      </w:pPr>
      <w:r w:rsidRPr="00843485">
        <w:rPr>
          <w:b/>
        </w:rPr>
        <w:t>Contribuições</w:t>
      </w:r>
    </w:p>
    <w:p w:rsidR="00465397" w:rsidRPr="00843485" w:rsidRDefault="00465397" w:rsidP="008E4927">
      <w:pPr>
        <w:spacing w:line="360" w:lineRule="auto"/>
        <w:jc w:val="both"/>
        <w:rPr>
          <w:b/>
        </w:rPr>
      </w:pPr>
    </w:p>
    <w:p w:rsidR="008E4927" w:rsidRPr="004D55DA" w:rsidRDefault="00104A12" w:rsidP="008E4927">
      <w:pPr>
        <w:spacing w:line="360" w:lineRule="auto"/>
        <w:jc w:val="both"/>
      </w:pPr>
      <w:r w:rsidRPr="004D55DA">
        <w:t>O presente estudo permitiu</w:t>
      </w:r>
      <w:r w:rsidR="008E4927">
        <w:t xml:space="preserve"> </w:t>
      </w:r>
      <w:r w:rsidRPr="004D55DA">
        <w:t xml:space="preserve">desenvolver um modelo holístico geral de explicação do desempenho dos terminais de contentores, com base nas características do porto e </w:t>
      </w:r>
      <w:r w:rsidR="004C70DB" w:rsidRPr="004D55DA">
        <w:t xml:space="preserve">características </w:t>
      </w:r>
      <w:r w:rsidR="008E4927">
        <w:t>do terminal e a</w:t>
      </w:r>
      <w:r w:rsidR="008E4927" w:rsidRPr="008E4927">
        <w:t>glomera as diversas componentes da gestão dos terminais de contentores, enquanto instrumentos para a melhoria do desempenho</w:t>
      </w:r>
      <w:r w:rsidR="008E4927">
        <w:t>.</w:t>
      </w:r>
      <w:r w:rsidR="007576BA">
        <w:t xml:space="preserve"> </w:t>
      </w:r>
      <w:r w:rsidR="005967AA">
        <w:t>O</w:t>
      </w:r>
      <w:r w:rsidR="008E4927" w:rsidRPr="004D55DA">
        <w:t xml:space="preserve"> estudo contribui para um melhor conhecimento dos portos e dos terminais de contentores, </w:t>
      </w:r>
      <w:r w:rsidR="005967AA">
        <w:t>ao concentrar</w:t>
      </w:r>
      <w:r w:rsidR="008E4927" w:rsidRPr="004D55DA">
        <w:t xml:space="preserve"> </w:t>
      </w:r>
      <w:r w:rsidR="005967AA">
        <w:t xml:space="preserve">diversos </w:t>
      </w:r>
      <w:r w:rsidR="00136906">
        <w:t>fatores</w:t>
      </w:r>
      <w:r w:rsidR="005967AA">
        <w:t xml:space="preserve"> analisados em diversos</w:t>
      </w:r>
      <w:r w:rsidR="008E4927" w:rsidRPr="004D55DA">
        <w:t xml:space="preserve"> estudos de forma dispersa.</w:t>
      </w:r>
    </w:p>
    <w:p w:rsidR="00104A12" w:rsidRPr="004D55DA" w:rsidRDefault="00104A12" w:rsidP="007F7964">
      <w:pPr>
        <w:spacing w:line="360" w:lineRule="auto"/>
        <w:jc w:val="both"/>
      </w:pPr>
    </w:p>
    <w:p w:rsidR="00104A12" w:rsidRPr="004D55DA" w:rsidRDefault="005967AA" w:rsidP="007F7964">
      <w:pPr>
        <w:spacing w:line="360" w:lineRule="auto"/>
        <w:jc w:val="both"/>
      </w:pPr>
      <w:r>
        <w:t>Outro</w:t>
      </w:r>
      <w:r w:rsidR="00104A12" w:rsidRPr="004D55DA">
        <w:t xml:space="preserve"> contributo muito importante </w:t>
      </w:r>
      <w:r>
        <w:t>reside em</w:t>
      </w:r>
      <w:r w:rsidRPr="004D55DA">
        <w:t xml:space="preserve"> </w:t>
      </w:r>
      <w:r>
        <w:t xml:space="preserve">permitir uma </w:t>
      </w:r>
      <w:r w:rsidR="008E4927">
        <w:t>m</w:t>
      </w:r>
      <w:r w:rsidR="008E4927" w:rsidRPr="008E4927">
        <w:t xml:space="preserve">elhor compreensão dos mecanismos macro-portuários e das opções das autoridades públicas </w:t>
      </w:r>
      <w:r>
        <w:t>para a</w:t>
      </w:r>
      <w:r w:rsidRPr="008E4927">
        <w:t xml:space="preserve"> </w:t>
      </w:r>
      <w:r w:rsidR="008E4927" w:rsidRPr="008E4927">
        <w:t>expansão dos portos, como pólos de desenvolvimento</w:t>
      </w:r>
      <w:r w:rsidR="008E4927">
        <w:t xml:space="preserve">. De facto, </w:t>
      </w:r>
      <w:r w:rsidRPr="004D55DA">
        <w:t>compreende</w:t>
      </w:r>
      <w:r>
        <w:t>-se melhor</w:t>
      </w:r>
      <w:r w:rsidRPr="004D55DA">
        <w:t xml:space="preserve"> </w:t>
      </w:r>
      <w:r w:rsidR="00465397">
        <w:t>que um terminal de contentores</w:t>
      </w:r>
      <w:r w:rsidR="00104A12" w:rsidRPr="004D55DA">
        <w:t xml:space="preserve"> com sucesso em termos de </w:t>
      </w:r>
      <w:r w:rsidR="00136906" w:rsidRPr="004D55DA">
        <w:t>atividade</w:t>
      </w:r>
      <w:r w:rsidR="007576BA">
        <w:t xml:space="preserve"> e impacto económico</w:t>
      </w:r>
      <w:r w:rsidR="00104A12" w:rsidRPr="004D55DA">
        <w:t>, deve ser eficiente e estar localizado numa região com elevado PIB</w:t>
      </w:r>
      <w:r w:rsidR="004C772D">
        <w:t xml:space="preserve"> e ser construído com determinados requisitos</w:t>
      </w:r>
      <w:r w:rsidR="00104A12" w:rsidRPr="004D55DA">
        <w:t xml:space="preserve">. </w:t>
      </w:r>
      <w:r w:rsidR="007576BA">
        <w:t xml:space="preserve">Neste sentido, este estudo permite melhorar </w:t>
      </w:r>
      <w:r w:rsidR="005371C3">
        <w:t>o</w:t>
      </w:r>
      <w:r w:rsidR="008E4927">
        <w:t xml:space="preserve"> planeamento portuário nacional</w:t>
      </w:r>
      <w:r w:rsidR="00104A12" w:rsidRPr="004D55DA">
        <w:t>.</w:t>
      </w:r>
    </w:p>
    <w:p w:rsidR="00104A12" w:rsidRPr="004D55DA" w:rsidRDefault="00104A12" w:rsidP="007F7964">
      <w:pPr>
        <w:spacing w:line="360" w:lineRule="auto"/>
        <w:jc w:val="both"/>
      </w:pPr>
    </w:p>
    <w:p w:rsidR="00104A12" w:rsidRPr="004D55DA" w:rsidRDefault="004D3A20" w:rsidP="007F7964">
      <w:pPr>
        <w:spacing w:line="360" w:lineRule="auto"/>
        <w:jc w:val="both"/>
      </w:pPr>
      <w:r w:rsidRPr="004D55DA">
        <w:t xml:space="preserve">Este resultado </w:t>
      </w:r>
      <w:r w:rsidR="00465397">
        <w:t>contribui para a compreensão</w:t>
      </w:r>
      <w:r w:rsidR="00104A12" w:rsidRPr="004D55DA">
        <w:t xml:space="preserve"> </w:t>
      </w:r>
      <w:r w:rsidR="00465397">
        <w:t>d</w:t>
      </w:r>
      <w:r w:rsidR="008E4927">
        <w:t>uma</w:t>
      </w:r>
      <w:r w:rsidR="00104A12" w:rsidRPr="004D55DA">
        <w:t xml:space="preserve"> questão com que se debatem muitos países. Devem os novos terminais de contentores</w:t>
      </w:r>
      <w:r w:rsidR="007576BA">
        <w:t xml:space="preserve"> ficar situados</w:t>
      </w:r>
      <w:r w:rsidR="00104A12" w:rsidRPr="004D55DA">
        <w:t xml:space="preserve"> </w:t>
      </w:r>
      <w:r w:rsidR="008E4927">
        <w:t>junto a grandes cidades</w:t>
      </w:r>
      <w:r w:rsidR="00104A12" w:rsidRPr="004D55DA">
        <w:t>, onde existe</w:t>
      </w:r>
      <w:r w:rsidR="00D021B8">
        <w:t xml:space="preserve"> maior</w:t>
      </w:r>
      <w:r w:rsidR="004C70DB" w:rsidRPr="004D55DA">
        <w:t xml:space="preserve"> </w:t>
      </w:r>
      <w:r w:rsidR="008E4927">
        <w:t>rendimento</w:t>
      </w:r>
      <w:r w:rsidR="004C70DB" w:rsidRPr="004D55DA">
        <w:t>,</w:t>
      </w:r>
      <w:r w:rsidR="0059746A">
        <w:t xml:space="preserve"> procura e cargas</w:t>
      </w:r>
      <w:r w:rsidR="00104A12" w:rsidRPr="004D55DA">
        <w:t>, ou devem ser localizados em novos portos</w:t>
      </w:r>
      <w:r w:rsidR="008E4927">
        <w:t xml:space="preserve"> em regiões distantes </w:t>
      </w:r>
      <w:r w:rsidR="0059746A">
        <w:t>das cidades, mas com</w:t>
      </w:r>
      <w:r w:rsidR="00104A12" w:rsidRPr="004D55DA">
        <w:t xml:space="preserve"> maiores fundos</w:t>
      </w:r>
      <w:r w:rsidR="00465397">
        <w:t xml:space="preserve"> marítimos</w:t>
      </w:r>
      <w:r w:rsidR="0059746A">
        <w:t xml:space="preserve"> e áreas de expansão</w:t>
      </w:r>
      <w:r w:rsidR="008E4927">
        <w:t>? O presente estudo aponta para a necessidade de preservar a proximidade às cidades e zonas de produção, embora também aponte para a</w:t>
      </w:r>
      <w:r w:rsidR="007576BA">
        <w:t>s vantagens da</w:t>
      </w:r>
      <w:r w:rsidR="008E4927">
        <w:t xml:space="preserve"> proximidade aos eixos de tráfego transoceânico</w:t>
      </w:r>
      <w:r w:rsidR="004C772D">
        <w:t xml:space="preserve"> e para maiores fundos marítimos e áreas de expansão. É necessário equilíbrio entre estes fatores, embora o</w:t>
      </w:r>
      <w:r w:rsidR="007576BA">
        <w:t>utras variáveis import</w:t>
      </w:r>
      <w:r w:rsidR="004C772D">
        <w:t>e</w:t>
      </w:r>
      <w:r w:rsidR="007576BA">
        <w:t>m nesta questão, como seja a necessidade de</w:t>
      </w:r>
      <w:r w:rsidR="008E4927">
        <w:t xml:space="preserve"> garantir a compatibilidade com o ordenamento do território</w:t>
      </w:r>
      <w:r w:rsidR="0059746A">
        <w:t xml:space="preserve"> e</w:t>
      </w:r>
      <w:r w:rsidR="008E4927">
        <w:t xml:space="preserve"> as funções urbanas</w:t>
      </w:r>
      <w:r w:rsidR="0059746A">
        <w:t>.</w:t>
      </w:r>
    </w:p>
    <w:p w:rsidR="00104A12" w:rsidRPr="004D55DA" w:rsidRDefault="00104A12" w:rsidP="007F7964">
      <w:pPr>
        <w:spacing w:line="360" w:lineRule="auto"/>
        <w:jc w:val="both"/>
      </w:pPr>
    </w:p>
    <w:p w:rsidR="00E90F70" w:rsidRDefault="005371C3" w:rsidP="008E4927">
      <w:pPr>
        <w:spacing w:line="360" w:lineRule="auto"/>
        <w:jc w:val="both"/>
      </w:pPr>
      <w:r>
        <w:t>E</w:t>
      </w:r>
      <w:r w:rsidR="00843485" w:rsidRPr="00E90F70">
        <w:t xml:space="preserve">ste estudo </w:t>
      </w:r>
      <w:r>
        <w:t>contribui também para a</w:t>
      </w:r>
      <w:r w:rsidRPr="00E90F70">
        <w:t xml:space="preserve"> </w:t>
      </w:r>
      <w:r w:rsidR="008E4927" w:rsidRPr="00E90F70">
        <w:t>maior racionalidade dos gestores empresariais nas decisões sobre a implantação de novos terminais de contentores e melhoria dos existentes</w:t>
      </w:r>
      <w:r w:rsidR="00843485" w:rsidRPr="00E90F70">
        <w:t xml:space="preserve">. </w:t>
      </w:r>
      <w:r w:rsidR="00E90F70" w:rsidRPr="00E90F70">
        <w:t>A decisão</w:t>
      </w:r>
      <w:r w:rsidR="00E90F70">
        <w:t xml:space="preserve"> empresarial sobre a localização de um novo terminal deve passar a ter em consideração a localização em portos de grande dimensão, especializados em contentores, </w:t>
      </w:r>
      <w:r w:rsidR="00E90F70">
        <w:lastRenderedPageBreak/>
        <w:t xml:space="preserve">com adequadas acessibilidades terrestres </w:t>
      </w:r>
      <w:r w:rsidR="00136906">
        <w:t>rodoferroviárias</w:t>
      </w:r>
      <w:r w:rsidR="00E90F70">
        <w:t xml:space="preserve">, junto a grandes centros de consumo e produção e zonas de intenso tráfego marítimo ou terrestre. </w:t>
      </w:r>
    </w:p>
    <w:p w:rsidR="00E90F70" w:rsidRDefault="00E90F70" w:rsidP="008E4927">
      <w:pPr>
        <w:spacing w:line="360" w:lineRule="auto"/>
        <w:jc w:val="both"/>
      </w:pPr>
    </w:p>
    <w:p w:rsidR="008E4927" w:rsidRDefault="00E90F70" w:rsidP="008E4927">
      <w:pPr>
        <w:spacing w:line="360" w:lineRule="auto"/>
        <w:jc w:val="both"/>
      </w:pPr>
      <w:r>
        <w:t xml:space="preserve">A construção de </w:t>
      </w:r>
      <w:r w:rsidR="007576BA">
        <w:t xml:space="preserve">um </w:t>
      </w:r>
      <w:r>
        <w:t>novo terminal ou a melhoria de terminais existentes</w:t>
      </w:r>
      <w:r w:rsidR="0059746A">
        <w:t>, com vista a ampliar a sua atividade,</w:t>
      </w:r>
      <w:r>
        <w:t xml:space="preserve"> deve ter em consideração </w:t>
      </w:r>
      <w:r w:rsidR="007576BA">
        <w:t>uma</w:t>
      </w:r>
      <w:r>
        <w:t xml:space="preserve"> infraestrutura adequada à receção de grandes navios, com elevada eficiência e </w:t>
      </w:r>
      <w:r w:rsidR="007576BA">
        <w:t xml:space="preserve">elevado </w:t>
      </w:r>
      <w:r>
        <w:t xml:space="preserve">número de equipamentos </w:t>
      </w:r>
      <w:r w:rsidR="004C772D">
        <w:t>de cais por posto de acostagem,</w:t>
      </w:r>
      <w:r>
        <w:t xml:space="preserve"> fundos marítimos e terraplenos adequados. A disponibilização de elevado número de linhas de navegação e linhas regulares é fator a considerar na oferta do terminal, que abranjam os diversos segmentos, em especial linhas intercontinentais de operadores globais.</w:t>
      </w:r>
    </w:p>
    <w:p w:rsidR="00E90F70" w:rsidRDefault="00E90F70" w:rsidP="008E4927">
      <w:pPr>
        <w:spacing w:line="360" w:lineRule="auto"/>
        <w:jc w:val="both"/>
      </w:pPr>
    </w:p>
    <w:p w:rsidR="00E90F70" w:rsidRPr="008E4927" w:rsidRDefault="00E90F70" w:rsidP="008E4927">
      <w:pPr>
        <w:spacing w:line="360" w:lineRule="auto"/>
        <w:jc w:val="both"/>
      </w:pPr>
      <w:r>
        <w:t>A escolha do tipo de gestor, o tipo de organização do terminal, a sua agilidade, flexibilidade e orientação para o cliente, que permita uma plena integração nos requisitos das cadeias logísticas são fator</w:t>
      </w:r>
      <w:r w:rsidR="004C772D">
        <w:t xml:space="preserve"> principal</w:t>
      </w:r>
      <w:r>
        <w:t xml:space="preserve"> de elevada importância para o desempenho do terminal.</w:t>
      </w:r>
      <w:r w:rsidR="007576BA">
        <w:t xml:space="preserve"> Este fator, muitas vezes relegado para segundo plano, deve passar a ser central na gestão do terminal de contentores, tendo em consideração os resultados deste estudo.</w:t>
      </w:r>
    </w:p>
    <w:p w:rsidR="008E4927" w:rsidRPr="004D55DA" w:rsidRDefault="008E4927" w:rsidP="007F7964">
      <w:pPr>
        <w:spacing w:line="360" w:lineRule="auto"/>
        <w:jc w:val="both"/>
      </w:pPr>
    </w:p>
    <w:p w:rsidR="00104A12" w:rsidRPr="004D55DA" w:rsidRDefault="005371C3" w:rsidP="007F7964">
      <w:pPr>
        <w:spacing w:line="360" w:lineRule="auto"/>
        <w:jc w:val="both"/>
      </w:pPr>
      <w:r>
        <w:t>Outro</w:t>
      </w:r>
      <w:r w:rsidR="00104A12" w:rsidRPr="004D55DA">
        <w:t xml:space="preserve"> contributo </w:t>
      </w:r>
      <w:r>
        <w:t xml:space="preserve">ainda para a literatura e prática referente ao </w:t>
      </w:r>
      <w:r w:rsidR="00104A12" w:rsidRPr="004D55DA">
        <w:t>conhecimento dos portos e</w:t>
      </w:r>
      <w:r w:rsidR="00BA4221">
        <w:t xml:space="preserve"> dos terminais de contentores refere-se à</w:t>
      </w:r>
      <w:r w:rsidR="00843485">
        <w:t xml:space="preserve"> </w:t>
      </w:r>
      <w:r>
        <w:t xml:space="preserve">compreensão do papel da </w:t>
      </w:r>
      <w:r w:rsidR="004E3448">
        <w:t>a</w:t>
      </w:r>
      <w:r w:rsidR="00104A12" w:rsidRPr="004D55DA">
        <w:t>tividade</w:t>
      </w:r>
      <w:r w:rsidR="00D021B8">
        <w:t xml:space="preserve"> e </w:t>
      </w:r>
      <w:r>
        <w:t>d</w:t>
      </w:r>
      <w:r w:rsidR="00D021B8">
        <w:t>a eficiência</w:t>
      </w:r>
      <w:r w:rsidR="00843485">
        <w:t xml:space="preserve"> do terminal</w:t>
      </w:r>
      <w:r w:rsidR="00104A12" w:rsidRPr="004D55DA">
        <w:t xml:space="preserve"> </w:t>
      </w:r>
      <w:r>
        <w:t>ser</w:t>
      </w:r>
      <w:r w:rsidRPr="004D55DA">
        <w:t xml:space="preserve"> </w:t>
      </w:r>
      <w:r w:rsidR="00104A12" w:rsidRPr="004D55DA">
        <w:t xml:space="preserve">diferente </w:t>
      </w:r>
      <w:r>
        <w:t>d</w:t>
      </w:r>
      <w:r w:rsidR="00843485">
        <w:t>a eficácia</w:t>
      </w:r>
      <w:r w:rsidR="00843485" w:rsidRPr="004D55DA">
        <w:t xml:space="preserve"> </w:t>
      </w:r>
      <w:r>
        <w:t xml:space="preserve">para a </w:t>
      </w:r>
      <w:r w:rsidR="00104A12" w:rsidRPr="004D55DA">
        <w:t xml:space="preserve">satisfação do cliente. </w:t>
      </w:r>
      <w:r w:rsidR="00BF2EDE">
        <w:t>Um terminal</w:t>
      </w:r>
      <w:r w:rsidR="00104A12" w:rsidRPr="004D55DA">
        <w:t xml:space="preserve"> pequeno</w:t>
      </w:r>
      <w:r w:rsidR="00CE5186">
        <w:t xml:space="preserve"> de proximidade</w:t>
      </w:r>
      <w:r w:rsidR="00BF2EDE">
        <w:t>, pouco</w:t>
      </w:r>
      <w:r w:rsidR="00D021B8">
        <w:t xml:space="preserve"> eficiente</w:t>
      </w:r>
      <w:r w:rsidR="00104A12" w:rsidRPr="004D55DA">
        <w:t xml:space="preserve">, com </w:t>
      </w:r>
      <w:r w:rsidR="00BF2EDE">
        <w:t>reduzida</w:t>
      </w:r>
      <w:r w:rsidR="00104A12" w:rsidRPr="004D55DA">
        <w:t xml:space="preserve"> </w:t>
      </w:r>
      <w:r w:rsidR="00136906" w:rsidRPr="004D55DA">
        <w:t>atividade</w:t>
      </w:r>
      <w:r w:rsidR="00104A12" w:rsidRPr="004D55DA">
        <w:t xml:space="preserve">, também tem o seu papel na economia e </w:t>
      </w:r>
      <w:r w:rsidR="00CE5186">
        <w:t>pode muitas vezes</w:t>
      </w:r>
      <w:r w:rsidR="00104A12" w:rsidRPr="004D55DA">
        <w:t xml:space="preserve"> satisfazer </w:t>
      </w:r>
      <w:r w:rsidR="00CE5186">
        <w:t xml:space="preserve">mais </w:t>
      </w:r>
      <w:r w:rsidR="00104A12" w:rsidRPr="004D55DA">
        <w:t xml:space="preserve">os seus clientes </w:t>
      </w:r>
      <w:r w:rsidR="00CE5186">
        <w:t>específicos que um terminal muito grande</w:t>
      </w:r>
      <w:r w:rsidR="00104A12" w:rsidRPr="004D55DA">
        <w:t>.</w:t>
      </w:r>
      <w:r w:rsidR="004C70DB" w:rsidRPr="004D55DA">
        <w:t xml:space="preserve"> O sucesso de um terminal não se mede apenas pela dimensão da sua atividade, mas também através </w:t>
      </w:r>
      <w:r w:rsidR="00AC3220" w:rsidRPr="004D55DA">
        <w:t xml:space="preserve">do nível </w:t>
      </w:r>
      <w:r w:rsidR="004C70DB" w:rsidRPr="004D55DA">
        <w:t>d</w:t>
      </w:r>
      <w:r w:rsidR="00AC3220" w:rsidRPr="004D55DA">
        <w:t>e</w:t>
      </w:r>
      <w:r w:rsidR="004C70DB" w:rsidRPr="004D55DA">
        <w:t xml:space="preserve"> cumprimento do seu papel na região onde se insere, </w:t>
      </w:r>
      <w:r w:rsidR="00AC3220" w:rsidRPr="004D55DA">
        <w:t>pelo grau de</w:t>
      </w:r>
      <w:r w:rsidR="004C70DB" w:rsidRPr="004D55DA">
        <w:t xml:space="preserve"> satisfação dos seus clientes</w:t>
      </w:r>
      <w:r w:rsidR="00CE5186">
        <w:t xml:space="preserve"> e das cadeias logísticas regionais</w:t>
      </w:r>
      <w:r w:rsidR="004C70DB" w:rsidRPr="004D55DA">
        <w:t xml:space="preserve">, independente de </w:t>
      </w:r>
      <w:r w:rsidR="00AC3220" w:rsidRPr="004D55DA">
        <w:t>ser grande ou pequeno, ter mais ou menos atividade.</w:t>
      </w:r>
      <w:r w:rsidR="00D021B8">
        <w:t xml:space="preserve"> A competitividade e o desempenho dos terminais de contentores dependem tanto da eficiência</w:t>
      </w:r>
      <w:r w:rsidR="004E3448">
        <w:t>,</w:t>
      </w:r>
      <w:r w:rsidR="00D021B8">
        <w:t xml:space="preserve"> como da eficácia através da satisfação dos cliente</w:t>
      </w:r>
      <w:r w:rsidR="00C82112">
        <w:t>s</w:t>
      </w:r>
      <w:r w:rsidR="00D021B8">
        <w:t>, medidas por vezes contraditórias e que devem ser balanceadas.</w:t>
      </w:r>
    </w:p>
    <w:p w:rsidR="00104A12" w:rsidRPr="004D55DA" w:rsidRDefault="00104A12" w:rsidP="007F7964">
      <w:pPr>
        <w:spacing w:line="360" w:lineRule="auto"/>
        <w:jc w:val="both"/>
      </w:pPr>
    </w:p>
    <w:p w:rsidR="00104A12" w:rsidRPr="004D55DA" w:rsidRDefault="00104A12" w:rsidP="007F7964">
      <w:pPr>
        <w:spacing w:line="360" w:lineRule="auto"/>
        <w:jc w:val="both"/>
      </w:pPr>
      <w:r w:rsidRPr="004D55DA">
        <w:t>A satisfação dos clientes garante a sua continuidade</w:t>
      </w:r>
      <w:r w:rsidR="009255BD" w:rsidRPr="004D55DA">
        <w:t>, o cumprimento do papel na economia da região</w:t>
      </w:r>
      <w:r w:rsidRPr="004D55DA">
        <w:t xml:space="preserve">, embora não seja sinónimo de maior </w:t>
      </w:r>
      <w:r w:rsidR="00136906" w:rsidRPr="004D55DA">
        <w:t>atividade</w:t>
      </w:r>
      <w:r w:rsidR="00D021B8">
        <w:t xml:space="preserve"> ou eficiência</w:t>
      </w:r>
      <w:r w:rsidRPr="004D55DA">
        <w:t>. Para ter clientes satisfeitos, o terminal de contentores deve ser gerido de modo a estar integrado de forma adequada com as cadeias logísticas, cumprindo os seus r</w:t>
      </w:r>
      <w:r w:rsidR="000B49EE">
        <w:t xml:space="preserve">equisitos. Estes resultados </w:t>
      </w:r>
      <w:r w:rsidR="00843485">
        <w:t>vão ao encontro d</w:t>
      </w:r>
      <w:r w:rsidRPr="004D55DA">
        <w:t>a crescente importância</w:t>
      </w:r>
      <w:r w:rsidR="00843485">
        <w:t xml:space="preserve"> na literatura</w:t>
      </w:r>
      <w:r w:rsidRPr="004D55DA">
        <w:t xml:space="preserve"> das cadeias logísticas para os terminais</w:t>
      </w:r>
      <w:r w:rsidR="004E3448">
        <w:t xml:space="preserve"> </w:t>
      </w:r>
      <w:r w:rsidR="004E3448">
        <w:lastRenderedPageBreak/>
        <w:t>portuário</w:t>
      </w:r>
      <w:r w:rsidR="004C772D">
        <w:t>s</w:t>
      </w:r>
      <w:r w:rsidRPr="004D55DA">
        <w:t xml:space="preserve">, embora tal </w:t>
      </w:r>
      <w:r w:rsidR="00843485">
        <w:t>seja essencialmente</w:t>
      </w:r>
      <w:r w:rsidRPr="004D55DA">
        <w:t xml:space="preserve"> fundamental à satisfação do cliente</w:t>
      </w:r>
      <w:r w:rsidR="004C772D">
        <w:t>, mas não determinante da atividade do terminal.</w:t>
      </w:r>
    </w:p>
    <w:p w:rsidR="004E3448" w:rsidRDefault="004E3448" w:rsidP="007F7964">
      <w:pPr>
        <w:spacing w:line="360" w:lineRule="auto"/>
        <w:jc w:val="both"/>
      </w:pPr>
    </w:p>
    <w:p w:rsidR="00843485" w:rsidRDefault="00843485" w:rsidP="007F7964">
      <w:pPr>
        <w:spacing w:line="360" w:lineRule="auto"/>
        <w:jc w:val="both"/>
        <w:rPr>
          <w:b/>
        </w:rPr>
      </w:pPr>
      <w:r w:rsidRPr="00931B1B">
        <w:rPr>
          <w:b/>
        </w:rPr>
        <w:t>Limitações</w:t>
      </w:r>
    </w:p>
    <w:p w:rsidR="004E3448" w:rsidRPr="00931B1B" w:rsidRDefault="004E3448" w:rsidP="007F7964">
      <w:pPr>
        <w:spacing w:line="360" w:lineRule="auto"/>
        <w:jc w:val="both"/>
        <w:rPr>
          <w:b/>
        </w:rPr>
      </w:pPr>
    </w:p>
    <w:p w:rsidR="004134F4" w:rsidRDefault="004134F4" w:rsidP="004134F4">
      <w:pPr>
        <w:spacing w:line="360" w:lineRule="auto"/>
        <w:jc w:val="both"/>
      </w:pPr>
      <w:r>
        <w:t>Uma da</w:t>
      </w:r>
      <w:r w:rsidRPr="004D55DA">
        <w:t xml:space="preserve">s principais limitações do estudo </w:t>
      </w:r>
      <w:r>
        <w:t>é</w:t>
      </w:r>
      <w:r w:rsidRPr="004D55DA">
        <w:t xml:space="preserve"> a sua aplicação apenas ao caso europeu e ibérico, bem como a reduzida dimensão da amostra, em especial no caso dos países do resto da Europa</w:t>
      </w:r>
      <w:r>
        <w:t xml:space="preserve"> (além Península Ibérica)</w:t>
      </w:r>
      <w:r w:rsidRPr="004D55DA">
        <w:t xml:space="preserve"> e no que respeita ao reduzido número de dados quantitativos dos terminais de contentores</w:t>
      </w:r>
      <w:r w:rsidR="007F3F57">
        <w:t xml:space="preserve"> que foi possível obter</w:t>
      </w:r>
      <w:r w:rsidRPr="004D55DA">
        <w:t>.</w:t>
      </w:r>
      <w:r w:rsidR="00020B3D" w:rsidRPr="00020B3D">
        <w:t xml:space="preserve"> A metodologia SEM </w:t>
      </w:r>
      <w:r w:rsidR="00020B3D">
        <w:t>tem</w:t>
      </w:r>
      <w:r w:rsidR="00020B3D" w:rsidRPr="00020B3D">
        <w:t xml:space="preserve"> limitações identificadas por Nachtigall </w:t>
      </w:r>
      <w:r w:rsidR="00020B3D" w:rsidRPr="00020B3D">
        <w:rPr>
          <w:i/>
        </w:rPr>
        <w:t>et al</w:t>
      </w:r>
      <w:r w:rsidR="00020B3D" w:rsidRPr="00020B3D">
        <w:t>. (2003), em especial no que se refere à dimensão da amostra e às variáveis latentes exógenas de segundo nível em modelos reflexivos.</w:t>
      </w:r>
    </w:p>
    <w:p w:rsidR="004134F4" w:rsidRDefault="004134F4" w:rsidP="004134F4">
      <w:pPr>
        <w:spacing w:line="360" w:lineRule="auto"/>
        <w:jc w:val="both"/>
      </w:pPr>
    </w:p>
    <w:p w:rsidR="004134F4" w:rsidRPr="004D55DA" w:rsidRDefault="004134F4" w:rsidP="004134F4">
      <w:pPr>
        <w:spacing w:line="360" w:lineRule="auto"/>
        <w:jc w:val="both"/>
      </w:pPr>
      <w:r w:rsidRPr="004D55DA">
        <w:t xml:space="preserve">A dificuldade de recolha de dados sobre os </w:t>
      </w:r>
      <w:r w:rsidR="00136906" w:rsidRPr="004D55DA">
        <w:t>fatores</w:t>
      </w:r>
      <w:r w:rsidRPr="004D55DA">
        <w:t xml:space="preserve"> “soft-port” e o “soft-terminal” foi outra limitação, pois poderiam ter</w:t>
      </w:r>
      <w:r>
        <w:t xml:space="preserve"> sido</w:t>
      </w:r>
      <w:r w:rsidRPr="004D55DA">
        <w:t xml:space="preserve"> obtidos </w:t>
      </w:r>
      <w:r>
        <w:t>melhores</w:t>
      </w:r>
      <w:r w:rsidRPr="004D55DA">
        <w:t xml:space="preserve"> resultados se fossem realizados</w:t>
      </w:r>
      <w:r>
        <w:t>, por exemplo,</w:t>
      </w:r>
      <w:r w:rsidRPr="004D55DA">
        <w:t xml:space="preserve"> inquéritos</w:t>
      </w:r>
      <w:r w:rsidR="007F3F57">
        <w:t xml:space="preserve"> detalhados</w:t>
      </w:r>
      <w:r w:rsidRPr="004D55DA">
        <w:t xml:space="preserve"> ao perfil de gestão</w:t>
      </w:r>
      <w:r w:rsidR="004B0B1C">
        <w:t xml:space="preserve">, </w:t>
      </w:r>
      <w:r w:rsidR="004B0B1C" w:rsidRPr="004D55DA">
        <w:t xml:space="preserve">modelo de </w:t>
      </w:r>
      <w:r w:rsidR="004B0B1C">
        <w:t>organização</w:t>
      </w:r>
      <w:r w:rsidR="004B0B1C" w:rsidRPr="004D55DA">
        <w:t xml:space="preserve"> </w:t>
      </w:r>
      <w:r w:rsidR="004B0B1C">
        <w:t>e tipo de</w:t>
      </w:r>
      <w:r w:rsidR="004B0B1C" w:rsidRPr="004D55DA">
        <w:t xml:space="preserve"> integração logística do terminal</w:t>
      </w:r>
      <w:r w:rsidRPr="004D55DA">
        <w:t>, considerando elementos quantitativos e qualitativos</w:t>
      </w:r>
      <w:r w:rsidR="004B0B1C">
        <w:t>.</w:t>
      </w:r>
    </w:p>
    <w:p w:rsidR="004E3448" w:rsidRPr="004D55DA" w:rsidRDefault="004E3448" w:rsidP="007F7964">
      <w:pPr>
        <w:spacing w:line="360" w:lineRule="auto"/>
        <w:jc w:val="both"/>
      </w:pPr>
    </w:p>
    <w:p w:rsidR="00104A12" w:rsidRDefault="004134F4" w:rsidP="007F7964">
      <w:pPr>
        <w:spacing w:line="360" w:lineRule="auto"/>
        <w:jc w:val="both"/>
        <w:rPr>
          <w:b/>
        </w:rPr>
      </w:pPr>
      <w:r w:rsidRPr="004134F4">
        <w:rPr>
          <w:b/>
        </w:rPr>
        <w:t>Investigação futura</w:t>
      </w:r>
    </w:p>
    <w:p w:rsidR="004E3448" w:rsidRPr="004134F4" w:rsidRDefault="004E3448" w:rsidP="007F7964">
      <w:pPr>
        <w:spacing w:line="360" w:lineRule="auto"/>
        <w:jc w:val="both"/>
        <w:rPr>
          <w:b/>
        </w:rPr>
      </w:pPr>
    </w:p>
    <w:p w:rsidR="00020B3D" w:rsidRPr="004D55DA" w:rsidRDefault="000D7E20" w:rsidP="00020B3D">
      <w:pPr>
        <w:spacing w:line="360" w:lineRule="auto"/>
        <w:jc w:val="both"/>
      </w:pPr>
      <w:r w:rsidRPr="00020B3D">
        <w:t xml:space="preserve">A divergência </w:t>
      </w:r>
      <w:r>
        <w:t xml:space="preserve">encontrada </w:t>
      </w:r>
      <w:r w:rsidRPr="00020B3D">
        <w:t xml:space="preserve">entre a </w:t>
      </w:r>
      <w:r>
        <w:t>opinião dos especialistas sobre a relação causal</w:t>
      </w:r>
      <w:r w:rsidRPr="00020B3D">
        <w:t xml:space="preserve"> e a sua observação prática aponta para a necessidade da investigação sobre o desempenho portuário não incidir apenas </w:t>
      </w:r>
      <w:r>
        <w:t>na</w:t>
      </w:r>
      <w:r w:rsidRPr="00020B3D">
        <w:t xml:space="preserve"> opinião sobre as relações causais, devendo recorrer-se também a casos concretos de terminais e portos, utilizando os observadores mais adequados e medidas qualitativas e quantitativas.</w:t>
      </w:r>
      <w:r>
        <w:t xml:space="preserve"> </w:t>
      </w:r>
      <w:r w:rsidR="00104A12" w:rsidRPr="004D55DA">
        <w:t xml:space="preserve">Um trabalho </w:t>
      </w:r>
      <w:r w:rsidR="004C772D">
        <w:t>com interesse para o futuro será</w:t>
      </w:r>
      <w:r w:rsidR="00104A12" w:rsidRPr="004D55DA">
        <w:t xml:space="preserve"> a aplicação dos modelos a uma amostra maior de </w:t>
      </w:r>
      <w:r w:rsidR="00104A12" w:rsidRPr="00020B3D">
        <w:t xml:space="preserve">dados quantitativos e qualitativos de terminais europeus </w:t>
      </w:r>
      <w:r w:rsidR="00020B3D" w:rsidRPr="00020B3D">
        <w:t xml:space="preserve">ou mesmo de outros continentes. </w:t>
      </w:r>
    </w:p>
    <w:p w:rsidR="00D021B8" w:rsidRDefault="00D021B8" w:rsidP="007F7964">
      <w:pPr>
        <w:spacing w:line="360" w:lineRule="auto"/>
        <w:jc w:val="both"/>
      </w:pPr>
    </w:p>
    <w:p w:rsidR="00D021B8" w:rsidRDefault="00104A12" w:rsidP="007F7964">
      <w:pPr>
        <w:spacing w:line="360" w:lineRule="auto"/>
        <w:jc w:val="both"/>
      </w:pPr>
      <w:r w:rsidRPr="004D55DA">
        <w:t xml:space="preserve">Poderia ainda ser realizado um estudo com maior profundidade sobre os modelos de gestão do terminal, detalhando </w:t>
      </w:r>
      <w:r w:rsidR="00020B3D">
        <w:t>o tipo de</w:t>
      </w:r>
      <w:r w:rsidRPr="004D55DA">
        <w:t xml:space="preserve"> int</w:t>
      </w:r>
      <w:r w:rsidR="00020B3D">
        <w:t xml:space="preserve">egração nas cadeias logísticas, </w:t>
      </w:r>
      <w:r w:rsidRPr="004D55DA">
        <w:t>com influência na satisfação dos clientes e no desempenho.</w:t>
      </w:r>
      <w:r w:rsidR="00020B3D">
        <w:t xml:space="preserve"> </w:t>
      </w:r>
      <w:r w:rsidR="00D021B8">
        <w:t>A investigação sobre a satisfação do cliente e sobre a eficácia dos portos e dos terminais de contentores é uma área nova no setor que merecerá aprofundamento</w:t>
      </w:r>
      <w:r w:rsidR="004C772D" w:rsidRPr="004C772D">
        <w:t xml:space="preserve"> </w:t>
      </w:r>
      <w:r w:rsidR="004C772D">
        <w:t>no futuro</w:t>
      </w:r>
      <w:r w:rsidR="00D021B8">
        <w:t>.</w:t>
      </w:r>
    </w:p>
    <w:p w:rsidR="008A3E93" w:rsidRDefault="008A3E93" w:rsidP="007F7964">
      <w:pPr>
        <w:spacing w:line="360" w:lineRule="auto"/>
        <w:jc w:val="both"/>
      </w:pPr>
    </w:p>
    <w:p w:rsidR="00104A12" w:rsidRPr="004D55DA" w:rsidRDefault="00104A12" w:rsidP="007F7964">
      <w:pPr>
        <w:spacing w:line="360" w:lineRule="auto"/>
        <w:jc w:val="both"/>
      </w:pPr>
      <w:r w:rsidRPr="004D55DA">
        <w:br w:type="page"/>
      </w:r>
    </w:p>
    <w:p w:rsidR="00104A12" w:rsidRPr="004D55DA" w:rsidRDefault="008D4266" w:rsidP="007F7964">
      <w:pPr>
        <w:pStyle w:val="Cabealho1"/>
        <w:rPr>
          <w:rFonts w:ascii="Times New Roman" w:hAnsi="Times New Roman"/>
          <w:sz w:val="24"/>
          <w:lang w:val="en-US"/>
        </w:rPr>
      </w:pPr>
      <w:bookmarkStart w:id="217" w:name="_Toc395730168"/>
      <w:r>
        <w:rPr>
          <w:rFonts w:ascii="Times New Roman" w:hAnsi="Times New Roman"/>
          <w:sz w:val="24"/>
          <w:lang w:val="en-US"/>
        </w:rPr>
        <w:lastRenderedPageBreak/>
        <w:t>Bibliografia</w:t>
      </w:r>
      <w:bookmarkEnd w:id="217"/>
    </w:p>
    <w:p w:rsidR="00104A12" w:rsidRPr="004D55DA" w:rsidRDefault="00104A12" w:rsidP="007F7964">
      <w:pPr>
        <w:spacing w:before="100"/>
        <w:jc w:val="both"/>
        <w:rPr>
          <w:lang w:val="en-US"/>
        </w:rPr>
      </w:pPr>
    </w:p>
    <w:p w:rsidR="00104A12" w:rsidRPr="004D55DA" w:rsidRDefault="00104A12" w:rsidP="007F7964">
      <w:pPr>
        <w:spacing w:before="100"/>
        <w:jc w:val="both"/>
        <w:rPr>
          <w:lang w:val="en-US"/>
        </w:rPr>
      </w:pPr>
    </w:p>
    <w:p w:rsidR="00104A12" w:rsidRPr="004D55DA" w:rsidRDefault="00104A12" w:rsidP="007F7964">
      <w:pPr>
        <w:spacing w:before="100"/>
        <w:jc w:val="both"/>
        <w:rPr>
          <w:lang w:val="en-US"/>
        </w:rPr>
      </w:pPr>
      <w:r w:rsidRPr="004D55DA">
        <w:rPr>
          <w:lang w:val="en-US"/>
        </w:rPr>
        <w:t xml:space="preserve">Acochrane, R. (2008). The effects of market differences on the throughput of large container with similar levels of efficiency terminals. </w:t>
      </w:r>
      <w:r w:rsidRPr="004D55DA">
        <w:rPr>
          <w:i/>
          <w:lang w:val="en-US"/>
        </w:rPr>
        <w:t>Maritime Economics and Logistics</w:t>
      </w:r>
      <w:r w:rsidRPr="004D55DA">
        <w:rPr>
          <w:lang w:val="en-US"/>
        </w:rPr>
        <w:t>, 10, 35–52.</w:t>
      </w:r>
    </w:p>
    <w:p w:rsidR="00104A12" w:rsidRPr="004D55DA" w:rsidRDefault="00104A12" w:rsidP="007F7964">
      <w:pPr>
        <w:spacing w:before="100"/>
        <w:jc w:val="both"/>
      </w:pPr>
      <w:bookmarkStart w:id="218" w:name="idbib1"/>
      <w:r w:rsidRPr="004D55DA">
        <w:rPr>
          <w:lang w:val="en-US"/>
        </w:rPr>
        <w:t xml:space="preserve">Ahn, T., Charnes, A. and Cooper, W. W. (1988). Some statistical and DEA evaluations or relative efficiencies of public and private institutions of higher learning. </w:t>
      </w:r>
      <w:r w:rsidRPr="004D55DA">
        <w:rPr>
          <w:i/>
        </w:rPr>
        <w:t>Socio-Economic Planning Sciences</w:t>
      </w:r>
      <w:r w:rsidRPr="004D55DA">
        <w:t>, 22, 259 – 269</w:t>
      </w:r>
      <w:bookmarkEnd w:id="218"/>
      <w:r w:rsidRPr="004D55DA">
        <w:t>.</w:t>
      </w:r>
    </w:p>
    <w:p w:rsidR="00104A12" w:rsidRPr="004D55DA" w:rsidRDefault="00104A12" w:rsidP="007F7964">
      <w:pPr>
        <w:spacing w:before="100"/>
        <w:jc w:val="both"/>
        <w:rPr>
          <w:lang w:val="en-US"/>
        </w:rPr>
      </w:pPr>
      <w:r w:rsidRPr="004D55DA">
        <w:t xml:space="preserve">Alix, Y. (2012). </w:t>
      </w:r>
      <w:r w:rsidR="00832C64" w:rsidRPr="004D55DA">
        <w:rPr>
          <w:i/>
        </w:rPr>
        <w:t>A</w:t>
      </w:r>
      <w:r w:rsidRPr="004D55DA">
        <w:rPr>
          <w:i/>
        </w:rPr>
        <w:t>presentação sobre o transporte marítimo</w:t>
      </w:r>
      <w:r w:rsidR="00832C64" w:rsidRPr="004D55DA">
        <w:t>.</w:t>
      </w:r>
      <w:r w:rsidRPr="004D55DA">
        <w:t xml:space="preserve"> </w:t>
      </w:r>
      <w:r w:rsidRPr="004D55DA">
        <w:rPr>
          <w:lang w:val="en-US"/>
        </w:rPr>
        <w:t>Cascais, Conferência Logistel.</w:t>
      </w:r>
    </w:p>
    <w:p w:rsidR="00104A12" w:rsidRPr="004D55DA" w:rsidRDefault="00104A12" w:rsidP="007F7964">
      <w:pPr>
        <w:spacing w:before="100"/>
        <w:jc w:val="both"/>
        <w:rPr>
          <w:lang w:val="en-US"/>
        </w:rPr>
      </w:pPr>
      <w:r w:rsidRPr="004D55DA">
        <w:rPr>
          <w:lang w:val="en-US"/>
        </w:rPr>
        <w:t xml:space="preserve">Anderson, J. C, and Gerbing, D. W., and Hunter, J. E. (1987). On the assessment of unidimensional measurement: Internal and external consistency, and overall consistency criteria. </w:t>
      </w:r>
      <w:r w:rsidRPr="004D55DA">
        <w:rPr>
          <w:i/>
          <w:lang w:val="en-US"/>
        </w:rPr>
        <w:t>Journal of Marketing Research</w:t>
      </w:r>
      <w:r w:rsidRPr="004D55DA">
        <w:rPr>
          <w:lang w:val="en-US"/>
        </w:rPr>
        <w:t>, 24, 432-437.</w:t>
      </w:r>
    </w:p>
    <w:p w:rsidR="00104A12" w:rsidRPr="004D55DA" w:rsidRDefault="00104A12" w:rsidP="007F7964">
      <w:pPr>
        <w:spacing w:before="100"/>
        <w:jc w:val="both"/>
      </w:pPr>
      <w:r w:rsidRPr="004D55DA">
        <w:rPr>
          <w:lang w:val="en-US"/>
        </w:rPr>
        <w:t xml:space="preserve">Arbuckle, J. L. (2007). </w:t>
      </w:r>
      <w:r w:rsidRPr="004D55DA">
        <w:rPr>
          <w:i/>
          <w:lang w:val="en-US"/>
        </w:rPr>
        <w:t>Amos™ 16.0 user’s guide</w:t>
      </w:r>
      <w:r w:rsidRPr="004D55DA">
        <w:rPr>
          <w:lang w:val="en-US"/>
        </w:rPr>
        <w:t xml:space="preserve">. </w:t>
      </w:r>
      <w:r w:rsidRPr="004D55DA">
        <w:t xml:space="preserve">SPSS. </w:t>
      </w:r>
    </w:p>
    <w:p w:rsidR="00104A12" w:rsidRPr="004D55DA" w:rsidRDefault="00104A12" w:rsidP="007F7964">
      <w:pPr>
        <w:spacing w:before="100"/>
        <w:jc w:val="both"/>
      </w:pPr>
      <w:r w:rsidRPr="004D55DA">
        <w:t xml:space="preserve">Badin, N.T. (1997). </w:t>
      </w:r>
      <w:r w:rsidRPr="004D55DA">
        <w:rPr>
          <w:i/>
        </w:rPr>
        <w:t>Avaliação da produtividade de supermercados e seu benchmarking</w:t>
      </w:r>
      <w:r w:rsidRPr="004D55DA">
        <w:t>. Dissertação aprovada como requisito parcial para obtenção do grau de Mestre no Curso de Pós-graduação em Engenharia de Produção, Universidade Federal de Santa Catarina.</w:t>
      </w:r>
    </w:p>
    <w:p w:rsidR="00104A12" w:rsidRPr="004D55DA" w:rsidRDefault="00104A12" w:rsidP="007F7964">
      <w:pPr>
        <w:spacing w:before="100"/>
        <w:jc w:val="both"/>
        <w:rPr>
          <w:lang w:val="en-US"/>
        </w:rPr>
      </w:pPr>
      <w:r w:rsidRPr="004D55DA">
        <w:rPr>
          <w:lang w:val="en-US"/>
        </w:rPr>
        <w:t xml:space="preserve">Baird, A. J. (2002). Privatisation trends at the world’s top-100 container ports. Maritime </w:t>
      </w:r>
      <w:r w:rsidRPr="004D55DA">
        <w:rPr>
          <w:i/>
          <w:lang w:val="en-US"/>
        </w:rPr>
        <w:t>Policy and Management</w:t>
      </w:r>
      <w:r w:rsidRPr="004D55DA">
        <w:rPr>
          <w:lang w:val="en-US"/>
        </w:rPr>
        <w:t>, 29(3), 271-284.</w:t>
      </w:r>
    </w:p>
    <w:p w:rsidR="00104A12" w:rsidRPr="004D55DA" w:rsidRDefault="00104A12" w:rsidP="007F7964">
      <w:pPr>
        <w:spacing w:before="100"/>
        <w:jc w:val="both"/>
        <w:rPr>
          <w:lang w:val="en-US"/>
        </w:rPr>
      </w:pPr>
      <w:r w:rsidRPr="004D55DA">
        <w:rPr>
          <w:lang w:val="en-US"/>
        </w:rPr>
        <w:t xml:space="preserve">Baird, A., (2006). Optimising the container “transhipment” “hub” location in northern Europe. </w:t>
      </w:r>
      <w:r w:rsidRPr="004D55DA">
        <w:rPr>
          <w:i/>
          <w:lang w:val="en-US"/>
        </w:rPr>
        <w:t>Journal of Transport Geography,</w:t>
      </w:r>
      <w:r w:rsidRPr="004D55DA">
        <w:rPr>
          <w:lang w:val="en-US"/>
        </w:rPr>
        <w:t xml:space="preserve"> 14(3), 195-214.</w:t>
      </w:r>
    </w:p>
    <w:p w:rsidR="00104A12" w:rsidRPr="004D55DA" w:rsidRDefault="00104A12" w:rsidP="007F7964">
      <w:pPr>
        <w:spacing w:before="100"/>
        <w:jc w:val="both"/>
        <w:rPr>
          <w:lang w:val="en-US"/>
        </w:rPr>
      </w:pPr>
      <w:r w:rsidRPr="004D55DA">
        <w:rPr>
          <w:lang w:val="en-US"/>
        </w:rPr>
        <w:t xml:space="preserve">Banker, R. D., Charnes, A. and Cooper, W. (1984). Models for estimation of technical and scale inefficiencies in data envelopment analysis. </w:t>
      </w:r>
      <w:r w:rsidRPr="004D55DA">
        <w:rPr>
          <w:i/>
          <w:lang w:val="en-US"/>
        </w:rPr>
        <w:t>Management Science,</w:t>
      </w:r>
      <w:r w:rsidRPr="004D55DA">
        <w:rPr>
          <w:lang w:val="en-US"/>
        </w:rPr>
        <w:t xml:space="preserve"> 30, 1078-1092.</w:t>
      </w:r>
    </w:p>
    <w:p w:rsidR="00104A12" w:rsidRPr="004D55DA" w:rsidRDefault="00104A12" w:rsidP="007F7964">
      <w:pPr>
        <w:spacing w:before="100"/>
        <w:jc w:val="both"/>
        <w:rPr>
          <w:lang w:val="en-US"/>
        </w:rPr>
      </w:pPr>
      <w:r w:rsidRPr="004D55DA">
        <w:rPr>
          <w:lang w:val="en-US"/>
        </w:rPr>
        <w:t xml:space="preserve">Barros, C. P. (2003). Incentive regulation and efficiency of </w:t>
      </w:r>
      <w:r w:rsidR="00A356B2" w:rsidRPr="004D55DA">
        <w:rPr>
          <w:lang w:val="en-US"/>
        </w:rPr>
        <w:t>P</w:t>
      </w:r>
      <w:r w:rsidRPr="004D55DA">
        <w:rPr>
          <w:lang w:val="en-US"/>
        </w:rPr>
        <w:t xml:space="preserve">ortuguese port authorities. </w:t>
      </w:r>
      <w:r w:rsidRPr="004D55DA">
        <w:rPr>
          <w:i/>
          <w:lang w:val="en-US"/>
        </w:rPr>
        <w:t>Maritime Economics and Logistics</w:t>
      </w:r>
      <w:r w:rsidRPr="004D55DA">
        <w:rPr>
          <w:lang w:val="en-US"/>
        </w:rPr>
        <w:t>, 5, 55–69.</w:t>
      </w:r>
    </w:p>
    <w:p w:rsidR="00104A12" w:rsidRPr="004D55DA" w:rsidRDefault="00104A12" w:rsidP="007F7964">
      <w:pPr>
        <w:spacing w:before="100"/>
        <w:jc w:val="both"/>
        <w:rPr>
          <w:lang w:val="en-US"/>
        </w:rPr>
      </w:pPr>
      <w:r w:rsidRPr="004D55DA">
        <w:rPr>
          <w:lang w:val="en-US"/>
        </w:rPr>
        <w:t xml:space="preserve">Barros, C. P. (2006). A benchmark analysis of </w:t>
      </w:r>
      <w:r w:rsidR="00A356B2" w:rsidRPr="004D55DA">
        <w:rPr>
          <w:lang w:val="en-US"/>
        </w:rPr>
        <w:t>I</w:t>
      </w:r>
      <w:r w:rsidRPr="004D55DA">
        <w:rPr>
          <w:lang w:val="en-US"/>
        </w:rPr>
        <w:t xml:space="preserve">talian seaports using data envelopment analysis. </w:t>
      </w:r>
      <w:r w:rsidRPr="004D55DA">
        <w:rPr>
          <w:i/>
          <w:lang w:val="en-US"/>
        </w:rPr>
        <w:t>Maritime Economics and Logistics</w:t>
      </w:r>
      <w:r w:rsidRPr="004D55DA">
        <w:rPr>
          <w:lang w:val="en-US"/>
        </w:rPr>
        <w:t>, 8, 347–365.</w:t>
      </w:r>
    </w:p>
    <w:p w:rsidR="00104A12" w:rsidRPr="004D55DA" w:rsidRDefault="00104A12" w:rsidP="007F7964">
      <w:pPr>
        <w:spacing w:before="100"/>
        <w:jc w:val="both"/>
        <w:rPr>
          <w:lang w:val="en-US"/>
        </w:rPr>
      </w:pPr>
      <w:r w:rsidRPr="004D55DA">
        <w:rPr>
          <w:lang w:val="en-US"/>
        </w:rPr>
        <w:t xml:space="preserve">Barros, C. P. and Athanassiou, M. (2004). Efficiency in </w:t>
      </w:r>
      <w:r w:rsidR="00A356B2" w:rsidRPr="004D55DA">
        <w:rPr>
          <w:lang w:val="en-US"/>
        </w:rPr>
        <w:t>E</w:t>
      </w:r>
      <w:r w:rsidRPr="004D55DA">
        <w:rPr>
          <w:lang w:val="en-US"/>
        </w:rPr>
        <w:t xml:space="preserve">uropean seaports with DEA: evidence from Greece and Portugal. </w:t>
      </w:r>
      <w:r w:rsidRPr="004D55DA">
        <w:rPr>
          <w:i/>
          <w:lang w:val="en-US"/>
        </w:rPr>
        <w:t>Maritime Economics and Logistics</w:t>
      </w:r>
      <w:r w:rsidRPr="004D55DA">
        <w:rPr>
          <w:lang w:val="en-US"/>
        </w:rPr>
        <w:t>, 6, 122–140.</w:t>
      </w:r>
    </w:p>
    <w:p w:rsidR="00104A12" w:rsidRPr="004D55DA" w:rsidRDefault="00104A12" w:rsidP="007F7964">
      <w:pPr>
        <w:spacing w:before="100"/>
        <w:jc w:val="both"/>
        <w:rPr>
          <w:lang w:val="en-US"/>
        </w:rPr>
      </w:pPr>
      <w:r w:rsidRPr="004D55DA">
        <w:rPr>
          <w:lang w:val="en-US"/>
        </w:rPr>
        <w:t xml:space="preserve">Barros, C. P. and Peypoch, N. (2007). Comparing productivity change in </w:t>
      </w:r>
      <w:r w:rsidR="00A356B2" w:rsidRPr="004D55DA">
        <w:rPr>
          <w:lang w:val="en-US"/>
        </w:rPr>
        <w:t>I</w:t>
      </w:r>
      <w:r w:rsidRPr="004D55DA">
        <w:rPr>
          <w:lang w:val="en-US"/>
        </w:rPr>
        <w:t xml:space="preserve">talian and </w:t>
      </w:r>
      <w:r w:rsidR="00A356B2" w:rsidRPr="004D55DA">
        <w:rPr>
          <w:lang w:val="en-US"/>
        </w:rPr>
        <w:t>P</w:t>
      </w:r>
      <w:r w:rsidRPr="004D55DA">
        <w:rPr>
          <w:lang w:val="en-US"/>
        </w:rPr>
        <w:t xml:space="preserve">ortuguese seaports using the luenberger indicator approach. </w:t>
      </w:r>
      <w:r w:rsidRPr="004D55DA">
        <w:rPr>
          <w:i/>
          <w:lang w:val="en-US"/>
        </w:rPr>
        <w:t>Maritime Economics and Logistics</w:t>
      </w:r>
      <w:r w:rsidRPr="004D55DA">
        <w:rPr>
          <w:lang w:val="en-US"/>
        </w:rPr>
        <w:t>, 9, 138–147.</w:t>
      </w:r>
    </w:p>
    <w:p w:rsidR="00104A12" w:rsidRPr="004D55DA" w:rsidRDefault="00104A12" w:rsidP="007F7964">
      <w:pPr>
        <w:spacing w:before="100"/>
        <w:jc w:val="both"/>
        <w:rPr>
          <w:lang w:val="en-US"/>
        </w:rPr>
      </w:pPr>
      <w:r w:rsidRPr="004D55DA">
        <w:rPr>
          <w:lang w:val="en-US"/>
        </w:rPr>
        <w:t xml:space="preserve">Bichou, K. (2007). </w:t>
      </w:r>
      <w:r w:rsidRPr="004D55DA">
        <w:rPr>
          <w:i/>
          <w:lang w:val="en-US"/>
        </w:rPr>
        <w:t>Review of port performance approaches and a supply chain framework to port performance benchmarking</w:t>
      </w:r>
      <w:r w:rsidRPr="004D55DA">
        <w:rPr>
          <w:lang w:val="en-US"/>
        </w:rPr>
        <w:t>. In: M. R. Brooks &amp; K. Cullinane (Eds</w:t>
      </w:r>
      <w:r w:rsidR="00A356B2" w:rsidRPr="004D55DA">
        <w:rPr>
          <w:lang w:val="en-US"/>
        </w:rPr>
        <w:t>.</w:t>
      </w:r>
      <w:r w:rsidRPr="004D55DA">
        <w:rPr>
          <w:lang w:val="en-US"/>
        </w:rPr>
        <w:t>), Devolution, port governance and port performance, research in transport economics, 17, 567–598. London: Elsevier.</w:t>
      </w:r>
    </w:p>
    <w:p w:rsidR="00104A12" w:rsidRPr="004D55DA" w:rsidRDefault="00104A12" w:rsidP="007F7964">
      <w:pPr>
        <w:spacing w:before="100"/>
        <w:jc w:val="both"/>
        <w:rPr>
          <w:lang w:val="en-US"/>
        </w:rPr>
      </w:pPr>
      <w:r w:rsidRPr="004D55DA">
        <w:rPr>
          <w:lang w:val="en-US"/>
        </w:rPr>
        <w:t xml:space="preserve">Bichou, K. and Gray, R. (2005). A critical review of conventional terminology for classifying seaports. </w:t>
      </w:r>
      <w:r w:rsidRPr="004D55DA">
        <w:rPr>
          <w:i/>
          <w:lang w:val="en-US"/>
        </w:rPr>
        <w:t>Transportation Research Part A</w:t>
      </w:r>
      <w:r w:rsidRPr="004D55DA">
        <w:rPr>
          <w:lang w:val="en-US"/>
        </w:rPr>
        <w:t>, 39(1), 75–92.</w:t>
      </w:r>
    </w:p>
    <w:p w:rsidR="00104A12" w:rsidRPr="004D55DA" w:rsidRDefault="00104A12" w:rsidP="007F7964">
      <w:pPr>
        <w:spacing w:before="100"/>
        <w:jc w:val="both"/>
        <w:rPr>
          <w:lang w:val="en-US"/>
        </w:rPr>
      </w:pPr>
      <w:r w:rsidRPr="004D55DA">
        <w:rPr>
          <w:lang w:val="en-US"/>
        </w:rPr>
        <w:t>Bird, J. (1963)</w:t>
      </w:r>
      <w:r w:rsidR="00832C64" w:rsidRPr="004D55DA">
        <w:rPr>
          <w:lang w:val="en-US"/>
        </w:rPr>
        <w:t>.</w:t>
      </w:r>
      <w:r w:rsidRPr="004D55DA">
        <w:rPr>
          <w:lang w:val="en-US"/>
        </w:rPr>
        <w:t xml:space="preserve"> </w:t>
      </w:r>
      <w:r w:rsidRPr="004D55DA">
        <w:rPr>
          <w:i/>
          <w:lang w:val="en-US"/>
        </w:rPr>
        <w:t>The Major Seaports of the United Kingdom. Seaports and Seaport Terminals</w:t>
      </w:r>
      <w:r w:rsidR="00832C64" w:rsidRPr="004D55DA">
        <w:rPr>
          <w:lang w:val="en-US"/>
        </w:rPr>
        <w:t>.</w:t>
      </w:r>
      <w:r w:rsidRPr="004D55DA">
        <w:rPr>
          <w:lang w:val="en-US"/>
        </w:rPr>
        <w:t xml:space="preserve"> London: Hutchinson, 240.</w:t>
      </w:r>
    </w:p>
    <w:p w:rsidR="00104A12" w:rsidRPr="004D55DA" w:rsidRDefault="00104A12" w:rsidP="007F7964">
      <w:pPr>
        <w:spacing w:before="100"/>
        <w:jc w:val="both"/>
        <w:rPr>
          <w:lang w:val="en-US"/>
        </w:rPr>
      </w:pPr>
      <w:r w:rsidRPr="004D55DA">
        <w:rPr>
          <w:lang w:val="en-US"/>
        </w:rPr>
        <w:t xml:space="preserve">Blonigen, B. A. and Wilson, W. W. (2008). </w:t>
      </w:r>
      <w:hyperlink r:id="rId72" w:history="1">
        <w:r w:rsidRPr="004D55DA">
          <w:rPr>
            <w:lang w:val="en-US"/>
          </w:rPr>
          <w:t>Port efficiency and trade flows</w:t>
        </w:r>
      </w:hyperlink>
      <w:r w:rsidRPr="004D55DA">
        <w:rPr>
          <w:lang w:val="en-US"/>
        </w:rPr>
        <w:t xml:space="preserve">. </w:t>
      </w:r>
      <w:r w:rsidRPr="004D55DA">
        <w:rPr>
          <w:i/>
          <w:lang w:val="en-US"/>
        </w:rPr>
        <w:t>Review of International Economics</w:t>
      </w:r>
      <w:r w:rsidRPr="004D55DA">
        <w:rPr>
          <w:lang w:val="en-US"/>
        </w:rPr>
        <w:t>, 16 (1), 21-36.</w:t>
      </w:r>
    </w:p>
    <w:p w:rsidR="00104A12" w:rsidRDefault="00104A12" w:rsidP="007F7964">
      <w:pPr>
        <w:autoSpaceDE w:val="0"/>
        <w:autoSpaceDN w:val="0"/>
        <w:adjustRightInd w:val="0"/>
        <w:rPr>
          <w:lang w:val="en-GB"/>
        </w:rPr>
      </w:pPr>
      <w:r w:rsidRPr="004D55DA">
        <w:rPr>
          <w:lang w:val="en-GB"/>
        </w:rPr>
        <w:t xml:space="preserve">Bollen, K.A. (1989). </w:t>
      </w:r>
      <w:r w:rsidRPr="004D55DA">
        <w:rPr>
          <w:i/>
          <w:lang w:val="en-GB"/>
        </w:rPr>
        <w:t>Structural equations with latent variables</w:t>
      </w:r>
      <w:r w:rsidRPr="004D55DA">
        <w:rPr>
          <w:lang w:val="en-GB"/>
        </w:rPr>
        <w:t>. New York: John Wiley &amp; Sons, Inc.</w:t>
      </w:r>
    </w:p>
    <w:p w:rsidR="001212CE" w:rsidRPr="004D55DA" w:rsidRDefault="001212CE" w:rsidP="007F7964">
      <w:pPr>
        <w:autoSpaceDE w:val="0"/>
        <w:autoSpaceDN w:val="0"/>
        <w:adjustRightInd w:val="0"/>
        <w:rPr>
          <w:lang w:val="en-GB"/>
        </w:rPr>
      </w:pPr>
      <w:r>
        <w:rPr>
          <w:lang w:val="en-GB"/>
        </w:rPr>
        <w:lastRenderedPageBreak/>
        <w:t xml:space="preserve">Brooks, M. and Pallis, T. (2013). Considering the perspectives of port users. </w:t>
      </w:r>
      <w:r w:rsidRPr="001212CE">
        <w:rPr>
          <w:i/>
          <w:lang w:val="en-GB"/>
        </w:rPr>
        <w:t>Port Technology International</w:t>
      </w:r>
      <w:r>
        <w:rPr>
          <w:i/>
          <w:lang w:val="en-GB"/>
        </w:rPr>
        <w:t>,</w:t>
      </w:r>
      <w:r w:rsidRPr="001212CE">
        <w:rPr>
          <w:i/>
          <w:lang w:val="en-GB"/>
        </w:rPr>
        <w:t xml:space="preserve"> </w:t>
      </w:r>
      <w:r w:rsidRPr="001212CE">
        <w:rPr>
          <w:lang w:val="en-GB"/>
        </w:rPr>
        <w:t>60, 27-28.</w:t>
      </w:r>
    </w:p>
    <w:p w:rsidR="00104A12" w:rsidRPr="004D55DA" w:rsidRDefault="00104A12" w:rsidP="007F7964">
      <w:pPr>
        <w:spacing w:before="100"/>
        <w:jc w:val="both"/>
        <w:rPr>
          <w:lang w:val="en-US"/>
        </w:rPr>
      </w:pPr>
      <w:r w:rsidRPr="004D55DA">
        <w:rPr>
          <w:lang w:val="en-US"/>
        </w:rPr>
        <w:t xml:space="preserve">Bruce, A. B. and Wesley, W. W. (2008). Port Efficiency and Trade Flows. </w:t>
      </w:r>
      <w:r w:rsidRPr="004D55DA">
        <w:rPr>
          <w:i/>
          <w:lang w:val="en-US"/>
        </w:rPr>
        <w:t>Review of International Economics</w:t>
      </w:r>
      <w:r w:rsidRPr="004D55DA">
        <w:rPr>
          <w:lang w:val="en-US"/>
        </w:rPr>
        <w:t>, 16(1), 21–36.</w:t>
      </w:r>
    </w:p>
    <w:p w:rsidR="00104A12" w:rsidRPr="004D55DA" w:rsidRDefault="00104A12" w:rsidP="007F7964">
      <w:pPr>
        <w:spacing w:before="100"/>
        <w:jc w:val="both"/>
        <w:rPr>
          <w:lang w:val="en-US"/>
        </w:rPr>
      </w:pPr>
      <w:r w:rsidRPr="004D55DA">
        <w:rPr>
          <w:lang w:val="en-US"/>
        </w:rPr>
        <w:t xml:space="preserve">Cachon, G. and Fisher, M. (2000). Supply chain inventory management and the value of shared information. </w:t>
      </w:r>
      <w:r w:rsidRPr="004D55DA">
        <w:rPr>
          <w:i/>
          <w:lang w:val="en-US"/>
        </w:rPr>
        <w:t>Management Science,</w:t>
      </w:r>
      <w:r w:rsidRPr="004D55DA">
        <w:rPr>
          <w:lang w:val="en-US"/>
        </w:rPr>
        <w:t xml:space="preserve"> 46(8), 1032-1048.</w:t>
      </w:r>
    </w:p>
    <w:p w:rsidR="00104A12" w:rsidRPr="004D55DA" w:rsidRDefault="00104A12" w:rsidP="007F7964">
      <w:pPr>
        <w:spacing w:before="100"/>
        <w:jc w:val="both"/>
      </w:pPr>
      <w:r w:rsidRPr="004D55DA">
        <w:rPr>
          <w:lang w:val="en-US"/>
        </w:rPr>
        <w:t xml:space="preserve">Cahoon, S. (2007). Marketing communications for seaports: </w:t>
      </w:r>
      <w:r w:rsidR="00832C64" w:rsidRPr="004D55DA">
        <w:rPr>
          <w:lang w:val="en-US"/>
        </w:rPr>
        <w:t>A</w:t>
      </w:r>
      <w:r w:rsidRPr="004D55DA">
        <w:rPr>
          <w:lang w:val="en-US"/>
        </w:rPr>
        <w:t xml:space="preserve"> matter of survival and growth. </w:t>
      </w:r>
      <w:r w:rsidRPr="004D55DA">
        <w:rPr>
          <w:i/>
        </w:rPr>
        <w:t>Maritime Policy and Management</w:t>
      </w:r>
      <w:r w:rsidRPr="004D55DA">
        <w:t>, 34(2), 151-168.</w:t>
      </w:r>
    </w:p>
    <w:p w:rsidR="00104A12" w:rsidRPr="004D55DA" w:rsidRDefault="00104A12" w:rsidP="007F7964">
      <w:pPr>
        <w:spacing w:before="100"/>
        <w:jc w:val="both"/>
      </w:pPr>
      <w:r w:rsidRPr="004D55DA">
        <w:t>Caldeirinha, V. (</w:t>
      </w:r>
      <w:r w:rsidRPr="00931B1B">
        <w:t>200</w:t>
      </w:r>
      <w:r w:rsidR="00931B1B" w:rsidRPr="00931B1B">
        <w:t>8</w:t>
      </w:r>
      <w:r w:rsidRPr="00931B1B">
        <w:t>). Eficiência e competitividade dos portos</w:t>
      </w:r>
      <w:r w:rsidR="00832C64" w:rsidRPr="004D55DA">
        <w:t>.</w:t>
      </w:r>
      <w:r w:rsidRPr="004D55DA">
        <w:t xml:space="preserve"> </w:t>
      </w:r>
      <w:r w:rsidR="00931B1B">
        <w:t xml:space="preserve">In “O sector marítimo português”, 11as Jornadas de engenharia naval, </w:t>
      </w:r>
      <w:r w:rsidRPr="004D55DA">
        <w:t>Instituto Superior Técnico, Lisboa</w:t>
      </w:r>
      <w:r w:rsidR="00931B1B">
        <w:t>, 323-336</w:t>
      </w:r>
      <w:r w:rsidRPr="004D55DA">
        <w:t>.</w:t>
      </w:r>
    </w:p>
    <w:p w:rsidR="00104A12" w:rsidRPr="004D55DA" w:rsidRDefault="00104A12" w:rsidP="007F7964">
      <w:pPr>
        <w:spacing w:before="100"/>
        <w:jc w:val="both"/>
        <w:rPr>
          <w:lang w:val="en-US"/>
        </w:rPr>
      </w:pPr>
      <w:r w:rsidRPr="004D55DA">
        <w:t xml:space="preserve">Caldeirinha, V. R. and Felício, J. A. (2013). </w:t>
      </w:r>
      <w:r w:rsidRPr="004D55DA">
        <w:rPr>
          <w:lang w:val="en-US"/>
        </w:rPr>
        <w:t xml:space="preserve">The relationship between ‘position-port’, ‘hard-port’ and ‘soft-port’ characteristics and port performance: conceptual models. </w:t>
      </w:r>
      <w:r w:rsidRPr="004D55DA">
        <w:rPr>
          <w:i/>
          <w:lang w:val="en-US"/>
        </w:rPr>
        <w:t>Maritime Policy &amp; Management</w:t>
      </w:r>
      <w:r w:rsidRPr="004D55DA">
        <w:rPr>
          <w:lang w:val="en-US"/>
        </w:rPr>
        <w:t>, DOI:10.1080/03088839.2013.780666.</w:t>
      </w:r>
    </w:p>
    <w:p w:rsidR="00104A12" w:rsidRPr="004D55DA" w:rsidRDefault="00104A12" w:rsidP="007F7964">
      <w:pPr>
        <w:spacing w:before="100"/>
        <w:jc w:val="both"/>
        <w:rPr>
          <w:lang w:val="en-US"/>
        </w:rPr>
      </w:pPr>
      <w:r w:rsidRPr="004D55DA">
        <w:rPr>
          <w:lang w:val="en-US"/>
        </w:rPr>
        <w:t xml:space="preserve">Carbone, V. and De Martino, M. (2003). The changing role of ports in supply chain management: An impirtical analysis. </w:t>
      </w:r>
      <w:r w:rsidRPr="004D55DA">
        <w:rPr>
          <w:i/>
          <w:lang w:val="en-US"/>
        </w:rPr>
        <w:t>Maritime Policy Management</w:t>
      </w:r>
      <w:r w:rsidRPr="004D55DA">
        <w:rPr>
          <w:lang w:val="en-US"/>
        </w:rPr>
        <w:t>, 30(4), 305-320.</w:t>
      </w:r>
    </w:p>
    <w:p w:rsidR="00104A12" w:rsidRPr="004D55DA" w:rsidRDefault="00104A12" w:rsidP="007F7964">
      <w:pPr>
        <w:spacing w:before="100"/>
        <w:jc w:val="both"/>
        <w:rPr>
          <w:lang w:val="en-US"/>
        </w:rPr>
      </w:pPr>
      <w:r w:rsidRPr="004D55DA">
        <w:rPr>
          <w:lang w:val="en-US"/>
        </w:rPr>
        <w:t>Chang Y. T. and Lee Paul T. W. (2007). Overview of interport competition: Issues and methods</w:t>
      </w:r>
      <w:r w:rsidRPr="004D55DA">
        <w:rPr>
          <w:i/>
          <w:lang w:val="en-US"/>
        </w:rPr>
        <w:t>. Journal of International logistics and Trade</w:t>
      </w:r>
      <w:r w:rsidRPr="004D55DA">
        <w:rPr>
          <w:lang w:val="en-US"/>
        </w:rPr>
        <w:t>, 99(5), 99-121.</w:t>
      </w:r>
    </w:p>
    <w:p w:rsidR="00104A12" w:rsidRPr="004D55DA" w:rsidRDefault="00104A12" w:rsidP="007F7964">
      <w:pPr>
        <w:spacing w:before="100"/>
        <w:jc w:val="both"/>
        <w:rPr>
          <w:lang w:val="en-US"/>
        </w:rPr>
      </w:pPr>
      <w:r w:rsidRPr="004D55DA">
        <w:rPr>
          <w:lang w:val="en-US"/>
        </w:rPr>
        <w:t xml:space="preserve">Chang, Y. T., Lee, S. Y. and Tongzon, J. L. (2008). Port selection factors by shipping lines: different perspectives between trunk liners and “feeder” service providers. </w:t>
      </w:r>
      <w:r w:rsidRPr="004D55DA">
        <w:rPr>
          <w:i/>
          <w:lang w:val="en-US"/>
        </w:rPr>
        <w:t>Marine Policy</w:t>
      </w:r>
      <w:r w:rsidRPr="004D55DA">
        <w:rPr>
          <w:lang w:val="en-US"/>
        </w:rPr>
        <w:t>, 32(6), 877-885.</w:t>
      </w:r>
    </w:p>
    <w:p w:rsidR="00104A12" w:rsidRPr="004D55DA" w:rsidRDefault="00104A12" w:rsidP="007F7964">
      <w:pPr>
        <w:spacing w:before="100"/>
        <w:jc w:val="both"/>
        <w:rPr>
          <w:lang w:val="en-US"/>
        </w:rPr>
      </w:pPr>
      <w:r w:rsidRPr="004D55DA">
        <w:rPr>
          <w:lang w:val="en-US"/>
        </w:rPr>
        <w:t xml:space="preserve">Chang, Y., Lee, S. and Tongzon, J. (2008). Port selection factors by shipping lines: Different perspectives between trunk liners and “feeder” service providers. </w:t>
      </w:r>
      <w:r w:rsidRPr="004D55DA">
        <w:rPr>
          <w:i/>
          <w:lang w:val="en-US"/>
        </w:rPr>
        <w:t>Journal of Marine Policy</w:t>
      </w:r>
      <w:r w:rsidRPr="004D55DA">
        <w:rPr>
          <w:lang w:val="en-US"/>
        </w:rPr>
        <w:t>, 32, 877–885.</w:t>
      </w:r>
    </w:p>
    <w:p w:rsidR="00104A12" w:rsidRPr="004D55DA" w:rsidRDefault="00104A12" w:rsidP="007F7964">
      <w:pPr>
        <w:spacing w:before="100"/>
        <w:jc w:val="both"/>
        <w:rPr>
          <w:lang w:val="en-US"/>
        </w:rPr>
      </w:pPr>
      <w:r w:rsidRPr="004D55DA">
        <w:rPr>
          <w:lang w:val="en-US"/>
        </w:rPr>
        <w:t xml:space="preserve">Charnes, A., Cooper, W. and Rhodes, E. (1978). Measuring the efficiency of decision making units. </w:t>
      </w:r>
      <w:r w:rsidRPr="004D55DA">
        <w:rPr>
          <w:i/>
          <w:lang w:val="en-US"/>
        </w:rPr>
        <w:t>European Journal of Operational Research</w:t>
      </w:r>
      <w:r w:rsidRPr="004D55DA">
        <w:rPr>
          <w:lang w:val="en-US"/>
        </w:rPr>
        <w:t>, 429-444.</w:t>
      </w:r>
    </w:p>
    <w:p w:rsidR="00104A12" w:rsidRPr="004D55DA" w:rsidRDefault="00104A12" w:rsidP="007F7964">
      <w:pPr>
        <w:spacing w:before="100"/>
        <w:jc w:val="both"/>
        <w:rPr>
          <w:lang w:val="en-US"/>
        </w:rPr>
      </w:pPr>
      <w:r w:rsidRPr="004D55DA">
        <w:rPr>
          <w:lang w:val="en-US"/>
        </w:rPr>
        <w:t xml:space="preserve">Cheon S. H., Dowall, D. E. and Song, D. W. (2010), Evaluating impacts of institutional reforms on port efficiency changes: Ownership, corporate structure, and total factor productivity changes of world container ports. </w:t>
      </w:r>
      <w:r w:rsidRPr="004D55DA">
        <w:rPr>
          <w:i/>
          <w:lang w:val="en-US"/>
        </w:rPr>
        <w:t>Transportation Research Part E</w:t>
      </w:r>
      <w:r w:rsidRPr="004D55DA">
        <w:rPr>
          <w:lang w:val="en-US"/>
        </w:rPr>
        <w:t>, 46, 546–561.</w:t>
      </w:r>
    </w:p>
    <w:p w:rsidR="00104A12" w:rsidRPr="004D55DA" w:rsidRDefault="00104A12" w:rsidP="007F7964">
      <w:pPr>
        <w:spacing w:before="100"/>
        <w:jc w:val="both"/>
        <w:rPr>
          <w:lang w:val="en-US"/>
        </w:rPr>
      </w:pPr>
      <w:r w:rsidRPr="004D55DA">
        <w:rPr>
          <w:lang w:val="en-US"/>
        </w:rPr>
        <w:t xml:space="preserve">Cheon, S. (2007). </w:t>
      </w:r>
      <w:r w:rsidRPr="004D55DA">
        <w:rPr>
          <w:i/>
          <w:lang w:val="en-US"/>
        </w:rPr>
        <w:t>Evaluating impacts of institutional reforms on port efficiency changes malquimist productivity index for world container ports</w:t>
      </w:r>
      <w:r w:rsidRPr="004D55DA">
        <w:rPr>
          <w:lang w:val="en-US"/>
        </w:rPr>
        <w:t>. Post Doctoral research, University of California, Berkeley.</w:t>
      </w:r>
    </w:p>
    <w:p w:rsidR="00104A12" w:rsidRPr="004D55DA" w:rsidRDefault="00104A12" w:rsidP="007F7964">
      <w:pPr>
        <w:spacing w:before="100"/>
        <w:jc w:val="both"/>
        <w:rPr>
          <w:lang w:val="en-US"/>
        </w:rPr>
      </w:pPr>
      <w:r w:rsidRPr="004D55DA">
        <w:rPr>
          <w:lang w:val="en-US"/>
        </w:rPr>
        <w:t xml:space="preserve">Choi, H. R., Kim, H. S., Park, B. J., Park, N. K. and Lee, S. W. (2003). An ERP approach For container terminal operating systems. </w:t>
      </w:r>
      <w:r w:rsidRPr="004D55DA">
        <w:rPr>
          <w:i/>
          <w:lang w:val="en-US"/>
        </w:rPr>
        <w:t>Maritime Policy and Management</w:t>
      </w:r>
      <w:r w:rsidRPr="004D55DA">
        <w:rPr>
          <w:lang w:val="en-US"/>
        </w:rPr>
        <w:t>, 30, 197-203.</w:t>
      </w:r>
    </w:p>
    <w:p w:rsidR="00104A12" w:rsidRPr="004D55DA" w:rsidRDefault="00104A12" w:rsidP="007F7964">
      <w:pPr>
        <w:spacing w:before="100"/>
        <w:jc w:val="both"/>
        <w:rPr>
          <w:lang w:val="en-US"/>
        </w:rPr>
      </w:pPr>
      <w:r w:rsidRPr="004D55DA">
        <w:rPr>
          <w:lang w:val="en-US"/>
        </w:rPr>
        <w:t xml:space="preserve">Chou, C. C (2010). Application of FMCDM model to selecting the “hub” location in the marine transportation: A case study in southeastern Asia. </w:t>
      </w:r>
      <w:r w:rsidRPr="004D55DA">
        <w:rPr>
          <w:i/>
          <w:lang w:val="en-US"/>
        </w:rPr>
        <w:t>Mathematical and Computer Modelling</w:t>
      </w:r>
      <w:r w:rsidRPr="004D55DA">
        <w:rPr>
          <w:lang w:val="en-US"/>
        </w:rPr>
        <w:t>, 51, 791-801.</w:t>
      </w:r>
    </w:p>
    <w:p w:rsidR="00104A12" w:rsidRPr="004D55DA" w:rsidRDefault="00104A12" w:rsidP="007F7964">
      <w:pPr>
        <w:spacing w:before="100"/>
        <w:jc w:val="both"/>
        <w:rPr>
          <w:lang w:val="en-US"/>
        </w:rPr>
      </w:pPr>
      <w:r w:rsidRPr="004D55DA">
        <w:rPr>
          <w:lang w:val="en-US"/>
        </w:rPr>
        <w:t>Christidis, P. 2001</w:t>
      </w:r>
      <w:r w:rsidRPr="004D55DA">
        <w:rPr>
          <w:i/>
          <w:lang w:val="en-US"/>
        </w:rPr>
        <w:t>. Port development and competition issues</w:t>
      </w:r>
      <w:r w:rsidRPr="004D55DA">
        <w:rPr>
          <w:lang w:val="en-US"/>
        </w:rPr>
        <w:t xml:space="preserve">. </w:t>
      </w:r>
      <w:r w:rsidR="00832C64" w:rsidRPr="004D55DA">
        <w:rPr>
          <w:lang w:val="en-US"/>
        </w:rPr>
        <w:t>Institution for Transport Policy Studies</w:t>
      </w:r>
      <w:r w:rsidR="008B28F4" w:rsidRPr="004D55DA">
        <w:rPr>
          <w:lang w:val="en-US"/>
        </w:rPr>
        <w:t xml:space="preserve"> Report,</w:t>
      </w:r>
      <w:r w:rsidRPr="004D55DA">
        <w:rPr>
          <w:lang w:val="en-US"/>
        </w:rPr>
        <w:t xml:space="preserve"> 54.</w:t>
      </w:r>
    </w:p>
    <w:p w:rsidR="00104A12" w:rsidRPr="004D55DA" w:rsidRDefault="00104A12" w:rsidP="007F7964">
      <w:pPr>
        <w:spacing w:before="100"/>
        <w:jc w:val="both"/>
        <w:rPr>
          <w:lang w:val="en-US"/>
        </w:rPr>
      </w:pPr>
      <w:r w:rsidRPr="004D55DA">
        <w:rPr>
          <w:lang w:val="en-US"/>
        </w:rPr>
        <w:t>Coe, N., Hess, M., Yeung, H. W., Dicken, P. and Henderson, J. (2004). Globalizing regional development: a global production networks perspective. Transactions of the Institute of British Geographers, New Series, 29(4), 468-84.</w:t>
      </w:r>
    </w:p>
    <w:p w:rsidR="00104A12" w:rsidRPr="004D55DA" w:rsidRDefault="00104A12" w:rsidP="007F7964">
      <w:pPr>
        <w:spacing w:before="100"/>
        <w:jc w:val="both"/>
        <w:rPr>
          <w:lang w:val="en-US"/>
        </w:rPr>
      </w:pPr>
      <w:r w:rsidRPr="004D55DA">
        <w:rPr>
          <w:lang w:val="es-ES_tradnl"/>
        </w:rPr>
        <w:t xml:space="preserve">Coto-Millán, P., Baños-Pino, J., and Rodríguez-Álvarez, A. (2000). </w:t>
      </w:r>
      <w:r w:rsidRPr="004D55DA">
        <w:rPr>
          <w:lang w:val="en-US"/>
        </w:rPr>
        <w:t xml:space="preserve">Economic efficiency in spanish ports: some empirical evidence. </w:t>
      </w:r>
      <w:r w:rsidRPr="004D55DA">
        <w:rPr>
          <w:i/>
          <w:lang w:val="en-US"/>
        </w:rPr>
        <w:t>Maritime Policy and Management</w:t>
      </w:r>
      <w:r w:rsidRPr="004D55DA">
        <w:rPr>
          <w:lang w:val="en-US"/>
        </w:rPr>
        <w:t>, 27(2), 169-174.</w:t>
      </w:r>
    </w:p>
    <w:p w:rsidR="00104A12" w:rsidRPr="004D55DA" w:rsidRDefault="00104A12" w:rsidP="007F7964">
      <w:pPr>
        <w:spacing w:before="100"/>
        <w:jc w:val="both"/>
        <w:rPr>
          <w:lang w:val="en-US"/>
        </w:rPr>
      </w:pPr>
      <w:r w:rsidRPr="004D55DA">
        <w:rPr>
          <w:lang w:val="en-US"/>
        </w:rPr>
        <w:lastRenderedPageBreak/>
        <w:t xml:space="preserve">Cullinane, K. and Khanna, M. (2000). Economies of scale in large containerships: </w:t>
      </w:r>
      <w:r w:rsidR="008B28F4" w:rsidRPr="004D55DA">
        <w:rPr>
          <w:lang w:val="en-US"/>
        </w:rPr>
        <w:t>O</w:t>
      </w:r>
      <w:r w:rsidRPr="004D55DA">
        <w:rPr>
          <w:lang w:val="en-US"/>
        </w:rPr>
        <w:t xml:space="preserve">ptimal size and geographical implications. </w:t>
      </w:r>
      <w:r w:rsidRPr="004D55DA">
        <w:rPr>
          <w:i/>
          <w:lang w:val="en-US"/>
        </w:rPr>
        <w:t>Journal of Transport Geography</w:t>
      </w:r>
      <w:r w:rsidRPr="004D55DA">
        <w:rPr>
          <w:lang w:val="en-US"/>
        </w:rPr>
        <w:t>, 8, 181-195.</w:t>
      </w:r>
    </w:p>
    <w:p w:rsidR="00104A12" w:rsidRPr="004D55DA" w:rsidRDefault="00104A12" w:rsidP="007F7964">
      <w:pPr>
        <w:spacing w:before="100"/>
        <w:jc w:val="both"/>
        <w:rPr>
          <w:lang w:val="en-US"/>
        </w:rPr>
      </w:pPr>
      <w:r w:rsidRPr="004D55DA">
        <w:rPr>
          <w:lang w:val="en-US"/>
        </w:rPr>
        <w:t xml:space="preserve">Cullinane, K. and Wang, Y. (2009). Capacity-based measure of container port accessibility. </w:t>
      </w:r>
      <w:r w:rsidRPr="004D55DA">
        <w:rPr>
          <w:i/>
          <w:lang w:val="en-US"/>
        </w:rPr>
        <w:t>International Journal of Logistics</w:t>
      </w:r>
      <w:r w:rsidRPr="004D55DA">
        <w:rPr>
          <w:lang w:val="en-US"/>
        </w:rPr>
        <w:t>, 12(2), 103–117.</w:t>
      </w:r>
    </w:p>
    <w:p w:rsidR="00104A12" w:rsidRPr="004D55DA" w:rsidRDefault="00104A12" w:rsidP="007F7964">
      <w:pPr>
        <w:spacing w:before="100"/>
        <w:jc w:val="both"/>
        <w:rPr>
          <w:lang w:val="en-US"/>
        </w:rPr>
      </w:pPr>
      <w:r w:rsidRPr="004D55DA">
        <w:rPr>
          <w:lang w:val="en-US"/>
        </w:rPr>
        <w:t xml:space="preserve">Cullinane, K. (2002). The productivity and efficiency of ports and terminals: </w:t>
      </w:r>
      <w:r w:rsidR="008B28F4" w:rsidRPr="004D55DA">
        <w:rPr>
          <w:lang w:val="en-US"/>
        </w:rPr>
        <w:t>M</w:t>
      </w:r>
      <w:r w:rsidRPr="004D55DA">
        <w:rPr>
          <w:lang w:val="en-US"/>
        </w:rPr>
        <w:t>ethods and applications. C. T. Grammenos, ed. The Handbook of Maritime Economics and Business. London: Informa Profession, 803-831.</w:t>
      </w:r>
    </w:p>
    <w:p w:rsidR="00104A12" w:rsidRPr="004D55DA" w:rsidRDefault="00104A12" w:rsidP="007F7964">
      <w:pPr>
        <w:spacing w:before="100"/>
        <w:jc w:val="both"/>
        <w:rPr>
          <w:lang w:val="en-US"/>
        </w:rPr>
      </w:pPr>
      <w:r w:rsidRPr="004D55DA">
        <w:rPr>
          <w:lang w:val="en-US"/>
        </w:rPr>
        <w:t xml:space="preserve">Cullinane, K., Ji, P. and Wang, T. (2002). A multi-objective programming approach to the optimisation of China’s international container transport network. </w:t>
      </w:r>
      <w:r w:rsidRPr="004D55DA">
        <w:rPr>
          <w:i/>
          <w:lang w:val="en-US"/>
        </w:rPr>
        <w:t>International Journal of Transport Economics</w:t>
      </w:r>
      <w:r w:rsidRPr="004D55DA">
        <w:rPr>
          <w:lang w:val="en-US"/>
        </w:rPr>
        <w:t>, XXIX(2), 181-199.</w:t>
      </w:r>
    </w:p>
    <w:p w:rsidR="00104A12" w:rsidRPr="004D55DA" w:rsidRDefault="00104A12" w:rsidP="007F7964">
      <w:pPr>
        <w:spacing w:before="100"/>
        <w:jc w:val="both"/>
        <w:rPr>
          <w:lang w:val="en-US"/>
        </w:rPr>
      </w:pPr>
      <w:r w:rsidRPr="004D55DA">
        <w:rPr>
          <w:lang w:val="en-US"/>
        </w:rPr>
        <w:t xml:space="preserve">Cullinane, K., Song, D. W., Ping, J. and Wang, T. F. (2004). An application of DEA windows analysis to container port production efficiency. </w:t>
      </w:r>
      <w:r w:rsidRPr="004D55DA">
        <w:rPr>
          <w:i/>
          <w:lang w:val="en-US"/>
        </w:rPr>
        <w:t>Review of Network Economics</w:t>
      </w:r>
      <w:r w:rsidRPr="004D55DA">
        <w:rPr>
          <w:lang w:val="en-US"/>
        </w:rPr>
        <w:t xml:space="preserve"> 3, 184–206.</w:t>
      </w:r>
    </w:p>
    <w:p w:rsidR="00104A12" w:rsidRPr="004D55DA" w:rsidRDefault="00104A12" w:rsidP="007F7964">
      <w:pPr>
        <w:spacing w:before="100"/>
        <w:jc w:val="both"/>
      </w:pPr>
      <w:r w:rsidRPr="004D55DA">
        <w:rPr>
          <w:lang w:val="en-US"/>
        </w:rPr>
        <w:t xml:space="preserve">De Langen, P. (2004). Governance in seaport clusters. </w:t>
      </w:r>
      <w:r w:rsidRPr="004D55DA">
        <w:rPr>
          <w:i/>
        </w:rPr>
        <w:t>Maritime Economics and Logistics</w:t>
      </w:r>
      <w:r w:rsidRPr="004D55DA">
        <w:t>, 6, 141–156.</w:t>
      </w:r>
    </w:p>
    <w:p w:rsidR="00104A12" w:rsidRPr="004D55DA" w:rsidRDefault="00104A12" w:rsidP="007F7964">
      <w:pPr>
        <w:spacing w:before="100"/>
        <w:jc w:val="both"/>
      </w:pPr>
      <w:r w:rsidRPr="004D55DA">
        <w:t>De Monie G. (2012). apresentação sobre o transporte marítimo, Cascais, Conferência Logistel.</w:t>
      </w:r>
    </w:p>
    <w:p w:rsidR="00104A12" w:rsidRPr="004D55DA" w:rsidRDefault="00104A12" w:rsidP="007F7964">
      <w:pPr>
        <w:spacing w:before="100"/>
        <w:jc w:val="both"/>
        <w:rPr>
          <w:lang w:val="en-US"/>
        </w:rPr>
      </w:pPr>
      <w:r w:rsidRPr="004D55DA">
        <w:rPr>
          <w:lang w:val="en-US"/>
        </w:rPr>
        <w:t xml:space="preserve">De-Neufville, R. and Tsunokawa, K. (1981). Productivity and returns to scale of container port. </w:t>
      </w:r>
      <w:r w:rsidRPr="004D55DA">
        <w:rPr>
          <w:i/>
          <w:lang w:val="en-US"/>
        </w:rPr>
        <w:t>Maritime Policy and Management</w:t>
      </w:r>
      <w:r w:rsidRPr="004D55DA">
        <w:rPr>
          <w:lang w:val="en-US"/>
        </w:rPr>
        <w:t>, 8(2) 121-129.</w:t>
      </w:r>
    </w:p>
    <w:p w:rsidR="00104A12" w:rsidRPr="0043582D" w:rsidRDefault="00104A12" w:rsidP="007F7964">
      <w:pPr>
        <w:spacing w:before="100"/>
        <w:jc w:val="both"/>
        <w:rPr>
          <w:lang w:val="en-US"/>
        </w:rPr>
      </w:pPr>
      <w:r w:rsidRPr="00D713C2">
        <w:rPr>
          <w:lang w:val="en-US"/>
        </w:rPr>
        <w:t xml:space="preserve">Dias, J. Q., Calado, J. F. and Mendonça, M. C. (2010). </w:t>
      </w:r>
      <w:r w:rsidRPr="004D55DA">
        <w:rPr>
          <w:lang w:val="en-US"/>
        </w:rPr>
        <w:t xml:space="preserve">The role of European “ro-ro” port terminals in the automotive supply chain management. </w:t>
      </w:r>
      <w:r w:rsidRPr="0043582D">
        <w:rPr>
          <w:i/>
          <w:lang w:val="en-US"/>
        </w:rPr>
        <w:t>Journal of Transport Geography</w:t>
      </w:r>
      <w:r w:rsidRPr="0043582D">
        <w:rPr>
          <w:lang w:val="en-US"/>
        </w:rPr>
        <w:t>, 18, 116–124.</w:t>
      </w:r>
    </w:p>
    <w:p w:rsidR="00104A12" w:rsidRPr="004D55DA" w:rsidRDefault="00104A12" w:rsidP="007F7964">
      <w:pPr>
        <w:spacing w:before="100"/>
        <w:jc w:val="both"/>
        <w:rPr>
          <w:lang w:val="en-US"/>
        </w:rPr>
      </w:pPr>
      <w:r w:rsidRPr="004D55DA">
        <w:rPr>
          <w:lang w:val="en-US"/>
        </w:rPr>
        <w:t>Drewry Shipping Consultants (2011). Container market review and forecast 2008/09, Clarkson Research Services, Container Intelligence Monthly, May.</w:t>
      </w:r>
    </w:p>
    <w:p w:rsidR="00104A12" w:rsidRPr="004D55DA" w:rsidRDefault="00104A12" w:rsidP="007F7964">
      <w:pPr>
        <w:spacing w:before="100"/>
        <w:jc w:val="both"/>
        <w:rPr>
          <w:lang w:val="en-US"/>
        </w:rPr>
      </w:pPr>
      <w:r w:rsidRPr="004D55DA">
        <w:rPr>
          <w:lang w:val="en-US"/>
        </w:rPr>
        <w:t xml:space="preserve">Ducruet, C., Rozenblat, C. and Zaidi, F. (2010) Ports in multi-level maritime networks: evidence from the Atlantic. </w:t>
      </w:r>
      <w:r w:rsidRPr="004D55DA">
        <w:rPr>
          <w:i/>
          <w:lang w:val="en-US"/>
        </w:rPr>
        <w:t>Journal of Transport Geography</w:t>
      </w:r>
      <w:r w:rsidRPr="004D55DA">
        <w:rPr>
          <w:lang w:val="en-US"/>
        </w:rPr>
        <w:t>, 18, 508–518.</w:t>
      </w:r>
    </w:p>
    <w:p w:rsidR="00104A12" w:rsidRPr="004D55DA" w:rsidRDefault="00104A12" w:rsidP="007F7964">
      <w:pPr>
        <w:spacing w:before="100"/>
        <w:jc w:val="both"/>
        <w:rPr>
          <w:lang w:val="en-US"/>
        </w:rPr>
      </w:pPr>
      <w:r w:rsidRPr="004D55DA">
        <w:rPr>
          <w:lang w:val="en-US"/>
        </w:rPr>
        <w:t>Estache, A., Gonzalez, M. and Trujillo, L. (2001). Technical efficiency gains from port reform: the potential for yardstick competition in Mexico. The World Bank Institute, Governance, Regulation and Finance Division.</w:t>
      </w:r>
    </w:p>
    <w:p w:rsidR="00104A12" w:rsidRPr="004D55DA" w:rsidRDefault="00104A12" w:rsidP="007F7964">
      <w:pPr>
        <w:spacing w:before="100"/>
        <w:jc w:val="both"/>
      </w:pPr>
      <w:r w:rsidRPr="004D55DA">
        <w:rPr>
          <w:lang w:val="en-US"/>
        </w:rPr>
        <w:t xml:space="preserve">Estache, A., Perelman, S. and Trujillo, L. (2005). Infrastructure performance and reform in developing and transition economies: evidence from a survey of productivity measures.  </w:t>
      </w:r>
      <w:r w:rsidRPr="004D55DA">
        <w:t>World Bank Policy Research Working Paper 3514.</w:t>
      </w:r>
    </w:p>
    <w:p w:rsidR="00104A12" w:rsidRPr="004D55DA" w:rsidRDefault="00104A12" w:rsidP="007F7964">
      <w:pPr>
        <w:spacing w:before="100"/>
        <w:jc w:val="both"/>
      </w:pPr>
      <w:r w:rsidRPr="004D55DA">
        <w:t>Estrada, J.L. (2007). Mejora de la competitividad de um puerto por médio de um novo modelo de gestión de la estratégia aplicando el quadro de mando integral. Universidad Politécnica de Madrid.</w:t>
      </w:r>
    </w:p>
    <w:p w:rsidR="00104A12" w:rsidRPr="004D55DA" w:rsidRDefault="00104A12" w:rsidP="007F7964">
      <w:pPr>
        <w:spacing w:before="100"/>
        <w:jc w:val="both"/>
        <w:rPr>
          <w:lang w:val="en-US"/>
        </w:rPr>
      </w:pPr>
      <w:r w:rsidRPr="004D55DA">
        <w:t xml:space="preserve">Felício, A. and Caldeirinha, V. R. (2013). </w:t>
      </w:r>
      <w:r w:rsidRPr="004D55DA">
        <w:rPr>
          <w:lang w:val="en-US"/>
        </w:rPr>
        <w:t>The influence of the characterisation factors of the European ports on operational performance: conceptual model testing.</w:t>
      </w:r>
      <w:r w:rsidRPr="004D55DA">
        <w:rPr>
          <w:i/>
          <w:lang w:val="en-US"/>
        </w:rPr>
        <w:t xml:space="preserve"> International Journal of Shipping and Transport Logistics</w:t>
      </w:r>
      <w:r w:rsidRPr="004D55DA">
        <w:rPr>
          <w:lang w:val="en-US"/>
        </w:rPr>
        <w:t>, 5(3), 282 – 302.</w:t>
      </w:r>
    </w:p>
    <w:p w:rsidR="00104A12" w:rsidRPr="004D55DA" w:rsidRDefault="00104A12" w:rsidP="007F7964">
      <w:pPr>
        <w:spacing w:before="100"/>
        <w:jc w:val="both"/>
        <w:rPr>
          <w:lang w:val="en-US"/>
        </w:rPr>
      </w:pPr>
      <w:r w:rsidRPr="004D55DA">
        <w:rPr>
          <w:lang w:val="en-US"/>
        </w:rPr>
        <w:t xml:space="preserve">Ferrari, C., Parola, F. and Gattorna, E. (2011). Measuring the quality of port “hinterland” accessibility: The Ligurian case. </w:t>
      </w:r>
      <w:r w:rsidRPr="004D55DA">
        <w:rPr>
          <w:i/>
          <w:lang w:val="en-US"/>
        </w:rPr>
        <w:t>Transport Policy,</w:t>
      </w:r>
      <w:r w:rsidRPr="004D55DA">
        <w:rPr>
          <w:lang w:val="en-US"/>
        </w:rPr>
        <w:t xml:space="preserve"> 18, 382–391.</w:t>
      </w:r>
    </w:p>
    <w:p w:rsidR="00104A12" w:rsidRPr="004D55DA" w:rsidRDefault="00104A12" w:rsidP="007F7964">
      <w:pPr>
        <w:spacing w:before="100"/>
        <w:jc w:val="both"/>
        <w:rPr>
          <w:lang w:val="en-US"/>
        </w:rPr>
      </w:pPr>
      <w:r w:rsidRPr="004D55DA">
        <w:rPr>
          <w:lang w:val="en-US"/>
        </w:rPr>
        <w:t xml:space="preserve">Flemming, D. K. and Hayuth, Y. (1994). Spatial characteristics of transportation “hub”s: centrality and intermediacy. </w:t>
      </w:r>
      <w:r w:rsidRPr="004D55DA">
        <w:rPr>
          <w:i/>
          <w:lang w:val="en-US"/>
        </w:rPr>
        <w:t>Journal of Transport Geography</w:t>
      </w:r>
      <w:r w:rsidRPr="004D55DA">
        <w:rPr>
          <w:lang w:val="en-US"/>
        </w:rPr>
        <w:t>. 2(1), 3-18.</w:t>
      </w:r>
    </w:p>
    <w:p w:rsidR="00104A12" w:rsidRPr="004D55DA" w:rsidRDefault="00104A12" w:rsidP="007F7964">
      <w:pPr>
        <w:spacing w:before="100"/>
        <w:jc w:val="both"/>
        <w:rPr>
          <w:lang w:val="en-US"/>
        </w:rPr>
      </w:pPr>
      <w:r w:rsidRPr="004D55DA">
        <w:rPr>
          <w:lang w:val="en-US"/>
        </w:rPr>
        <w:t xml:space="preserve">Fornell, C, Larcker, D. F. (1981). Evaluating structural equation models with unobservable variables and measurement error. </w:t>
      </w:r>
      <w:r w:rsidRPr="004D55DA">
        <w:rPr>
          <w:i/>
          <w:lang w:val="en-US"/>
        </w:rPr>
        <w:t xml:space="preserve">Journal of Marketing Research, </w:t>
      </w:r>
      <w:r w:rsidRPr="004D55DA">
        <w:rPr>
          <w:lang w:val="en-US"/>
        </w:rPr>
        <w:t>18(1), 39-50.</w:t>
      </w:r>
    </w:p>
    <w:p w:rsidR="00104A12" w:rsidRPr="004D55DA" w:rsidRDefault="00104A12" w:rsidP="007F7964">
      <w:pPr>
        <w:spacing w:before="100"/>
        <w:jc w:val="both"/>
        <w:rPr>
          <w:lang w:val="en-US"/>
        </w:rPr>
      </w:pPr>
      <w:r w:rsidRPr="004D55DA">
        <w:rPr>
          <w:lang w:val="en-US"/>
        </w:rPr>
        <w:lastRenderedPageBreak/>
        <w:t xml:space="preserve">Garcia-Alonso, L. and Martin-Bofarull, M. (2007). Impact of port investment on efficiency and capacity to attract traffic in Spain: Bilbao versus Valencia. </w:t>
      </w:r>
      <w:r w:rsidRPr="004D55DA">
        <w:rPr>
          <w:i/>
          <w:lang w:val="en-US"/>
        </w:rPr>
        <w:t>Maritime Economics and Logistics</w:t>
      </w:r>
      <w:r w:rsidRPr="004D55DA">
        <w:rPr>
          <w:lang w:val="en-US"/>
        </w:rPr>
        <w:t>, 9, 254–267.</w:t>
      </w:r>
    </w:p>
    <w:p w:rsidR="00104A12" w:rsidRPr="004D55DA" w:rsidRDefault="00104A12" w:rsidP="007F7964">
      <w:pPr>
        <w:spacing w:before="100"/>
        <w:jc w:val="both"/>
        <w:rPr>
          <w:lang w:val="en-US"/>
        </w:rPr>
      </w:pPr>
      <w:r w:rsidRPr="004D55DA">
        <w:rPr>
          <w:lang w:val="en-GB"/>
        </w:rPr>
        <w:t xml:space="preserve">Garver, M. S., and Mentzer, J. T. (1999). </w:t>
      </w:r>
      <w:r w:rsidRPr="004D55DA">
        <w:rPr>
          <w:lang w:val="en-US"/>
        </w:rPr>
        <w:t xml:space="preserve">Logistics research methods: Employing structural equation modeling to test for construct validity. </w:t>
      </w:r>
      <w:r w:rsidRPr="004D55DA">
        <w:rPr>
          <w:i/>
          <w:lang w:val="en-US"/>
        </w:rPr>
        <w:t>Journal of Business Logistics</w:t>
      </w:r>
      <w:r w:rsidRPr="004D55DA">
        <w:rPr>
          <w:lang w:val="en-US"/>
        </w:rPr>
        <w:t>, 20, 33–57.</w:t>
      </w:r>
    </w:p>
    <w:p w:rsidR="00104A12" w:rsidRPr="004D55DA" w:rsidRDefault="00104A12" w:rsidP="007F7964">
      <w:pPr>
        <w:spacing w:before="100"/>
        <w:jc w:val="both"/>
        <w:rPr>
          <w:lang w:val="en-US"/>
        </w:rPr>
      </w:pPr>
      <w:r w:rsidRPr="004D55DA">
        <w:rPr>
          <w:lang w:val="en-US"/>
        </w:rPr>
        <w:t xml:space="preserve">Gaur, P. (2005). </w:t>
      </w:r>
      <w:r w:rsidRPr="004D55DA">
        <w:rPr>
          <w:i/>
          <w:lang w:val="en-US"/>
        </w:rPr>
        <w:t xml:space="preserve">Port planning as a strategic tool: </w:t>
      </w:r>
      <w:r w:rsidR="008B28F4" w:rsidRPr="004D55DA">
        <w:rPr>
          <w:i/>
          <w:lang w:val="en-US"/>
        </w:rPr>
        <w:t>A</w:t>
      </w:r>
      <w:r w:rsidRPr="004D55DA">
        <w:rPr>
          <w:i/>
          <w:lang w:val="en-US"/>
        </w:rPr>
        <w:t xml:space="preserve"> typology</w:t>
      </w:r>
      <w:r w:rsidRPr="004D55DA">
        <w:rPr>
          <w:lang w:val="en-US"/>
        </w:rPr>
        <w:t>. Institute of Transport and Maritime Management Antwerp, University of Antwerp.</w:t>
      </w:r>
    </w:p>
    <w:p w:rsidR="00104A12" w:rsidRPr="004D55DA" w:rsidRDefault="00104A12" w:rsidP="007F7964">
      <w:pPr>
        <w:spacing w:before="100"/>
        <w:jc w:val="both"/>
        <w:rPr>
          <w:lang w:val="en-US"/>
        </w:rPr>
      </w:pPr>
      <w:r w:rsidRPr="004D55DA">
        <w:rPr>
          <w:lang w:val="en-US"/>
        </w:rPr>
        <w:t xml:space="preserve">Gonzalez, M. M. and Trujillo, L. (2008). Reforms and infrastructure efficiency in Spain’s container ports. </w:t>
      </w:r>
      <w:r w:rsidRPr="004D55DA">
        <w:rPr>
          <w:i/>
          <w:lang w:val="en-US"/>
        </w:rPr>
        <w:t>Transportation Research Part A</w:t>
      </w:r>
      <w:r w:rsidRPr="004D55DA">
        <w:rPr>
          <w:lang w:val="en-US"/>
        </w:rPr>
        <w:t>, 42(1), 243-257.</w:t>
      </w:r>
    </w:p>
    <w:p w:rsidR="00104A12" w:rsidRPr="004D55DA" w:rsidRDefault="00104A12" w:rsidP="007F7964">
      <w:pPr>
        <w:spacing w:before="100"/>
        <w:jc w:val="both"/>
        <w:rPr>
          <w:lang w:val="en-US"/>
        </w:rPr>
      </w:pPr>
      <w:r w:rsidRPr="004D55DA">
        <w:rPr>
          <w:lang w:val="en-US"/>
        </w:rPr>
        <w:t xml:space="preserve">Goss R. O. (1990). Economic policies and seaports: The diversity of port policies. </w:t>
      </w:r>
      <w:r w:rsidRPr="004D55DA">
        <w:rPr>
          <w:i/>
          <w:lang w:val="en-US"/>
        </w:rPr>
        <w:t>Maritime Policy &amp; Management</w:t>
      </w:r>
      <w:r w:rsidRPr="004D55DA">
        <w:rPr>
          <w:lang w:val="en-US"/>
        </w:rPr>
        <w:t>, 17(3), 221-234.</w:t>
      </w:r>
    </w:p>
    <w:p w:rsidR="00104A12" w:rsidRPr="004D55DA" w:rsidRDefault="00104A12" w:rsidP="007F7964">
      <w:pPr>
        <w:spacing w:before="100"/>
        <w:jc w:val="both"/>
        <w:rPr>
          <w:lang w:val="en-US"/>
        </w:rPr>
      </w:pPr>
      <w:r w:rsidRPr="004D55DA">
        <w:rPr>
          <w:lang w:val="en-US"/>
        </w:rPr>
        <w:t>Hair, J. F. Jr., Anderson, R. E., Tatham, R. L. and Black W. C. (1998). Multivariate data analysis. 5th ed. New Jersey: Prentice Hall.</w:t>
      </w:r>
    </w:p>
    <w:p w:rsidR="00104A12" w:rsidRPr="004D55DA" w:rsidRDefault="00104A12" w:rsidP="007F7964">
      <w:pPr>
        <w:spacing w:before="100"/>
        <w:jc w:val="both"/>
        <w:rPr>
          <w:lang w:val="en-US"/>
        </w:rPr>
      </w:pPr>
      <w:r w:rsidRPr="004D55DA">
        <w:rPr>
          <w:lang w:val="en-US"/>
        </w:rPr>
        <w:t xml:space="preserve">Haralambides, H. (2002). Competition, excess capacity and pricing of port infrastructur. </w:t>
      </w:r>
      <w:r w:rsidRPr="004D55DA">
        <w:rPr>
          <w:i/>
          <w:lang w:val="en-US"/>
        </w:rPr>
        <w:t>International Journal of Matitime Economics</w:t>
      </w:r>
      <w:r w:rsidRPr="004D55DA">
        <w:rPr>
          <w:lang w:val="en-US"/>
        </w:rPr>
        <w:t>, 4, 323-347.</w:t>
      </w:r>
    </w:p>
    <w:p w:rsidR="00104A12" w:rsidRPr="004D55DA" w:rsidRDefault="00104A12" w:rsidP="007F7964">
      <w:pPr>
        <w:spacing w:before="100"/>
        <w:jc w:val="both"/>
        <w:rPr>
          <w:lang w:val="en-US"/>
        </w:rPr>
      </w:pPr>
      <w:r w:rsidRPr="004D55DA">
        <w:rPr>
          <w:lang w:val="en-US"/>
        </w:rPr>
        <w:t xml:space="preserve">Harding A. and Juhel, M. H. (1997). </w:t>
      </w:r>
      <w:r w:rsidRPr="004D55DA">
        <w:rPr>
          <w:i/>
          <w:lang w:val="en-US"/>
        </w:rPr>
        <w:t>Port cities and the challenge of global logistics</w:t>
      </w:r>
      <w:r w:rsidRPr="004D55DA">
        <w:rPr>
          <w:lang w:val="en-US"/>
        </w:rPr>
        <w:t>. Sixth International Conference of Cities and Ports, Montevideo, Uruguay.</w:t>
      </w:r>
    </w:p>
    <w:p w:rsidR="00104A12" w:rsidRPr="004D55DA" w:rsidRDefault="00104A12" w:rsidP="007F7964">
      <w:pPr>
        <w:spacing w:before="100"/>
        <w:jc w:val="both"/>
        <w:rPr>
          <w:lang w:val="en-US"/>
        </w:rPr>
      </w:pPr>
      <w:r w:rsidRPr="004D55DA">
        <w:rPr>
          <w:lang w:val="en-US"/>
        </w:rPr>
        <w:t xml:space="preserve">Hayuth, Y. (1985). Freight model-split analysis of air and sea transportation. </w:t>
      </w:r>
      <w:r w:rsidRPr="004D55DA">
        <w:rPr>
          <w:i/>
          <w:lang w:val="en-US"/>
        </w:rPr>
        <w:t>Logistics and Transportation Review</w:t>
      </w:r>
      <w:r w:rsidRPr="004D55DA">
        <w:rPr>
          <w:lang w:val="en-US"/>
        </w:rPr>
        <w:t xml:space="preserve">, 21, 389-402. </w:t>
      </w:r>
    </w:p>
    <w:p w:rsidR="00104A12" w:rsidRPr="004D55DA" w:rsidRDefault="00104A12" w:rsidP="007F7964">
      <w:pPr>
        <w:spacing w:before="100"/>
        <w:jc w:val="both"/>
        <w:rPr>
          <w:lang w:val="en-US"/>
        </w:rPr>
      </w:pPr>
      <w:r w:rsidRPr="004D55DA">
        <w:rPr>
          <w:lang w:val="en-US"/>
        </w:rPr>
        <w:t xml:space="preserve">Heaver, T., Meersman, H. and Van der Voorde, E. (2001). Co-operation and competition in international container transport: strategies for ports. </w:t>
      </w:r>
      <w:r w:rsidRPr="004D55DA">
        <w:rPr>
          <w:i/>
          <w:lang w:val="en-US"/>
        </w:rPr>
        <w:t>Maritime Policy and Management</w:t>
      </w:r>
      <w:r w:rsidRPr="004D55DA">
        <w:rPr>
          <w:lang w:val="en-US"/>
        </w:rPr>
        <w:t>, 28(3), 293–305.</w:t>
      </w:r>
    </w:p>
    <w:p w:rsidR="00104A12" w:rsidRPr="004D55DA" w:rsidRDefault="00104A12" w:rsidP="007F7964">
      <w:pPr>
        <w:spacing w:before="100"/>
        <w:jc w:val="both"/>
        <w:rPr>
          <w:lang w:val="en-US"/>
        </w:rPr>
      </w:pPr>
      <w:r w:rsidRPr="004D55DA">
        <w:rPr>
          <w:lang w:val="en-US"/>
        </w:rPr>
        <w:t xml:space="preserve">Heggie, I. (1974). Charging for port facilities. </w:t>
      </w:r>
      <w:r w:rsidRPr="004D55DA">
        <w:rPr>
          <w:i/>
          <w:lang w:val="en-US"/>
        </w:rPr>
        <w:t>Journal of Transport Economic and Policy</w:t>
      </w:r>
      <w:r w:rsidRPr="004D55DA">
        <w:rPr>
          <w:lang w:val="en-US"/>
        </w:rPr>
        <w:t>, 8 (1), 3-25.</w:t>
      </w:r>
    </w:p>
    <w:p w:rsidR="00104A12" w:rsidRPr="004D55DA" w:rsidRDefault="00104A12" w:rsidP="007F7964">
      <w:pPr>
        <w:spacing w:before="100"/>
        <w:jc w:val="both"/>
      </w:pPr>
      <w:r w:rsidRPr="004D55DA">
        <w:rPr>
          <w:lang w:val="en-US"/>
        </w:rPr>
        <w:t xml:space="preserve">Herrera, S. and Pang, G. (2006). </w:t>
      </w:r>
      <w:r w:rsidRPr="004D55DA">
        <w:rPr>
          <w:i/>
          <w:lang w:val="en-US"/>
        </w:rPr>
        <w:t>Efficiency of infrastructure:</w:t>
      </w:r>
      <w:r w:rsidR="008B28F4" w:rsidRPr="004D55DA">
        <w:rPr>
          <w:i/>
          <w:lang w:val="en-US"/>
        </w:rPr>
        <w:t>T</w:t>
      </w:r>
      <w:r w:rsidRPr="004D55DA">
        <w:rPr>
          <w:i/>
          <w:lang w:val="en-US"/>
        </w:rPr>
        <w:t xml:space="preserve"> case of container ports</w:t>
      </w:r>
      <w:r w:rsidRPr="004D55DA">
        <w:rPr>
          <w:lang w:val="en-US"/>
        </w:rPr>
        <w:t xml:space="preserve">. </w:t>
      </w:r>
      <w:r w:rsidRPr="004D55DA">
        <w:t>124, ANPEC - Associação Nacional dos Centros de Pósgraduação em Economia, Brazilian Association of Graduate Programs in Economics.</w:t>
      </w:r>
    </w:p>
    <w:p w:rsidR="00104A12" w:rsidRPr="004D55DA" w:rsidRDefault="00104A12" w:rsidP="007F7964">
      <w:pPr>
        <w:spacing w:before="100"/>
        <w:jc w:val="both"/>
        <w:rPr>
          <w:lang w:val="en-US"/>
        </w:rPr>
      </w:pPr>
      <w:r w:rsidRPr="004D55DA">
        <w:t xml:space="preserve">Hesse, M. and Rodrigue, J. P. (2004). </w:t>
      </w:r>
      <w:hyperlink r:id="rId73" w:history="1">
        <w:r w:rsidRPr="004D55DA">
          <w:rPr>
            <w:lang w:val="en-US"/>
          </w:rPr>
          <w:t>The transport geography of logistics and freight distribution</w:t>
        </w:r>
      </w:hyperlink>
      <w:r w:rsidRPr="004D55DA">
        <w:rPr>
          <w:lang w:val="en-US"/>
        </w:rPr>
        <w:t xml:space="preserve">. </w:t>
      </w:r>
      <w:r w:rsidRPr="004D55DA">
        <w:rPr>
          <w:i/>
          <w:lang w:val="en-US"/>
        </w:rPr>
        <w:t>Journal of Transport Geography</w:t>
      </w:r>
      <w:r w:rsidRPr="004D55DA">
        <w:rPr>
          <w:lang w:val="en-US"/>
        </w:rPr>
        <w:t>, 12(3), 171-184.</w:t>
      </w:r>
    </w:p>
    <w:p w:rsidR="00104A12" w:rsidRPr="004D55DA" w:rsidRDefault="00104A12" w:rsidP="007F7964">
      <w:pPr>
        <w:spacing w:before="100"/>
        <w:jc w:val="both"/>
        <w:rPr>
          <w:lang w:val="en-US"/>
        </w:rPr>
      </w:pPr>
      <w:r w:rsidRPr="004D55DA">
        <w:rPr>
          <w:lang w:val="en-US"/>
        </w:rPr>
        <w:t>Hoffmann, J. (1998). Concentration in liner shipping: its causes and impacts for ports and shipping services in developing regions. Santiago: ECLAC.</w:t>
      </w:r>
    </w:p>
    <w:p w:rsidR="00104A12" w:rsidRPr="004D55DA" w:rsidRDefault="00104A12" w:rsidP="007F7964">
      <w:pPr>
        <w:spacing w:before="100"/>
        <w:jc w:val="both"/>
        <w:rPr>
          <w:lang w:val="en-US"/>
        </w:rPr>
      </w:pPr>
      <w:r w:rsidRPr="004D55DA">
        <w:rPr>
          <w:lang w:val="en-US"/>
        </w:rPr>
        <w:t xml:space="preserve">Hung, S., Lu, W. and Wang, T. (2010). Benchmarking the operating efficiency of Asia container ports. </w:t>
      </w:r>
      <w:r w:rsidRPr="004D55DA">
        <w:rPr>
          <w:i/>
          <w:lang w:val="en-US"/>
        </w:rPr>
        <w:t>European Journal of Operational Research</w:t>
      </w:r>
      <w:r w:rsidRPr="004D55DA">
        <w:rPr>
          <w:lang w:val="en-US"/>
        </w:rPr>
        <w:t>, 203, 706–713.</w:t>
      </w:r>
    </w:p>
    <w:p w:rsidR="00104A12" w:rsidRPr="004D55DA" w:rsidRDefault="00104A12" w:rsidP="007F7964">
      <w:pPr>
        <w:spacing w:before="100"/>
        <w:jc w:val="both"/>
        <w:rPr>
          <w:lang w:val="en-US"/>
        </w:rPr>
      </w:pPr>
      <w:r w:rsidRPr="004D55DA">
        <w:rPr>
          <w:lang w:val="en-US"/>
        </w:rPr>
        <w:t xml:space="preserve">Juang, Y., Roe, M. (2010). Study on Success Factors of Development Strategies for Intermodal Freight Transport Systems. </w:t>
      </w:r>
      <w:r w:rsidRPr="004D55DA">
        <w:rPr>
          <w:i/>
          <w:lang w:val="en-US"/>
        </w:rPr>
        <w:t>Journal of the Eastern Asia Society for Transportation Studies</w:t>
      </w:r>
      <w:r w:rsidRPr="004D55DA">
        <w:rPr>
          <w:lang w:val="en-US"/>
        </w:rPr>
        <w:t xml:space="preserve">, 8. </w:t>
      </w:r>
    </w:p>
    <w:p w:rsidR="00104A12" w:rsidRPr="004D55DA" w:rsidRDefault="00104A12" w:rsidP="007F7964">
      <w:pPr>
        <w:spacing w:before="100"/>
        <w:jc w:val="both"/>
        <w:rPr>
          <w:lang w:val="en-US"/>
        </w:rPr>
      </w:pPr>
      <w:r w:rsidRPr="004D55DA">
        <w:rPr>
          <w:lang w:val="en-US"/>
        </w:rPr>
        <w:t xml:space="preserve">Kent, P. and Ashar, A. (2001). Port competition regulation: a tool for monitoring for anti-competitive behaviour. </w:t>
      </w:r>
      <w:r w:rsidRPr="004D55DA">
        <w:rPr>
          <w:i/>
          <w:lang w:val="en-US"/>
        </w:rPr>
        <w:t>International Journal of Maritime Economics</w:t>
      </w:r>
      <w:r w:rsidRPr="004D55DA">
        <w:rPr>
          <w:lang w:val="en-US"/>
        </w:rPr>
        <w:t>, 3, 27-51.</w:t>
      </w:r>
    </w:p>
    <w:p w:rsidR="00104A12" w:rsidRPr="004D55DA" w:rsidRDefault="00104A12" w:rsidP="007F7964">
      <w:pPr>
        <w:spacing w:before="100"/>
        <w:jc w:val="both"/>
        <w:rPr>
          <w:lang w:val="en-GB"/>
        </w:rPr>
      </w:pPr>
      <w:r w:rsidRPr="004D55DA">
        <w:rPr>
          <w:lang w:val="en-GB"/>
        </w:rPr>
        <w:t xml:space="preserve">Kerlinger, F. N. (1980). Analysis of covariance structure: tests of criteria1 referents theory. </w:t>
      </w:r>
      <w:r w:rsidRPr="004D55DA">
        <w:rPr>
          <w:i/>
          <w:lang w:val="en-GB"/>
        </w:rPr>
        <w:t>Multivariate Behavioral Research</w:t>
      </w:r>
      <w:r w:rsidRPr="004D55DA">
        <w:rPr>
          <w:lang w:val="en-GB"/>
        </w:rPr>
        <w:t>, 15, 403-422.</w:t>
      </w:r>
    </w:p>
    <w:p w:rsidR="00104A12" w:rsidRPr="004D55DA" w:rsidRDefault="00104A12" w:rsidP="007F7964">
      <w:pPr>
        <w:spacing w:before="100"/>
        <w:jc w:val="both"/>
        <w:rPr>
          <w:lang w:val="en-US"/>
        </w:rPr>
      </w:pPr>
      <w:r w:rsidRPr="004D55DA">
        <w:rPr>
          <w:lang w:val="en-US"/>
        </w:rPr>
        <w:t xml:space="preserve">Kim, M. and Sachish, A. (1986). </w:t>
      </w:r>
      <w:hyperlink r:id="rId74" w:history="1">
        <w:r w:rsidRPr="004D55DA">
          <w:rPr>
            <w:lang w:val="en-US"/>
          </w:rPr>
          <w:t>The structure of production, technical change and productivity in a port</w:t>
        </w:r>
      </w:hyperlink>
      <w:r w:rsidRPr="004D55DA">
        <w:rPr>
          <w:lang w:val="en-US"/>
        </w:rPr>
        <w:t xml:space="preserve">. </w:t>
      </w:r>
      <w:hyperlink r:id="rId75" w:history="1">
        <w:r w:rsidRPr="004D55DA">
          <w:rPr>
            <w:i/>
            <w:lang w:val="en-US"/>
          </w:rPr>
          <w:t>Journal of Industrial Economics</w:t>
        </w:r>
      </w:hyperlink>
      <w:r w:rsidRPr="004D55DA">
        <w:rPr>
          <w:lang w:val="en-US"/>
        </w:rPr>
        <w:t>, 35(2), 209-230.</w:t>
      </w:r>
    </w:p>
    <w:p w:rsidR="00104A12" w:rsidRPr="004D55DA" w:rsidRDefault="00104A12" w:rsidP="007F7964">
      <w:pPr>
        <w:spacing w:before="100"/>
        <w:jc w:val="both"/>
        <w:rPr>
          <w:lang w:val="en-US"/>
        </w:rPr>
      </w:pPr>
      <w:r w:rsidRPr="004D55DA">
        <w:rPr>
          <w:lang w:val="en-US"/>
        </w:rPr>
        <w:lastRenderedPageBreak/>
        <w:t xml:space="preserve">Kline, R. </w:t>
      </w:r>
      <w:r w:rsidR="008B28F4" w:rsidRPr="004D55DA">
        <w:rPr>
          <w:lang w:val="en-US"/>
        </w:rPr>
        <w:t>B. (2005).</w:t>
      </w:r>
      <w:r w:rsidRPr="004D55DA">
        <w:rPr>
          <w:lang w:val="en-US"/>
        </w:rPr>
        <w:t xml:space="preserve"> </w:t>
      </w:r>
      <w:r w:rsidRPr="004D55DA">
        <w:rPr>
          <w:i/>
          <w:lang w:val="en-US"/>
        </w:rPr>
        <w:t>Principles and Practice of Structural Equation Modeling</w:t>
      </w:r>
      <w:r w:rsidRPr="004D55DA">
        <w:rPr>
          <w:lang w:val="en-US"/>
        </w:rPr>
        <w:t xml:space="preserve"> (2nd Edition ed.). New York: The Guilford Press.</w:t>
      </w:r>
    </w:p>
    <w:p w:rsidR="00104A12" w:rsidRPr="004D55DA" w:rsidRDefault="00104A12" w:rsidP="007F7964">
      <w:pPr>
        <w:spacing w:before="100"/>
        <w:jc w:val="both"/>
        <w:rPr>
          <w:lang w:val="en-US"/>
        </w:rPr>
      </w:pPr>
      <w:r w:rsidRPr="004D55DA">
        <w:rPr>
          <w:lang w:val="en-US"/>
        </w:rPr>
        <w:t xml:space="preserve">Laxe, F.G. (2005). </w:t>
      </w:r>
      <w:r w:rsidRPr="004D55DA">
        <w:rPr>
          <w:i/>
          <w:lang w:val="en-US"/>
        </w:rPr>
        <w:t>A Port Competitiveness indicator through the multicriteria decision method promethee, a pratical implementation to the spanish port system</w:t>
      </w:r>
      <w:r w:rsidRPr="004D55DA">
        <w:rPr>
          <w:lang w:val="en-US"/>
        </w:rPr>
        <w:t>. Spanish Ministery of Public Works.</w:t>
      </w:r>
    </w:p>
    <w:p w:rsidR="00104A12" w:rsidRPr="004D55DA" w:rsidRDefault="00104A12" w:rsidP="007F7964">
      <w:pPr>
        <w:spacing w:before="100"/>
        <w:jc w:val="both"/>
        <w:rPr>
          <w:lang w:val="en-US"/>
        </w:rPr>
      </w:pPr>
      <w:r w:rsidRPr="004D55DA">
        <w:rPr>
          <w:lang w:val="en-US"/>
        </w:rPr>
        <w:t xml:space="preserve">Liu W., Xu H. and Zhao X. (2009). Agile service oriented shipping companies in the container terminal. </w:t>
      </w:r>
      <w:r w:rsidRPr="004D55DA">
        <w:rPr>
          <w:i/>
          <w:lang w:val="en-US"/>
        </w:rPr>
        <w:t>Transportation</w:t>
      </w:r>
      <w:r w:rsidRPr="004D55DA">
        <w:rPr>
          <w:lang w:val="en-US"/>
        </w:rPr>
        <w:t>, 24(2), 143-153.</w:t>
      </w:r>
    </w:p>
    <w:p w:rsidR="00104A12" w:rsidRPr="004D55DA" w:rsidRDefault="00104A12" w:rsidP="007F7964">
      <w:pPr>
        <w:spacing w:before="100"/>
        <w:jc w:val="both"/>
        <w:rPr>
          <w:lang w:val="en-US"/>
        </w:rPr>
      </w:pPr>
      <w:r w:rsidRPr="004D55DA">
        <w:rPr>
          <w:lang w:val="en-US"/>
        </w:rPr>
        <w:t xml:space="preserve">Liu, Z. (1995). </w:t>
      </w:r>
      <w:r w:rsidRPr="004D55DA">
        <w:rPr>
          <w:i/>
          <w:lang w:val="en-US"/>
        </w:rPr>
        <w:t>The comparative performance of public and private enterprises: the case of british ports</w:t>
      </w:r>
      <w:r w:rsidRPr="004D55DA">
        <w:rPr>
          <w:lang w:val="en-US"/>
        </w:rPr>
        <w:t xml:space="preserve">. </w:t>
      </w:r>
      <w:hyperlink r:id="rId76" w:history="1">
        <w:r w:rsidRPr="004D55DA">
          <w:rPr>
            <w:lang w:val="en-US"/>
          </w:rPr>
          <w:t>The London School of Economics and Political Science</w:t>
        </w:r>
      </w:hyperlink>
      <w:r w:rsidRPr="004D55DA">
        <w:rPr>
          <w:lang w:val="en-US"/>
        </w:rPr>
        <w:t xml:space="preserve"> and </w:t>
      </w:r>
      <w:hyperlink r:id="rId77" w:history="1">
        <w:r w:rsidRPr="004D55DA">
          <w:rPr>
            <w:lang w:val="en-US"/>
          </w:rPr>
          <w:t>University of Bath</w:t>
        </w:r>
      </w:hyperlink>
      <w:r w:rsidRPr="004D55DA">
        <w:rPr>
          <w:lang w:val="en-US"/>
        </w:rPr>
        <w:t>.</w:t>
      </w:r>
    </w:p>
    <w:p w:rsidR="00104A12" w:rsidRPr="004D55DA" w:rsidRDefault="00104A12" w:rsidP="007F7964">
      <w:pPr>
        <w:spacing w:before="100"/>
        <w:jc w:val="both"/>
        <w:rPr>
          <w:lang w:val="en-US"/>
        </w:rPr>
      </w:pPr>
      <w:r w:rsidRPr="004D55DA">
        <w:rPr>
          <w:lang w:val="en-US"/>
        </w:rPr>
        <w:t xml:space="preserve">Lun, V. and Cariou, P. (2009). An analytical framework for managing container terminals. </w:t>
      </w:r>
      <w:r w:rsidRPr="004D55DA">
        <w:rPr>
          <w:i/>
          <w:lang w:val="en-US"/>
        </w:rPr>
        <w:t>International Journal of Shipping and Transport Logistics</w:t>
      </w:r>
      <w:r w:rsidRPr="004D55DA">
        <w:rPr>
          <w:lang w:val="en-US"/>
        </w:rPr>
        <w:t>, 1(4), 419.</w:t>
      </w:r>
    </w:p>
    <w:p w:rsidR="00104A12" w:rsidRPr="004D55DA" w:rsidRDefault="00104A12" w:rsidP="007F7964">
      <w:pPr>
        <w:spacing w:before="100"/>
        <w:jc w:val="both"/>
        <w:rPr>
          <w:lang w:val="en-US"/>
        </w:rPr>
      </w:pPr>
      <w:r w:rsidRPr="004D55DA">
        <w:rPr>
          <w:lang w:val="en-US"/>
        </w:rPr>
        <w:t xml:space="preserve">Magala, M. and Sammons, A. (2008). New approach to port choice modelling. </w:t>
      </w:r>
      <w:r w:rsidRPr="004D55DA">
        <w:rPr>
          <w:i/>
          <w:lang w:val="en-US"/>
        </w:rPr>
        <w:t>Maritime Economics and Logistics</w:t>
      </w:r>
      <w:r w:rsidRPr="004D55DA">
        <w:rPr>
          <w:lang w:val="en-US"/>
        </w:rPr>
        <w:t>, 10, 9–34.</w:t>
      </w:r>
    </w:p>
    <w:p w:rsidR="00104A12" w:rsidRPr="004D55DA" w:rsidRDefault="00104A12" w:rsidP="007F7964">
      <w:pPr>
        <w:spacing w:before="100"/>
        <w:jc w:val="both"/>
        <w:rPr>
          <w:lang w:val="en-US"/>
        </w:rPr>
      </w:pPr>
      <w:r w:rsidRPr="004D55DA">
        <w:rPr>
          <w:lang w:val="en-US"/>
        </w:rPr>
        <w:t xml:space="preserve">Marlow, P. and Paixão, A. C. (2003). Measuring lean ports performance. </w:t>
      </w:r>
      <w:r w:rsidRPr="004D55DA">
        <w:rPr>
          <w:i/>
          <w:lang w:val="en-US"/>
        </w:rPr>
        <w:t>International Journal of Transport Management</w:t>
      </w:r>
      <w:r w:rsidRPr="004D55DA">
        <w:rPr>
          <w:lang w:val="en-US"/>
        </w:rPr>
        <w:t>, 1, 189–202.</w:t>
      </w:r>
    </w:p>
    <w:p w:rsidR="00104A12" w:rsidRPr="004D55DA" w:rsidRDefault="00104A12" w:rsidP="007F7964">
      <w:pPr>
        <w:spacing w:before="100"/>
        <w:jc w:val="both"/>
        <w:rPr>
          <w:lang w:val="en-US"/>
        </w:rPr>
      </w:pPr>
      <w:r w:rsidRPr="004D55DA">
        <w:t xml:space="preserve">Maroco, J. (2010). </w:t>
      </w:r>
      <w:r w:rsidRPr="004D55DA">
        <w:rPr>
          <w:i/>
        </w:rPr>
        <w:t>Análise de Equações Estruturais.</w:t>
      </w:r>
      <w:r w:rsidRPr="004D55DA">
        <w:t xml:space="preserve"> </w:t>
      </w:r>
      <w:r w:rsidRPr="004D55DA">
        <w:rPr>
          <w:lang w:val="en-US"/>
        </w:rPr>
        <w:t>Lisboa: ReportNumber.</w:t>
      </w:r>
    </w:p>
    <w:p w:rsidR="00104A12" w:rsidRPr="004D55DA" w:rsidRDefault="00104A12" w:rsidP="007F7964">
      <w:pPr>
        <w:spacing w:before="100"/>
        <w:jc w:val="both"/>
        <w:rPr>
          <w:lang w:val="en-US"/>
        </w:rPr>
      </w:pPr>
      <w:r w:rsidRPr="004D55DA">
        <w:rPr>
          <w:lang w:val="en-US"/>
        </w:rPr>
        <w:t xml:space="preserve">Martin, J. and Thomas, B. J. (2001). The container terminal community, </w:t>
      </w:r>
      <w:r w:rsidRPr="004D55DA">
        <w:rPr>
          <w:i/>
          <w:lang w:val="en-US"/>
        </w:rPr>
        <w:t>Maritime Policy and Management</w:t>
      </w:r>
      <w:r w:rsidRPr="004D55DA">
        <w:rPr>
          <w:lang w:val="en-US"/>
        </w:rPr>
        <w:t>, 28(3), 279-292.</w:t>
      </w:r>
    </w:p>
    <w:p w:rsidR="00104A12" w:rsidRPr="004D55DA" w:rsidRDefault="00104A12" w:rsidP="007F7964">
      <w:pPr>
        <w:spacing w:before="100"/>
        <w:jc w:val="both"/>
        <w:rPr>
          <w:lang w:val="en-US"/>
        </w:rPr>
      </w:pPr>
      <w:r w:rsidRPr="004D55DA">
        <w:t xml:space="preserve">Martinez, B. E., Diaz, A. R., Navarro, I. M. and Ravelomesa, T. (1999). </w:t>
      </w:r>
      <w:r w:rsidRPr="004D55DA">
        <w:rPr>
          <w:lang w:val="en-US"/>
        </w:rPr>
        <w:t>A study of the efficiency of spanish port authorities using data envelopment analysis</w:t>
      </w:r>
      <w:r w:rsidRPr="004D55DA">
        <w:rPr>
          <w:i/>
          <w:lang w:val="en-US"/>
        </w:rPr>
        <w:t>. International Journal of Transport Economics</w:t>
      </w:r>
      <w:r w:rsidRPr="004D55DA">
        <w:rPr>
          <w:lang w:val="en-US"/>
        </w:rPr>
        <w:t>, 26 (2), 237-253.</w:t>
      </w:r>
    </w:p>
    <w:p w:rsidR="00104A12" w:rsidRPr="004D55DA" w:rsidRDefault="00104A12" w:rsidP="007F7964">
      <w:pPr>
        <w:spacing w:before="100"/>
        <w:jc w:val="both"/>
      </w:pPr>
      <w:r w:rsidRPr="004D55DA">
        <w:rPr>
          <w:lang w:val="en-US"/>
        </w:rPr>
        <w:t xml:space="preserve">Medda, F. and Carbonaro, G. (2007). Growth of container seaborne traffic in the Mediterranean basin: Outlook and policy implications for port development. </w:t>
      </w:r>
      <w:r w:rsidRPr="004D55DA">
        <w:rPr>
          <w:i/>
        </w:rPr>
        <w:t>Transport Reviews</w:t>
      </w:r>
      <w:r w:rsidRPr="004D55DA">
        <w:t xml:space="preserve">, 27, 573-587. </w:t>
      </w:r>
    </w:p>
    <w:p w:rsidR="00104A12" w:rsidRPr="004D55DA" w:rsidRDefault="00104A12" w:rsidP="007F7964">
      <w:pPr>
        <w:spacing w:before="100"/>
        <w:jc w:val="both"/>
        <w:rPr>
          <w:rFonts w:cs="MS Sans Serif"/>
          <w:lang w:val="en-US"/>
        </w:rPr>
      </w:pPr>
      <w:r w:rsidRPr="004D55DA">
        <w:rPr>
          <w:rFonts w:cs="MS Sans Serif"/>
        </w:rPr>
        <w:t xml:space="preserve">Moita, M. H. (1995). </w:t>
      </w:r>
      <w:r w:rsidRPr="004D55DA">
        <w:rPr>
          <w:rFonts w:cs="MS Sans Serif"/>
          <w:i/>
        </w:rPr>
        <w:t>Medindo a Eficiência Relativa de Escolas Municipais da Cidade do Rio Grande - RS Usando a Abordagem DEA</w:t>
      </w:r>
      <w:r w:rsidRPr="004D55DA">
        <w:rPr>
          <w:rFonts w:cs="MS Sans Serif"/>
        </w:rPr>
        <w:t xml:space="preserve">. </w:t>
      </w:r>
      <w:r w:rsidRPr="004D55DA">
        <w:rPr>
          <w:rFonts w:cs="MS Sans Serif"/>
          <w:lang w:val="en-US"/>
        </w:rPr>
        <w:t>Florianópolis.</w:t>
      </w:r>
      <w:r w:rsidR="008B28F4" w:rsidRPr="004D55DA">
        <w:rPr>
          <w:rFonts w:cs="MS Sans Serif"/>
          <w:lang w:val="en-US"/>
        </w:rPr>
        <w:t xml:space="preserve"> UFSC.</w:t>
      </w:r>
    </w:p>
    <w:p w:rsidR="00653DC6" w:rsidRPr="004D55DA" w:rsidRDefault="00653DC6" w:rsidP="007F7964">
      <w:pPr>
        <w:spacing w:before="100"/>
        <w:jc w:val="both"/>
        <w:rPr>
          <w:lang w:val="en-GB"/>
        </w:rPr>
      </w:pPr>
      <w:r w:rsidRPr="004D55DA">
        <w:rPr>
          <w:lang w:val="en-GB"/>
        </w:rPr>
        <w:t xml:space="preserve">Nachtigall, C., Kroehne, U., Funke, F. and Steyer, R. (2003). (Why) Should We Use SEM? </w:t>
      </w:r>
    </w:p>
    <w:p w:rsidR="00653DC6" w:rsidRPr="004D55DA" w:rsidRDefault="00653DC6" w:rsidP="007F7964">
      <w:pPr>
        <w:spacing w:before="100"/>
        <w:jc w:val="both"/>
        <w:rPr>
          <w:lang w:val="en-GB"/>
        </w:rPr>
      </w:pPr>
      <w:r w:rsidRPr="004D55DA">
        <w:rPr>
          <w:lang w:val="en-GB"/>
        </w:rPr>
        <w:t xml:space="preserve">Pros and Cons of Structural Equation Modeling. </w:t>
      </w:r>
      <w:r w:rsidRPr="004D55DA">
        <w:rPr>
          <w:i/>
          <w:lang w:val="en-GB"/>
        </w:rPr>
        <w:t>Methods of Psychological Research Online</w:t>
      </w:r>
      <w:r w:rsidRPr="004D55DA">
        <w:rPr>
          <w:lang w:val="en-GB"/>
        </w:rPr>
        <w:t>, 8 (2), 1-22.</w:t>
      </w:r>
    </w:p>
    <w:p w:rsidR="00104A12" w:rsidRPr="004D55DA" w:rsidRDefault="00104A12" w:rsidP="007F7964">
      <w:pPr>
        <w:spacing w:before="100"/>
        <w:jc w:val="both"/>
        <w:rPr>
          <w:lang w:val="en-GB"/>
        </w:rPr>
      </w:pPr>
      <w:r w:rsidRPr="004D55DA">
        <w:rPr>
          <w:lang w:val="en-GB"/>
        </w:rPr>
        <w:t xml:space="preserve">Neter, J., Wasserman, W. and Kutner, M. H. (1985). </w:t>
      </w:r>
      <w:r w:rsidRPr="004D55DA">
        <w:rPr>
          <w:i/>
          <w:lang w:val="en-GB"/>
        </w:rPr>
        <w:t>Applied linear regression models</w:t>
      </w:r>
      <w:r w:rsidRPr="004D55DA">
        <w:rPr>
          <w:lang w:val="en-GB"/>
        </w:rPr>
        <w:t>. Irwin, Illinois.</w:t>
      </w:r>
    </w:p>
    <w:p w:rsidR="00104A12" w:rsidRPr="004D55DA" w:rsidRDefault="00104A12" w:rsidP="007F7964">
      <w:pPr>
        <w:spacing w:before="100"/>
        <w:jc w:val="both"/>
        <w:rPr>
          <w:lang w:val="en-US"/>
        </w:rPr>
      </w:pPr>
      <w:r w:rsidRPr="004D55DA">
        <w:rPr>
          <w:lang w:val="en-US"/>
        </w:rPr>
        <w:t xml:space="preserve">Ng, A. S. and Lee, C. X. (2006). </w:t>
      </w:r>
      <w:r w:rsidRPr="004D55DA">
        <w:rPr>
          <w:i/>
          <w:lang w:val="en-US"/>
        </w:rPr>
        <w:t>Port productivity analysis by using DEA: A case study in Malaysia</w:t>
      </w:r>
      <w:r w:rsidRPr="004D55DA">
        <w:rPr>
          <w:lang w:val="en-US"/>
        </w:rPr>
        <w:t>. Institute of Transport and Logistics Studies, The Australian Key Centre in Transport Management, The University of Sydney, Australia.</w:t>
      </w:r>
    </w:p>
    <w:p w:rsidR="00104A12" w:rsidRPr="004D55DA" w:rsidRDefault="00104A12" w:rsidP="007F7964">
      <w:pPr>
        <w:spacing w:before="100"/>
        <w:jc w:val="both"/>
        <w:rPr>
          <w:lang w:val="en-US"/>
        </w:rPr>
      </w:pPr>
      <w:r w:rsidRPr="004D55DA">
        <w:rPr>
          <w:lang w:val="en-US"/>
        </w:rPr>
        <w:t xml:space="preserve">Notteboom T. (2006). Traffic inequality in seaport systems revisited. </w:t>
      </w:r>
      <w:r w:rsidRPr="004D55DA">
        <w:rPr>
          <w:i/>
          <w:lang w:val="en-US"/>
        </w:rPr>
        <w:t>Journal of Transport Geography</w:t>
      </w:r>
      <w:r w:rsidRPr="004D55DA">
        <w:rPr>
          <w:lang w:val="en-US"/>
        </w:rPr>
        <w:t>, 14(2), 95-108.</w:t>
      </w:r>
    </w:p>
    <w:p w:rsidR="00104A12" w:rsidRPr="004D55DA" w:rsidRDefault="00104A12" w:rsidP="007F7964">
      <w:pPr>
        <w:spacing w:before="100"/>
        <w:jc w:val="both"/>
        <w:rPr>
          <w:lang w:val="en-US"/>
        </w:rPr>
      </w:pPr>
      <w:r w:rsidRPr="004D55DA">
        <w:rPr>
          <w:lang w:val="en-US"/>
        </w:rPr>
        <w:t xml:space="preserve">Notteboom, T. (2004). Container shipping and ports: An overview. </w:t>
      </w:r>
      <w:r w:rsidRPr="004D55DA">
        <w:rPr>
          <w:i/>
          <w:lang w:val="en-US"/>
        </w:rPr>
        <w:t>Review of Network Economics,</w:t>
      </w:r>
      <w:r w:rsidRPr="004D55DA">
        <w:rPr>
          <w:lang w:val="en-US"/>
        </w:rPr>
        <w:t xml:space="preserve"> 3, 86-106.</w:t>
      </w:r>
    </w:p>
    <w:p w:rsidR="00104A12" w:rsidRPr="004D55DA" w:rsidRDefault="00104A12" w:rsidP="007F7964">
      <w:pPr>
        <w:spacing w:before="100"/>
        <w:jc w:val="both"/>
        <w:rPr>
          <w:lang w:val="en-US"/>
        </w:rPr>
      </w:pPr>
      <w:r w:rsidRPr="004D55DA">
        <w:rPr>
          <w:lang w:val="en-US"/>
        </w:rPr>
        <w:t xml:space="preserve">Notteboom, T. (2010). Concentration and the formation of multi-port”gateway” regions in the European container port system: an update. </w:t>
      </w:r>
      <w:r w:rsidRPr="004D55DA">
        <w:rPr>
          <w:i/>
          <w:lang w:val="en-US"/>
        </w:rPr>
        <w:t>Journal of Transport Geography,</w:t>
      </w:r>
      <w:r w:rsidRPr="004D55DA">
        <w:rPr>
          <w:lang w:val="en-US"/>
        </w:rPr>
        <w:t xml:space="preserve"> 18, 567–583.</w:t>
      </w:r>
    </w:p>
    <w:p w:rsidR="00104A12" w:rsidRPr="004D55DA" w:rsidRDefault="00104A12" w:rsidP="007F7964">
      <w:pPr>
        <w:spacing w:before="100"/>
        <w:jc w:val="both"/>
        <w:rPr>
          <w:lang w:val="en-US"/>
        </w:rPr>
      </w:pPr>
      <w:r w:rsidRPr="004D55DA">
        <w:rPr>
          <w:lang w:val="en-US"/>
        </w:rPr>
        <w:t xml:space="preserve">Notteboom, T. (2011). An application of multi-criteria analysis to the location of a container “hub” port in South Africa. </w:t>
      </w:r>
      <w:r w:rsidRPr="004D55DA">
        <w:rPr>
          <w:i/>
          <w:lang w:val="en-US"/>
        </w:rPr>
        <w:t>Maritime Policy and Management</w:t>
      </w:r>
      <w:r w:rsidRPr="004D55DA">
        <w:rPr>
          <w:lang w:val="en-US"/>
        </w:rPr>
        <w:t>, 38(1), 51–79.</w:t>
      </w:r>
    </w:p>
    <w:p w:rsidR="00104A12" w:rsidRPr="004D55DA" w:rsidRDefault="00104A12" w:rsidP="007F7964">
      <w:pPr>
        <w:spacing w:before="100"/>
        <w:jc w:val="both"/>
        <w:rPr>
          <w:lang w:val="en-US"/>
        </w:rPr>
      </w:pPr>
      <w:r w:rsidRPr="004D55DA">
        <w:rPr>
          <w:lang w:val="en-US"/>
        </w:rPr>
        <w:lastRenderedPageBreak/>
        <w:t xml:space="preserve">Notteboom, T. and Rodrigue, J. P. (2005). Port Regionalization: Towards a New Phase in Port Development. </w:t>
      </w:r>
      <w:r w:rsidRPr="004D55DA">
        <w:rPr>
          <w:i/>
          <w:lang w:val="en-US"/>
        </w:rPr>
        <w:t>Maritime Policy and Management</w:t>
      </w:r>
      <w:r w:rsidRPr="004D55DA">
        <w:rPr>
          <w:lang w:val="en-US"/>
        </w:rPr>
        <w:t>, 32(3), 297-313.</w:t>
      </w:r>
    </w:p>
    <w:p w:rsidR="00104A12" w:rsidRPr="004D55DA" w:rsidRDefault="00104A12" w:rsidP="007F7964">
      <w:pPr>
        <w:spacing w:before="100"/>
        <w:jc w:val="both"/>
        <w:rPr>
          <w:lang w:val="en-US"/>
        </w:rPr>
      </w:pPr>
      <w:r w:rsidRPr="004D55DA">
        <w:rPr>
          <w:lang w:val="en-US"/>
        </w:rPr>
        <w:t xml:space="preserve">Notteboom, T. and Rodrigue, J. P. (2008). Containerisation, box logistics and global supply chains: the integration of ports and liner shipping networks. </w:t>
      </w:r>
      <w:r w:rsidRPr="004D55DA">
        <w:rPr>
          <w:i/>
          <w:lang w:val="en-US"/>
        </w:rPr>
        <w:t>Maritime Economics and Logistics</w:t>
      </w:r>
      <w:r w:rsidRPr="004D55DA">
        <w:rPr>
          <w:lang w:val="en-US"/>
        </w:rPr>
        <w:t>, 10, 152-174.</w:t>
      </w:r>
    </w:p>
    <w:p w:rsidR="00104A12" w:rsidRPr="004D55DA" w:rsidRDefault="00104A12" w:rsidP="007F7964">
      <w:pPr>
        <w:spacing w:before="100"/>
        <w:jc w:val="both"/>
        <w:rPr>
          <w:lang w:val="en-US"/>
        </w:rPr>
      </w:pPr>
      <w:r w:rsidRPr="004D55DA">
        <w:rPr>
          <w:lang w:val="en-US"/>
        </w:rPr>
        <w:t xml:space="preserve">Notteboom, T. and Rodrigue, J. P. (2009). The future of containerization: Perspectives from maritime and inland freight distribution. </w:t>
      </w:r>
      <w:r w:rsidRPr="004D55DA">
        <w:rPr>
          <w:i/>
          <w:lang w:val="en-US"/>
        </w:rPr>
        <w:t xml:space="preserve">Geojournal, </w:t>
      </w:r>
      <w:r w:rsidRPr="004D55DA">
        <w:rPr>
          <w:lang w:val="en-US"/>
        </w:rPr>
        <w:t>74(1), 7-22.</w:t>
      </w:r>
    </w:p>
    <w:p w:rsidR="00104A12" w:rsidRPr="004D55DA" w:rsidRDefault="00104A12" w:rsidP="007F7964">
      <w:pPr>
        <w:spacing w:before="100"/>
        <w:jc w:val="both"/>
        <w:rPr>
          <w:lang w:val="en-US"/>
        </w:rPr>
      </w:pPr>
      <w:r w:rsidRPr="004D55DA">
        <w:rPr>
          <w:lang w:val="en-US"/>
        </w:rPr>
        <w:t xml:space="preserve">Notteboom, T. and Rodrigue, J. P. (2011). Global networks in the container terminal operating industry Part 2: The future direction of terminal networks. </w:t>
      </w:r>
      <w:r w:rsidRPr="004D55DA">
        <w:rPr>
          <w:i/>
          <w:lang w:val="en-US"/>
        </w:rPr>
        <w:t>Port Technology International</w:t>
      </w:r>
      <w:r w:rsidRPr="004D55DA">
        <w:rPr>
          <w:lang w:val="en-US"/>
        </w:rPr>
        <w:t>, 50, 03-2.</w:t>
      </w:r>
    </w:p>
    <w:p w:rsidR="00104A12" w:rsidRPr="004D55DA" w:rsidRDefault="00104A12" w:rsidP="007F7964">
      <w:pPr>
        <w:spacing w:before="100"/>
        <w:jc w:val="both"/>
        <w:rPr>
          <w:lang w:val="en-US"/>
        </w:rPr>
      </w:pPr>
      <w:r w:rsidRPr="004D55DA">
        <w:rPr>
          <w:lang w:val="en-US"/>
        </w:rPr>
        <w:t xml:space="preserve">Notteboom, T. and Winkelmans, W. (2001). Structural changes in logistics: </w:t>
      </w:r>
      <w:r w:rsidR="008B28F4" w:rsidRPr="004D55DA">
        <w:rPr>
          <w:lang w:val="en-US"/>
        </w:rPr>
        <w:t>H</w:t>
      </w:r>
      <w:r w:rsidRPr="004D55DA">
        <w:rPr>
          <w:lang w:val="en-US"/>
        </w:rPr>
        <w:t xml:space="preserve">ow will port authorities face the challenge?. </w:t>
      </w:r>
      <w:r w:rsidRPr="004D55DA">
        <w:rPr>
          <w:i/>
          <w:lang w:val="en-US"/>
        </w:rPr>
        <w:t>Maritime Policy and Management</w:t>
      </w:r>
      <w:r w:rsidRPr="004D55DA">
        <w:rPr>
          <w:lang w:val="en-US"/>
        </w:rPr>
        <w:t>, 28, 71-89.</w:t>
      </w:r>
    </w:p>
    <w:p w:rsidR="00104A12" w:rsidRPr="004D55DA" w:rsidRDefault="00104A12" w:rsidP="007F7964">
      <w:pPr>
        <w:spacing w:before="100"/>
        <w:jc w:val="both"/>
        <w:rPr>
          <w:lang w:val="en-US"/>
        </w:rPr>
      </w:pPr>
      <w:r w:rsidRPr="004D55DA">
        <w:rPr>
          <w:lang w:val="en-US"/>
        </w:rPr>
        <w:t xml:space="preserve">Notteboom, T. and Winkelmans, W. (2004). </w:t>
      </w:r>
      <w:r w:rsidRPr="004D55DA">
        <w:rPr>
          <w:i/>
          <w:lang w:val="en-US"/>
        </w:rPr>
        <w:t>Factual report – work package 1: Overall market dynamics and their influence on the port sector</w:t>
      </w:r>
      <w:r w:rsidRPr="004D55DA">
        <w:rPr>
          <w:lang w:val="en-US"/>
        </w:rPr>
        <w:t>. Study commissioned by the European Sea Ports Organisation (ESPO).</w:t>
      </w:r>
    </w:p>
    <w:p w:rsidR="00104A12" w:rsidRPr="004D55DA" w:rsidRDefault="00104A12" w:rsidP="007F7964">
      <w:pPr>
        <w:spacing w:before="100"/>
        <w:jc w:val="both"/>
        <w:rPr>
          <w:lang w:val="en-US"/>
        </w:rPr>
      </w:pPr>
      <w:r w:rsidRPr="004D55DA">
        <w:rPr>
          <w:lang w:val="en-US"/>
        </w:rPr>
        <w:t xml:space="preserve">Notteboom, T., </w:t>
      </w:r>
      <w:hyperlink r:id="rId78" w:history="1">
        <w:r w:rsidRPr="004D55DA">
          <w:rPr>
            <w:lang w:val="en-US"/>
          </w:rPr>
          <w:t>Coeck, C.</w:t>
        </w:r>
      </w:hyperlink>
      <w:r w:rsidRPr="004D55DA">
        <w:rPr>
          <w:lang w:val="en-US"/>
        </w:rPr>
        <w:t xml:space="preserve"> and </w:t>
      </w:r>
      <w:hyperlink r:id="rId79" w:history="1">
        <w:r w:rsidRPr="004D55DA">
          <w:rPr>
            <w:lang w:val="en-US"/>
          </w:rPr>
          <w:t>Van Den Broeck, J.</w:t>
        </w:r>
      </w:hyperlink>
      <w:r w:rsidRPr="004D55DA">
        <w:rPr>
          <w:lang w:val="en-US"/>
        </w:rPr>
        <w:t xml:space="preserve"> (2000). Measuring and explaining the relative efficiency of container terminals by means of bayesian stochastic frontiers models. </w:t>
      </w:r>
      <w:r w:rsidRPr="004D55DA">
        <w:rPr>
          <w:i/>
          <w:lang w:val="en-US"/>
        </w:rPr>
        <w:t>International journal of maritime economics</w:t>
      </w:r>
      <w:r w:rsidRPr="004D55DA">
        <w:rPr>
          <w:lang w:val="en-US"/>
        </w:rPr>
        <w:t>, 2(2), 83-106.</w:t>
      </w:r>
    </w:p>
    <w:p w:rsidR="00104A12" w:rsidRPr="004D55DA" w:rsidRDefault="00104A12" w:rsidP="007F7964">
      <w:pPr>
        <w:spacing w:before="100"/>
        <w:jc w:val="both"/>
        <w:rPr>
          <w:lang w:val="en-US"/>
        </w:rPr>
      </w:pPr>
      <w:r w:rsidRPr="004D55DA">
        <w:rPr>
          <w:lang w:val="en-US"/>
        </w:rPr>
        <w:t xml:space="preserve">Onut, S., Tuzkaya, U. and Torun, E. (2011). Selecting container port via a fuzzy ANP-based approach: A case study in the Marmara Region, Turkey. </w:t>
      </w:r>
      <w:r w:rsidRPr="004D55DA">
        <w:rPr>
          <w:i/>
          <w:lang w:val="en-US"/>
        </w:rPr>
        <w:t>Transport Policy</w:t>
      </w:r>
      <w:r w:rsidRPr="004D55DA">
        <w:rPr>
          <w:lang w:val="en-US"/>
        </w:rPr>
        <w:t>, 18, 182–193.</w:t>
      </w:r>
    </w:p>
    <w:p w:rsidR="00104A12" w:rsidRPr="004D55DA" w:rsidRDefault="00104A12" w:rsidP="007F7964">
      <w:pPr>
        <w:spacing w:before="100"/>
        <w:jc w:val="both"/>
        <w:rPr>
          <w:lang w:val="en-US"/>
        </w:rPr>
      </w:pPr>
      <w:r w:rsidRPr="004D55DA">
        <w:rPr>
          <w:lang w:val="en-US"/>
        </w:rPr>
        <w:t xml:space="preserve">Pallis A. A., Vitsounis, T. K., de Langen, P. W. and Notteboom, T. (2011). Port economics, policy and management - Content classification and Survey. </w:t>
      </w:r>
      <w:r w:rsidRPr="004D55DA">
        <w:rPr>
          <w:i/>
          <w:lang w:val="en-US"/>
        </w:rPr>
        <w:t>Transport Reviews</w:t>
      </w:r>
      <w:r w:rsidRPr="004D55DA">
        <w:rPr>
          <w:lang w:val="en-US"/>
        </w:rPr>
        <w:t>, 31(4), 445-471.</w:t>
      </w:r>
    </w:p>
    <w:p w:rsidR="00104A12" w:rsidRPr="004D55DA" w:rsidRDefault="00104A12" w:rsidP="007F7964">
      <w:pPr>
        <w:spacing w:before="100"/>
        <w:jc w:val="both"/>
        <w:rPr>
          <w:lang w:val="en-US"/>
        </w:rPr>
      </w:pPr>
      <w:r w:rsidRPr="004D55DA">
        <w:rPr>
          <w:lang w:val="en-US"/>
        </w:rPr>
        <w:t xml:space="preserve">Panayides, P. M. and Song, D. W. (2009). Port integration in global supply chains: measures and implications for maritime logistics. </w:t>
      </w:r>
      <w:r w:rsidRPr="004D55DA">
        <w:rPr>
          <w:i/>
          <w:lang w:val="en-US"/>
        </w:rPr>
        <w:t>International Journal of Logistics Research and Applications</w:t>
      </w:r>
      <w:r w:rsidRPr="004D55DA">
        <w:rPr>
          <w:lang w:val="en-US"/>
        </w:rPr>
        <w:t>, 12(2), 133 — 145.</w:t>
      </w:r>
    </w:p>
    <w:p w:rsidR="00104A12" w:rsidRPr="004D55DA" w:rsidRDefault="00104A12" w:rsidP="007F7964">
      <w:pPr>
        <w:spacing w:before="100"/>
        <w:jc w:val="both"/>
        <w:rPr>
          <w:lang w:val="en-US"/>
        </w:rPr>
      </w:pPr>
      <w:r w:rsidRPr="004D55DA">
        <w:rPr>
          <w:lang w:val="en-US"/>
        </w:rPr>
        <w:t xml:space="preserve">Pando, J., Araujo, A. and Maqueda, F. J. (2005) Marketing management at the world’s major </w:t>
      </w:r>
      <w:r w:rsidR="008B28F4" w:rsidRPr="004D55DA">
        <w:rPr>
          <w:lang w:val="en-US"/>
        </w:rPr>
        <w:t>ports.</w:t>
      </w:r>
      <w:r w:rsidRPr="004D55DA">
        <w:rPr>
          <w:lang w:val="en-US"/>
        </w:rPr>
        <w:t xml:space="preserve"> </w:t>
      </w:r>
      <w:r w:rsidRPr="004D55DA">
        <w:rPr>
          <w:i/>
          <w:lang w:val="en-US"/>
        </w:rPr>
        <w:t>Maritime Policy and Management</w:t>
      </w:r>
      <w:r w:rsidRPr="004D55DA">
        <w:rPr>
          <w:lang w:val="en-US"/>
        </w:rPr>
        <w:t>, 32(2), 67-87.</w:t>
      </w:r>
    </w:p>
    <w:p w:rsidR="00104A12" w:rsidRPr="004D55DA" w:rsidRDefault="00104A12" w:rsidP="007F7964">
      <w:pPr>
        <w:spacing w:before="100"/>
        <w:jc w:val="both"/>
        <w:rPr>
          <w:lang w:val="en-US"/>
        </w:rPr>
      </w:pPr>
      <w:r w:rsidRPr="004D55DA">
        <w:rPr>
          <w:lang w:val="en-US"/>
        </w:rPr>
        <w:t xml:space="preserve">Pardali, A. and Kounoupas, E. (2007). </w:t>
      </w:r>
      <w:r w:rsidRPr="004D55DA">
        <w:rPr>
          <w:i/>
          <w:lang w:val="en-US"/>
        </w:rPr>
        <w:t>The application of marketing strategies in the container seaport market</w:t>
      </w:r>
      <w:r w:rsidRPr="004D55DA">
        <w:rPr>
          <w:lang w:val="en-US"/>
        </w:rPr>
        <w:t>. Proceedings of the 5th International Conference on Maritime Transport and Maritime History, Barcelona.</w:t>
      </w:r>
    </w:p>
    <w:p w:rsidR="00104A12" w:rsidRDefault="00104A12" w:rsidP="007F7964">
      <w:pPr>
        <w:spacing w:before="100"/>
        <w:jc w:val="both"/>
        <w:rPr>
          <w:lang w:val="en-US"/>
        </w:rPr>
      </w:pPr>
      <w:r w:rsidRPr="004D55DA">
        <w:rPr>
          <w:lang w:val="en-US"/>
        </w:rPr>
        <w:t xml:space="preserve">Park, R. K., De, P. (2004). An alternative approach to efficiency measurement of seaports. </w:t>
      </w:r>
      <w:r w:rsidRPr="004D55DA">
        <w:rPr>
          <w:i/>
          <w:lang w:val="en-US"/>
        </w:rPr>
        <w:t>Maritime Economics and Logistics</w:t>
      </w:r>
      <w:r w:rsidRPr="004D55DA">
        <w:rPr>
          <w:lang w:val="en-US"/>
        </w:rPr>
        <w:t>, 6, 53–69.</w:t>
      </w:r>
    </w:p>
    <w:p w:rsidR="005949B1" w:rsidRPr="004D55DA" w:rsidRDefault="00E56916" w:rsidP="007F7964">
      <w:pPr>
        <w:spacing w:before="100"/>
        <w:jc w:val="both"/>
        <w:rPr>
          <w:lang w:val="en-US"/>
        </w:rPr>
      </w:pPr>
      <w:hyperlink r:id="rId80" w:history="1">
        <w:r w:rsidR="005949B1" w:rsidRPr="005949B1">
          <w:rPr>
            <w:lang w:val="en-US"/>
          </w:rPr>
          <w:t>Pearson, K.</w:t>
        </w:r>
      </w:hyperlink>
      <w:r w:rsidR="005949B1" w:rsidRPr="005949B1">
        <w:rPr>
          <w:lang w:val="en-US"/>
        </w:rPr>
        <w:t xml:space="preserve"> (1901). </w:t>
      </w:r>
      <w:hyperlink r:id="rId81" w:history="1">
        <w:r w:rsidR="005949B1" w:rsidRPr="005949B1">
          <w:rPr>
            <w:lang w:val="en-US"/>
          </w:rPr>
          <w:t>On Lines and Planes of Closest Fit to Systems of Points in Space</w:t>
        </w:r>
      </w:hyperlink>
      <w:r w:rsidR="005949B1" w:rsidRPr="005949B1">
        <w:rPr>
          <w:lang w:val="en-US"/>
        </w:rPr>
        <w:t xml:space="preserve">. </w:t>
      </w:r>
      <w:r w:rsidR="005949B1" w:rsidRPr="005949B1">
        <w:rPr>
          <w:i/>
          <w:lang w:val="en-US"/>
        </w:rPr>
        <w:t>Philosophical Magazin</w:t>
      </w:r>
      <w:r w:rsidR="005949B1" w:rsidRPr="005949B1">
        <w:rPr>
          <w:lang w:val="en-US"/>
        </w:rPr>
        <w:t>,</w:t>
      </w:r>
      <w:r w:rsidR="005949B1">
        <w:rPr>
          <w:lang w:val="en-US"/>
        </w:rPr>
        <w:t xml:space="preserve"> </w:t>
      </w:r>
      <w:r w:rsidR="005949B1" w:rsidRPr="005949B1">
        <w:rPr>
          <w:lang w:val="en-US"/>
        </w:rPr>
        <w:t>2</w:t>
      </w:r>
      <w:r w:rsidR="005949B1">
        <w:rPr>
          <w:lang w:val="en-US"/>
        </w:rPr>
        <w:t xml:space="preserve"> (6),</w:t>
      </w:r>
      <w:r w:rsidR="005949B1" w:rsidRPr="005949B1">
        <w:rPr>
          <w:lang w:val="en-US"/>
        </w:rPr>
        <w:t xml:space="preserve"> 559–572.</w:t>
      </w:r>
    </w:p>
    <w:p w:rsidR="00104A12" w:rsidRPr="004D55DA" w:rsidRDefault="00104A12" w:rsidP="007F7964">
      <w:pPr>
        <w:spacing w:before="100"/>
        <w:jc w:val="both"/>
        <w:rPr>
          <w:lang w:val="en-US"/>
        </w:rPr>
      </w:pPr>
      <w:r w:rsidRPr="004D55DA">
        <w:rPr>
          <w:lang w:val="en-US"/>
        </w:rPr>
        <w:t xml:space="preserve">Poitras, G., Tongzon, J. and Li, H. (1996). </w:t>
      </w:r>
      <w:r w:rsidRPr="004D55DA">
        <w:rPr>
          <w:i/>
          <w:lang w:val="en-US"/>
        </w:rPr>
        <w:t>Measuring port efficiency:</w:t>
      </w:r>
      <w:r w:rsidR="00A356B2" w:rsidRPr="004D55DA">
        <w:rPr>
          <w:i/>
          <w:lang w:val="en-US"/>
        </w:rPr>
        <w:t xml:space="preserve"> A</w:t>
      </w:r>
      <w:r w:rsidRPr="004D55DA">
        <w:rPr>
          <w:i/>
          <w:lang w:val="en-US"/>
        </w:rPr>
        <w:t>n application of data envelopment analysis</w:t>
      </w:r>
      <w:r w:rsidRPr="004D55DA">
        <w:rPr>
          <w:lang w:val="en-US"/>
        </w:rPr>
        <w:t>. Department of Economics and Statistics, National University of Singapore.</w:t>
      </w:r>
    </w:p>
    <w:p w:rsidR="00104A12" w:rsidRPr="004D55DA" w:rsidRDefault="00104A12" w:rsidP="007F7964">
      <w:pPr>
        <w:spacing w:before="100"/>
        <w:jc w:val="both"/>
        <w:rPr>
          <w:lang w:val="en-US"/>
        </w:rPr>
      </w:pPr>
      <w:r w:rsidRPr="004D55DA">
        <w:rPr>
          <w:lang w:val="en-US"/>
        </w:rPr>
        <w:t xml:space="preserve">Robinson, R. (2002). Ports as elements in value-driven chain systems: the new paradigm. </w:t>
      </w:r>
      <w:r w:rsidRPr="004D55DA">
        <w:rPr>
          <w:i/>
          <w:lang w:val="en-US"/>
        </w:rPr>
        <w:t>Maritime Policy and Management</w:t>
      </w:r>
      <w:r w:rsidRPr="004D55DA">
        <w:rPr>
          <w:lang w:val="en-US"/>
        </w:rPr>
        <w:t>, 29, 241-255.</w:t>
      </w:r>
    </w:p>
    <w:p w:rsidR="00104A12" w:rsidRPr="004D55DA" w:rsidRDefault="00104A12" w:rsidP="007F7964">
      <w:pPr>
        <w:spacing w:before="100"/>
        <w:jc w:val="both"/>
        <w:rPr>
          <w:lang w:val="en-US"/>
        </w:rPr>
      </w:pPr>
      <w:r w:rsidRPr="004D55DA">
        <w:rPr>
          <w:lang w:val="en-US"/>
        </w:rPr>
        <w:t xml:space="preserve">Rodrigue, J. P. (2010). </w:t>
      </w:r>
      <w:r w:rsidRPr="004D55DA">
        <w:rPr>
          <w:i/>
          <w:lang w:val="en-US"/>
        </w:rPr>
        <w:t>Maritime Transportation: Drivers for the Shipping and Port Industries</w:t>
      </w:r>
      <w:r w:rsidRPr="004D55DA">
        <w:rPr>
          <w:lang w:val="en-US"/>
        </w:rPr>
        <w:t>. International Transport Forum 2010, Paper Commissioned for the Experts</w:t>
      </w:r>
      <w:r w:rsidRPr="004D55DA">
        <w:rPr>
          <w:rFonts w:ascii="MS Mincho" w:eastAsia="MS Mincho" w:hAnsi="MS Mincho" w:cs="MS Mincho" w:hint="eastAsia"/>
          <w:lang w:val="en-US"/>
        </w:rPr>
        <w:t>‟</w:t>
      </w:r>
      <w:r w:rsidRPr="004D55DA">
        <w:rPr>
          <w:lang w:val="en-US"/>
        </w:rPr>
        <w:t xml:space="preserve"> Session on Innovation and the Future of Transport, Paris.</w:t>
      </w:r>
    </w:p>
    <w:p w:rsidR="00104A12" w:rsidRPr="004D55DA" w:rsidRDefault="00104A12" w:rsidP="007F7964">
      <w:pPr>
        <w:spacing w:before="100"/>
        <w:jc w:val="both"/>
        <w:rPr>
          <w:lang w:val="en-US"/>
        </w:rPr>
      </w:pPr>
      <w:r w:rsidRPr="004D55DA">
        <w:rPr>
          <w:lang w:val="en-US"/>
        </w:rPr>
        <w:lastRenderedPageBreak/>
        <w:t xml:space="preserve">Rodrigue, J. P. and Notteboom, T. (2009). The geography of containerization: Half a century of revolution, adaptation and diffusion. </w:t>
      </w:r>
      <w:r w:rsidRPr="004D55DA">
        <w:rPr>
          <w:i/>
          <w:lang w:val="en-US"/>
        </w:rPr>
        <w:t>Geojournal</w:t>
      </w:r>
      <w:r w:rsidRPr="004D55DA">
        <w:rPr>
          <w:lang w:val="en-US"/>
        </w:rPr>
        <w:t>, 74(1), 1-5.</w:t>
      </w:r>
    </w:p>
    <w:p w:rsidR="00104A12" w:rsidRPr="004D55DA" w:rsidRDefault="00104A12" w:rsidP="007F7964">
      <w:pPr>
        <w:spacing w:before="100"/>
        <w:jc w:val="both"/>
        <w:rPr>
          <w:lang w:val="en-US"/>
        </w:rPr>
      </w:pPr>
      <w:r w:rsidRPr="004D55DA">
        <w:rPr>
          <w:lang w:val="en-US"/>
        </w:rPr>
        <w:t>Rodrigue, J. P. and Notteboom, T. (2010).</w:t>
      </w:r>
      <w:r w:rsidR="008B28F4" w:rsidRPr="004D55DA">
        <w:rPr>
          <w:lang w:val="en-US"/>
        </w:rPr>
        <w:t xml:space="preserve"> “F</w:t>
      </w:r>
      <w:r w:rsidRPr="004D55DA">
        <w:rPr>
          <w:lang w:val="en-US"/>
        </w:rPr>
        <w:t xml:space="preserve">oreland” -based regionalization: Integrating intermediate “hubs” with port “hinterlands”. </w:t>
      </w:r>
      <w:r w:rsidRPr="004D55DA">
        <w:rPr>
          <w:i/>
          <w:lang w:val="en-US"/>
        </w:rPr>
        <w:t>Research in Transportation Economics,</w:t>
      </w:r>
      <w:r w:rsidRPr="004D55DA">
        <w:rPr>
          <w:lang w:val="en-US"/>
        </w:rPr>
        <w:t xml:space="preserve"> 27, 19–29.</w:t>
      </w:r>
    </w:p>
    <w:p w:rsidR="00104A12" w:rsidRPr="004D55DA" w:rsidRDefault="00104A12" w:rsidP="007F7964">
      <w:pPr>
        <w:spacing w:before="100"/>
        <w:jc w:val="both"/>
        <w:rPr>
          <w:lang w:val="en-US"/>
        </w:rPr>
      </w:pPr>
      <w:r w:rsidRPr="004D55DA">
        <w:rPr>
          <w:lang w:val="en-US"/>
        </w:rPr>
        <w:t xml:space="preserve">Rodrigue, J. P. and Notteboom, T. (2010). The Terminalization of Supply Chains: Reassessing the Role of Terminals in Port/Hinterland Logistical Relationships. </w:t>
      </w:r>
      <w:r w:rsidRPr="004D55DA">
        <w:rPr>
          <w:i/>
          <w:lang w:val="en-US"/>
        </w:rPr>
        <w:t>Maritime Policy and Management</w:t>
      </w:r>
      <w:r w:rsidRPr="004D55DA">
        <w:rPr>
          <w:lang w:val="en-US"/>
        </w:rPr>
        <w:t>, 36(2),165-183.</w:t>
      </w:r>
    </w:p>
    <w:p w:rsidR="00104A12" w:rsidRPr="004D55DA" w:rsidRDefault="00104A12" w:rsidP="007F7964">
      <w:pPr>
        <w:spacing w:before="100"/>
        <w:jc w:val="both"/>
        <w:rPr>
          <w:lang w:val="en-US"/>
        </w:rPr>
      </w:pPr>
      <w:r w:rsidRPr="004D55DA">
        <w:rPr>
          <w:lang w:val="en-US"/>
        </w:rPr>
        <w:t xml:space="preserve">Ryoo, D. K., Yu, S. J. and Sharma, M. J. (2006). Efficiency measurement of major container terminals in Asia. </w:t>
      </w:r>
      <w:r w:rsidRPr="004D55DA">
        <w:rPr>
          <w:i/>
          <w:lang w:val="en-US"/>
        </w:rPr>
        <w:t>International Journal of Navigation and Port Research</w:t>
      </w:r>
      <w:r w:rsidRPr="004D55DA">
        <w:rPr>
          <w:lang w:val="en-US"/>
        </w:rPr>
        <w:t>, 30(4), 267–276.</w:t>
      </w:r>
    </w:p>
    <w:p w:rsidR="00104A12" w:rsidRPr="004D55DA" w:rsidRDefault="00104A12" w:rsidP="007F7964">
      <w:pPr>
        <w:spacing w:before="100"/>
        <w:jc w:val="both"/>
        <w:rPr>
          <w:lang w:val="en-US"/>
        </w:rPr>
      </w:pPr>
      <w:r w:rsidRPr="004D55DA">
        <w:rPr>
          <w:lang w:val="en-US"/>
        </w:rPr>
        <w:t xml:space="preserve">Sanchez, R., Hoffmann, J., Micco, A., Zolitto, G., Sgut, M. and Wilmsmeier, G. (2003). Port efficiency and international trade: port efficiency as a determinant of maritime transport costs. </w:t>
      </w:r>
      <w:r w:rsidRPr="004D55DA">
        <w:rPr>
          <w:i/>
          <w:lang w:val="en-US"/>
        </w:rPr>
        <w:t>Maritime Economics and Logistics</w:t>
      </w:r>
      <w:r w:rsidRPr="004D55DA">
        <w:rPr>
          <w:lang w:val="en-US"/>
        </w:rPr>
        <w:t>, 5, 199–218.</w:t>
      </w:r>
    </w:p>
    <w:p w:rsidR="00104A12" w:rsidRPr="004D55DA" w:rsidRDefault="00104A12" w:rsidP="007F7964">
      <w:pPr>
        <w:spacing w:before="100"/>
        <w:jc w:val="both"/>
        <w:rPr>
          <w:lang w:val="en-US"/>
        </w:rPr>
      </w:pPr>
      <w:r w:rsidRPr="004D55DA">
        <w:rPr>
          <w:lang w:val="en-US"/>
        </w:rPr>
        <w:t xml:space="preserve">Saundry, R. and Turnbull, P. (1997). Private profit, public loss: The financial and economic performance of UK ports. </w:t>
      </w:r>
      <w:r w:rsidRPr="004D55DA">
        <w:rPr>
          <w:i/>
          <w:lang w:val="en-US"/>
        </w:rPr>
        <w:t>Maritime Policy and Management</w:t>
      </w:r>
      <w:r w:rsidRPr="004D55DA">
        <w:rPr>
          <w:lang w:val="en-US"/>
        </w:rPr>
        <w:t>, 24(4), 319-334.</w:t>
      </w:r>
    </w:p>
    <w:p w:rsidR="00104A12" w:rsidRPr="004D55DA" w:rsidRDefault="00104A12" w:rsidP="007F7964">
      <w:pPr>
        <w:spacing w:before="100"/>
        <w:jc w:val="both"/>
        <w:rPr>
          <w:lang w:val="es-ES_tradnl"/>
        </w:rPr>
      </w:pPr>
      <w:r w:rsidRPr="004D55DA">
        <w:rPr>
          <w:lang w:val="es-ES_tradnl"/>
        </w:rPr>
        <w:t xml:space="preserve">Serrano M. G. and Trujillo L. C. (2005). </w:t>
      </w:r>
      <w:hyperlink r:id="rId82" w:history="1">
        <w:r w:rsidRPr="004D55DA">
          <w:rPr>
            <w:i/>
            <w:lang w:val="es-ES_tradnl"/>
          </w:rPr>
          <w:t xml:space="preserve">La medición de la eficiencia en el sector portuario: </w:t>
        </w:r>
        <w:r w:rsidR="00A967FB" w:rsidRPr="004D55DA">
          <w:rPr>
            <w:i/>
            <w:lang w:val="es-ES_tradnl"/>
          </w:rPr>
          <w:t>R</w:t>
        </w:r>
        <w:r w:rsidRPr="004D55DA">
          <w:rPr>
            <w:i/>
            <w:lang w:val="es-ES_tradnl"/>
          </w:rPr>
          <w:t>evisión de la evidencia empírica</w:t>
        </w:r>
      </w:hyperlink>
      <w:r w:rsidRPr="004D55DA">
        <w:rPr>
          <w:lang w:val="es-ES_tradnl"/>
        </w:rPr>
        <w:t xml:space="preserve">. </w:t>
      </w:r>
      <w:hyperlink r:id="rId83" w:history="1">
        <w:r w:rsidRPr="004D55DA">
          <w:rPr>
            <w:lang w:val="es-ES_tradnl"/>
          </w:rPr>
          <w:t>Documentos de trabajo conjunto ULL-ULPGC</w:t>
        </w:r>
      </w:hyperlink>
      <w:r w:rsidRPr="004D55DA">
        <w:rPr>
          <w:lang w:val="es-ES_tradnl"/>
        </w:rPr>
        <w:t>, Facultad de Ciencias Económicas.</w:t>
      </w:r>
    </w:p>
    <w:p w:rsidR="00104A12" w:rsidRPr="004D55DA" w:rsidRDefault="00104A12" w:rsidP="007F7964">
      <w:pPr>
        <w:spacing w:before="100"/>
        <w:jc w:val="both"/>
        <w:rPr>
          <w:lang w:val="en-US"/>
        </w:rPr>
      </w:pPr>
      <w:r w:rsidRPr="004D55DA">
        <w:rPr>
          <w:lang w:val="en-US"/>
        </w:rPr>
        <w:t xml:space="preserve">Sharma, M. J. and Yu, S. J. (2009). Performance based stratification and clustering for benchmarking of container terminals. </w:t>
      </w:r>
      <w:r w:rsidRPr="004D55DA">
        <w:rPr>
          <w:i/>
          <w:lang w:val="en-US"/>
        </w:rPr>
        <w:t>Expert Systems with Applications,</w:t>
      </w:r>
      <w:r w:rsidRPr="004D55DA">
        <w:rPr>
          <w:lang w:val="en-US"/>
        </w:rPr>
        <w:t xml:space="preserve"> 36, 5016–5022.</w:t>
      </w:r>
    </w:p>
    <w:p w:rsidR="00104A12" w:rsidRPr="004D55DA" w:rsidRDefault="00104A12" w:rsidP="007F7964">
      <w:pPr>
        <w:spacing w:before="100"/>
        <w:jc w:val="both"/>
        <w:rPr>
          <w:lang w:val="en-US"/>
        </w:rPr>
      </w:pPr>
      <w:r w:rsidRPr="004D55DA">
        <w:rPr>
          <w:lang w:val="en-US"/>
        </w:rPr>
        <w:t xml:space="preserve">Slack, B. (1985). Containerization, inter-port competition and port selection. </w:t>
      </w:r>
      <w:r w:rsidRPr="004D55DA">
        <w:rPr>
          <w:i/>
          <w:lang w:val="en-US"/>
        </w:rPr>
        <w:t>Maritime Port and Management</w:t>
      </w:r>
      <w:r w:rsidRPr="004D55DA">
        <w:rPr>
          <w:lang w:val="en-US"/>
        </w:rPr>
        <w:t>, 12(4), 293-303.</w:t>
      </w:r>
    </w:p>
    <w:p w:rsidR="00104A12" w:rsidRPr="004D55DA" w:rsidRDefault="00104A12" w:rsidP="007F7964">
      <w:pPr>
        <w:spacing w:before="100"/>
        <w:jc w:val="both"/>
        <w:rPr>
          <w:lang w:val="en-US"/>
        </w:rPr>
      </w:pPr>
      <w:r w:rsidRPr="004D55DA">
        <w:rPr>
          <w:lang w:val="en-US"/>
        </w:rPr>
        <w:t>Slack, B. (1999)</w:t>
      </w:r>
      <w:r w:rsidR="00A967FB" w:rsidRPr="004D55DA">
        <w:rPr>
          <w:lang w:val="en-US"/>
        </w:rPr>
        <w:t>.</w:t>
      </w:r>
      <w:r w:rsidRPr="004D55DA">
        <w:rPr>
          <w:lang w:val="en-US"/>
        </w:rPr>
        <w:t xml:space="preserve"> Across the pond: </w:t>
      </w:r>
      <w:r w:rsidR="00A967FB" w:rsidRPr="004D55DA">
        <w:rPr>
          <w:lang w:val="en-US"/>
        </w:rPr>
        <w:t>C</w:t>
      </w:r>
      <w:r w:rsidRPr="004D55DA">
        <w:rPr>
          <w:lang w:val="en-US"/>
        </w:rPr>
        <w:t xml:space="preserve">ontainer shipping on the North Atlantic in the era of </w:t>
      </w:r>
      <w:r w:rsidR="00A967FB" w:rsidRPr="004D55DA">
        <w:rPr>
          <w:lang w:val="en-US"/>
        </w:rPr>
        <w:t>globalization.</w:t>
      </w:r>
      <w:r w:rsidRPr="004D55DA">
        <w:rPr>
          <w:lang w:val="en-US"/>
        </w:rPr>
        <w:t xml:space="preserve"> </w:t>
      </w:r>
      <w:r w:rsidRPr="004D55DA">
        <w:rPr>
          <w:i/>
          <w:lang w:val="en-US"/>
        </w:rPr>
        <w:t>Geojournal,</w:t>
      </w:r>
      <w:r w:rsidRPr="004D55DA">
        <w:rPr>
          <w:lang w:val="en-US"/>
        </w:rPr>
        <w:t xml:space="preserve"> 48 (1), 9-14.</w:t>
      </w:r>
    </w:p>
    <w:p w:rsidR="00104A12" w:rsidRPr="004D55DA" w:rsidRDefault="00104A12" w:rsidP="007F7964">
      <w:pPr>
        <w:spacing w:before="100"/>
        <w:jc w:val="both"/>
        <w:rPr>
          <w:lang w:val="en-US"/>
        </w:rPr>
      </w:pPr>
      <w:r w:rsidRPr="004D55DA">
        <w:rPr>
          <w:lang w:val="en-US"/>
        </w:rPr>
        <w:t>Slack, B. (2007)</w:t>
      </w:r>
      <w:r w:rsidR="00A967FB" w:rsidRPr="004D55DA">
        <w:rPr>
          <w:lang w:val="en-US"/>
        </w:rPr>
        <w:t>.</w:t>
      </w:r>
      <w:r w:rsidRPr="004D55DA">
        <w:rPr>
          <w:lang w:val="en-US"/>
        </w:rPr>
        <w:t xml:space="preserve"> </w:t>
      </w:r>
      <w:r w:rsidRPr="004D55DA">
        <w:rPr>
          <w:i/>
          <w:lang w:val="en-US"/>
        </w:rPr>
        <w:t>The terminalisation of seaports</w:t>
      </w:r>
      <w:r w:rsidRPr="004D55DA">
        <w:rPr>
          <w:lang w:val="en-US"/>
        </w:rPr>
        <w:t xml:space="preserve">. </w:t>
      </w:r>
      <w:r w:rsidR="00A967FB" w:rsidRPr="004D55DA">
        <w:rPr>
          <w:lang w:val="en-US"/>
        </w:rPr>
        <w:t>I</w:t>
      </w:r>
      <w:r w:rsidRPr="004D55DA">
        <w:rPr>
          <w:lang w:val="en-US"/>
        </w:rPr>
        <w:t>n: Wang, J. et al. (eds), Ports, cities and global supply chains</w:t>
      </w:r>
      <w:r w:rsidR="00A967FB" w:rsidRPr="004D55DA">
        <w:rPr>
          <w:lang w:val="en-US"/>
        </w:rPr>
        <w:t>,</w:t>
      </w:r>
      <w:r w:rsidRPr="004D55DA">
        <w:rPr>
          <w:lang w:val="en-US"/>
        </w:rPr>
        <w:t xml:space="preserve"> Aldershot, Ashgate, 41-50.</w:t>
      </w:r>
    </w:p>
    <w:p w:rsidR="00104A12" w:rsidRPr="004D55DA" w:rsidRDefault="00104A12" w:rsidP="007F7964">
      <w:pPr>
        <w:spacing w:before="100"/>
        <w:jc w:val="both"/>
        <w:rPr>
          <w:lang w:val="en-US"/>
        </w:rPr>
      </w:pPr>
      <w:r w:rsidRPr="004D55DA">
        <w:rPr>
          <w:lang w:val="en-US"/>
        </w:rPr>
        <w:t xml:space="preserve">Slack, B. and Frémont, A. (2005). Transformation of port terminal operations: </w:t>
      </w:r>
      <w:r w:rsidR="00A967FB" w:rsidRPr="004D55DA">
        <w:rPr>
          <w:lang w:val="en-US"/>
        </w:rPr>
        <w:t>F</w:t>
      </w:r>
      <w:r w:rsidRPr="004D55DA">
        <w:rPr>
          <w:lang w:val="en-US"/>
        </w:rPr>
        <w:t>rom the local to the global</w:t>
      </w:r>
      <w:r w:rsidR="00A967FB" w:rsidRPr="004D55DA">
        <w:rPr>
          <w:lang w:val="en-US"/>
        </w:rPr>
        <w:t>.</w:t>
      </w:r>
      <w:r w:rsidRPr="004D55DA">
        <w:rPr>
          <w:lang w:val="en-US"/>
        </w:rPr>
        <w:t xml:space="preserve"> </w:t>
      </w:r>
      <w:r w:rsidRPr="004D55DA">
        <w:rPr>
          <w:i/>
          <w:lang w:val="en-US"/>
        </w:rPr>
        <w:t>Transport Reviews</w:t>
      </w:r>
      <w:r w:rsidRPr="004D55DA">
        <w:rPr>
          <w:lang w:val="en-US"/>
        </w:rPr>
        <w:t>, 25(1), 117-130.</w:t>
      </w:r>
    </w:p>
    <w:p w:rsidR="00104A12" w:rsidRPr="004D55DA" w:rsidRDefault="00104A12" w:rsidP="007F7964">
      <w:pPr>
        <w:spacing w:before="100"/>
        <w:jc w:val="both"/>
        <w:rPr>
          <w:lang w:val="en-US"/>
        </w:rPr>
      </w:pPr>
      <w:r w:rsidRPr="004D55DA">
        <w:rPr>
          <w:lang w:val="en-US"/>
        </w:rPr>
        <w:t xml:space="preserve">So, S. H., Kim, J. J., Cho, G. and Kim, D. K. (2007). Efficiency analysis and ranking of Major container ports in Northeast Asia: An application of data envelopment analysis. </w:t>
      </w:r>
      <w:r w:rsidRPr="004D55DA">
        <w:rPr>
          <w:i/>
          <w:lang w:val="en-US"/>
        </w:rPr>
        <w:t>International Review of Business Research Papers</w:t>
      </w:r>
      <w:r w:rsidRPr="004D55DA">
        <w:rPr>
          <w:lang w:val="en-US"/>
        </w:rPr>
        <w:t>, 3 (2), 486 – 503.</w:t>
      </w:r>
    </w:p>
    <w:p w:rsidR="00104A12" w:rsidRPr="004D55DA" w:rsidRDefault="00104A12" w:rsidP="007F7964">
      <w:pPr>
        <w:spacing w:before="100"/>
        <w:jc w:val="both"/>
        <w:rPr>
          <w:lang w:val="en-US"/>
        </w:rPr>
      </w:pPr>
      <w:r w:rsidRPr="004D55DA">
        <w:rPr>
          <w:lang w:val="en-US"/>
        </w:rPr>
        <w:t xml:space="preserve">Song, D. W. and Cullinane, K. (2002). </w:t>
      </w:r>
      <w:r w:rsidRPr="004D55DA">
        <w:rPr>
          <w:i/>
          <w:lang w:val="en-US"/>
        </w:rPr>
        <w:t xml:space="preserve">Port privatisation: </w:t>
      </w:r>
      <w:r w:rsidR="00A967FB" w:rsidRPr="004D55DA">
        <w:rPr>
          <w:i/>
          <w:lang w:val="en-US"/>
        </w:rPr>
        <w:t>A</w:t>
      </w:r>
      <w:r w:rsidRPr="004D55DA">
        <w:rPr>
          <w:i/>
          <w:lang w:val="en-US"/>
        </w:rPr>
        <w:t xml:space="preserve"> new paradigm of port policy</w:t>
      </w:r>
      <w:r w:rsidRPr="004D55DA">
        <w:rPr>
          <w:lang w:val="en-US"/>
        </w:rPr>
        <w:t xml:space="preserve">. </w:t>
      </w:r>
      <w:r w:rsidR="00A967FB" w:rsidRPr="004D55DA">
        <w:rPr>
          <w:lang w:val="en-US"/>
        </w:rPr>
        <w:t>E</w:t>
      </w:r>
      <w:r w:rsidRPr="004D55DA">
        <w:rPr>
          <w:lang w:val="en-US"/>
        </w:rPr>
        <w:t>d. Ocean Yearbook. Chicago: University of Chicago Press, 398-420.</w:t>
      </w:r>
    </w:p>
    <w:p w:rsidR="00104A12" w:rsidRPr="004D55DA" w:rsidRDefault="00104A12" w:rsidP="007F7964">
      <w:pPr>
        <w:spacing w:before="100"/>
        <w:jc w:val="both"/>
        <w:rPr>
          <w:lang w:val="en-US"/>
        </w:rPr>
      </w:pPr>
      <w:r w:rsidRPr="004D55DA">
        <w:rPr>
          <w:lang w:val="en-US"/>
        </w:rPr>
        <w:t>Song, D. W. and Yeo, K. T. (2004).</w:t>
      </w:r>
      <w:r w:rsidR="00A967FB" w:rsidRPr="004D55DA">
        <w:rPr>
          <w:lang w:val="en-US"/>
        </w:rPr>
        <w:t xml:space="preserve"> </w:t>
      </w:r>
      <w:r w:rsidRPr="004D55DA">
        <w:rPr>
          <w:lang w:val="en-US"/>
        </w:rPr>
        <w:t xml:space="preserve">A competitive analysis of chinese container ports using the analytic hierarchy process. </w:t>
      </w:r>
      <w:r w:rsidRPr="004D55DA">
        <w:rPr>
          <w:i/>
          <w:lang w:val="en-US"/>
        </w:rPr>
        <w:t>Maritime Economics and Logistics</w:t>
      </w:r>
      <w:r w:rsidRPr="004D55DA">
        <w:rPr>
          <w:lang w:val="en-US"/>
        </w:rPr>
        <w:t>, 6, 34–52.</w:t>
      </w:r>
    </w:p>
    <w:p w:rsidR="00104A12" w:rsidRPr="004D55DA" w:rsidRDefault="00104A12" w:rsidP="007F7964">
      <w:pPr>
        <w:spacing w:before="100"/>
        <w:jc w:val="both"/>
        <w:rPr>
          <w:lang w:val="en-US"/>
        </w:rPr>
      </w:pPr>
      <w:r w:rsidRPr="004D55DA">
        <w:rPr>
          <w:lang w:val="en-US"/>
        </w:rPr>
        <w:t xml:space="preserve">Steenken, D., Voß, S. and Stahlbock, R. (2004). Container terminal operation and operations research – a classification and literature review. </w:t>
      </w:r>
      <w:r w:rsidRPr="004D55DA">
        <w:rPr>
          <w:i/>
          <w:lang w:val="en-US"/>
        </w:rPr>
        <w:t>OR Spectrum,</w:t>
      </w:r>
      <w:r w:rsidRPr="004D55DA">
        <w:rPr>
          <w:lang w:val="en-US"/>
        </w:rPr>
        <w:t xml:space="preserve"> 2(26), 3–49.</w:t>
      </w:r>
    </w:p>
    <w:p w:rsidR="00104A12" w:rsidRPr="004D55DA" w:rsidRDefault="00104A12" w:rsidP="007F7964">
      <w:pPr>
        <w:spacing w:before="100"/>
        <w:jc w:val="both"/>
        <w:rPr>
          <w:lang w:val="en-US"/>
        </w:rPr>
      </w:pPr>
      <w:r w:rsidRPr="004D55DA">
        <w:rPr>
          <w:lang w:val="en-US"/>
        </w:rPr>
        <w:t xml:space="preserve">Sternberg, R. W. (2000). The successful factors of a ocean transshipment center, the case study of one Italian port. </w:t>
      </w:r>
      <w:r w:rsidRPr="004D55DA">
        <w:rPr>
          <w:i/>
          <w:lang w:val="en-US"/>
        </w:rPr>
        <w:t>The Journal of Chinese Ports,</w:t>
      </w:r>
      <w:r w:rsidRPr="004D55DA">
        <w:rPr>
          <w:lang w:val="en-US"/>
        </w:rPr>
        <w:t xml:space="preserve"> 29(2), 13-18.</w:t>
      </w:r>
    </w:p>
    <w:p w:rsidR="00104A12" w:rsidRPr="004D55DA" w:rsidRDefault="00104A12" w:rsidP="007F7964">
      <w:pPr>
        <w:spacing w:before="100"/>
        <w:jc w:val="both"/>
        <w:rPr>
          <w:lang w:val="en-US"/>
        </w:rPr>
      </w:pPr>
      <w:r w:rsidRPr="004D55DA">
        <w:rPr>
          <w:lang w:val="en-US"/>
        </w:rPr>
        <w:t xml:space="preserve">Tabachick, B. and Fidell, L. (2001). </w:t>
      </w:r>
      <w:r w:rsidRPr="004D55DA">
        <w:rPr>
          <w:i/>
          <w:lang w:val="en-US"/>
        </w:rPr>
        <w:t>Using multivariate statitstics</w:t>
      </w:r>
      <w:r w:rsidRPr="004D55DA">
        <w:rPr>
          <w:lang w:val="en-US"/>
        </w:rPr>
        <w:t>. 4 ed. Boston: Allyn and Bacon.</w:t>
      </w:r>
    </w:p>
    <w:p w:rsidR="00104A12" w:rsidRPr="004D55DA" w:rsidRDefault="00104A12" w:rsidP="007F7964">
      <w:pPr>
        <w:spacing w:before="100"/>
        <w:jc w:val="both"/>
        <w:rPr>
          <w:lang w:val="en-US"/>
        </w:rPr>
      </w:pPr>
      <w:r w:rsidRPr="004D55DA">
        <w:rPr>
          <w:lang w:val="en-US"/>
        </w:rPr>
        <w:t xml:space="preserve">Talley, W. K. (2006). Port performance: An economics perspective. In: Devolution, port governance and port performance. </w:t>
      </w:r>
      <w:hyperlink r:id="rId84" w:tooltip="Go to Research in Transportation Economics on SciVerse ScienceDirect" w:history="1">
        <w:r w:rsidRPr="004D55DA">
          <w:rPr>
            <w:i/>
            <w:lang w:val="en-US"/>
          </w:rPr>
          <w:t>Research in Transportation Economics</w:t>
        </w:r>
      </w:hyperlink>
      <w:r w:rsidRPr="004D55DA">
        <w:rPr>
          <w:i/>
          <w:lang w:val="en-US"/>
        </w:rPr>
        <w:t>,</w:t>
      </w:r>
      <w:r w:rsidRPr="004D55DA">
        <w:rPr>
          <w:lang w:val="en-US"/>
        </w:rPr>
        <w:t xml:space="preserve"> 22, 499–516.</w:t>
      </w:r>
    </w:p>
    <w:p w:rsidR="00104A12" w:rsidRPr="004D55DA" w:rsidRDefault="00104A12" w:rsidP="007F7964">
      <w:pPr>
        <w:spacing w:before="100"/>
        <w:jc w:val="both"/>
        <w:rPr>
          <w:lang w:val="en-GB"/>
        </w:rPr>
      </w:pPr>
      <w:r w:rsidRPr="004D55DA">
        <w:rPr>
          <w:lang w:val="en-GB"/>
        </w:rPr>
        <w:lastRenderedPageBreak/>
        <w:t xml:space="preserve">Thanassoulis, E. (1993). A comparison of regression analysis and data envelopment analysis as alternative methods for performance assessments. </w:t>
      </w:r>
      <w:r w:rsidRPr="004D55DA">
        <w:rPr>
          <w:i/>
          <w:lang w:val="en-GB"/>
        </w:rPr>
        <w:t>Journal of the Operational Research Society</w:t>
      </w:r>
      <w:r w:rsidRPr="004D55DA">
        <w:rPr>
          <w:lang w:val="en-GB"/>
        </w:rPr>
        <w:t>, 44(11), 1129-1144.</w:t>
      </w:r>
    </w:p>
    <w:p w:rsidR="00104A12" w:rsidRPr="004D55DA" w:rsidRDefault="00104A12" w:rsidP="007F7964">
      <w:pPr>
        <w:spacing w:before="100"/>
        <w:jc w:val="both"/>
        <w:rPr>
          <w:lang w:val="en-US"/>
        </w:rPr>
      </w:pPr>
      <w:r w:rsidRPr="004D55DA">
        <w:rPr>
          <w:lang w:val="en-US"/>
        </w:rPr>
        <w:t xml:space="preserve">Thill, J. C. and Lim, H. (2010). Intermodal containerized shipping in foreign trade and regional accessibility advantages. </w:t>
      </w:r>
      <w:r w:rsidRPr="004D55DA">
        <w:rPr>
          <w:i/>
          <w:lang w:val="en-US"/>
        </w:rPr>
        <w:t>Journal of Transport Geography</w:t>
      </w:r>
      <w:r w:rsidRPr="004D55DA">
        <w:rPr>
          <w:lang w:val="en-US"/>
        </w:rPr>
        <w:t>, 18(4), 530-547.</w:t>
      </w:r>
    </w:p>
    <w:p w:rsidR="00104A12" w:rsidRPr="004D55DA" w:rsidRDefault="00104A12" w:rsidP="007F7964">
      <w:pPr>
        <w:spacing w:before="100"/>
        <w:jc w:val="both"/>
        <w:rPr>
          <w:lang w:val="en-US"/>
        </w:rPr>
      </w:pPr>
      <w:r w:rsidRPr="004D55DA">
        <w:rPr>
          <w:lang w:val="en-US"/>
        </w:rPr>
        <w:t xml:space="preserve">Tongzon, J. (2001). Efficiency measurement of select </w:t>
      </w:r>
      <w:r w:rsidR="00A356B2" w:rsidRPr="004D55DA">
        <w:rPr>
          <w:lang w:val="en-US"/>
        </w:rPr>
        <w:t>A</w:t>
      </w:r>
      <w:r w:rsidRPr="004D55DA">
        <w:rPr>
          <w:lang w:val="en-US"/>
        </w:rPr>
        <w:t xml:space="preserve">ustralian an international port using data envelopment analysis. </w:t>
      </w:r>
      <w:r w:rsidRPr="004D55DA">
        <w:rPr>
          <w:i/>
          <w:lang w:val="en-US"/>
        </w:rPr>
        <w:t>Transportation Research Part A</w:t>
      </w:r>
      <w:r w:rsidRPr="004D55DA">
        <w:rPr>
          <w:lang w:val="en-US"/>
        </w:rPr>
        <w:t>, 35, 113-128.</w:t>
      </w:r>
    </w:p>
    <w:p w:rsidR="00104A12" w:rsidRPr="004D55DA" w:rsidRDefault="00104A12" w:rsidP="007F7964">
      <w:pPr>
        <w:spacing w:before="100"/>
        <w:jc w:val="both"/>
        <w:rPr>
          <w:lang w:val="en-US"/>
        </w:rPr>
      </w:pPr>
      <w:r w:rsidRPr="004D55DA">
        <w:rPr>
          <w:lang w:val="en-US"/>
        </w:rPr>
        <w:t xml:space="preserve">Tongzon, J. (2002). </w:t>
      </w:r>
      <w:r w:rsidRPr="004D55DA">
        <w:rPr>
          <w:i/>
          <w:lang w:val="en-US"/>
        </w:rPr>
        <w:t>Port choice determinants in a competitive environment</w:t>
      </w:r>
      <w:r w:rsidRPr="004D55DA">
        <w:rPr>
          <w:lang w:val="en-US"/>
        </w:rPr>
        <w:t>. IAME, Conference, Panama.</w:t>
      </w:r>
    </w:p>
    <w:p w:rsidR="00104A12" w:rsidRPr="004D55DA" w:rsidRDefault="00104A12" w:rsidP="007F7964">
      <w:pPr>
        <w:spacing w:before="100"/>
        <w:jc w:val="both"/>
        <w:rPr>
          <w:lang w:val="en-US"/>
        </w:rPr>
      </w:pPr>
      <w:r w:rsidRPr="004D55DA">
        <w:rPr>
          <w:lang w:val="en-US"/>
        </w:rPr>
        <w:t xml:space="preserve">Tongzon, J. (2009). Port choice and freight forwarders. </w:t>
      </w:r>
      <w:r w:rsidRPr="004D55DA">
        <w:rPr>
          <w:i/>
          <w:lang w:val="en-US"/>
        </w:rPr>
        <w:t>Transportation Research Part E,</w:t>
      </w:r>
      <w:r w:rsidRPr="004D55DA">
        <w:rPr>
          <w:lang w:val="en-US"/>
        </w:rPr>
        <w:t xml:space="preserve"> 45, 186–195.</w:t>
      </w:r>
    </w:p>
    <w:p w:rsidR="00104A12" w:rsidRPr="004D55DA" w:rsidRDefault="00104A12" w:rsidP="007F7964">
      <w:pPr>
        <w:spacing w:before="100"/>
        <w:jc w:val="both"/>
        <w:rPr>
          <w:lang w:val="en-US"/>
        </w:rPr>
      </w:pPr>
      <w:r w:rsidRPr="004D55DA">
        <w:rPr>
          <w:lang w:val="en-US"/>
        </w:rPr>
        <w:t xml:space="preserve">Tongzon, J. and Heng, W. (2005). Port privatization, efficiency and competitiveness: Some empirical evidence from container ports (terminals). </w:t>
      </w:r>
      <w:r w:rsidRPr="004D55DA">
        <w:rPr>
          <w:i/>
          <w:lang w:val="en-US"/>
        </w:rPr>
        <w:t>Transportation Research Part A</w:t>
      </w:r>
      <w:r w:rsidRPr="004D55DA">
        <w:rPr>
          <w:lang w:val="en-US"/>
        </w:rPr>
        <w:t>, 39, 405–424.</w:t>
      </w:r>
    </w:p>
    <w:p w:rsidR="00104A12" w:rsidRPr="004D55DA" w:rsidRDefault="00104A12" w:rsidP="007F7964">
      <w:pPr>
        <w:spacing w:before="100"/>
        <w:jc w:val="both"/>
        <w:rPr>
          <w:lang w:val="en-US"/>
        </w:rPr>
      </w:pPr>
      <w:r w:rsidRPr="004D55DA">
        <w:rPr>
          <w:lang w:val="en-US"/>
        </w:rPr>
        <w:t xml:space="preserve">Tongzon, J. (2000). Determinants of port performance and efficiency. </w:t>
      </w:r>
      <w:hyperlink r:id="rId85" w:history="1">
        <w:r w:rsidRPr="004D55DA">
          <w:rPr>
            <w:i/>
            <w:lang w:val="en-US"/>
          </w:rPr>
          <w:t>Transportation Research Part A</w:t>
        </w:r>
      </w:hyperlink>
      <w:r w:rsidRPr="004D55DA">
        <w:rPr>
          <w:lang w:val="en-US"/>
        </w:rPr>
        <w:t>,</w:t>
      </w:r>
      <w:hyperlink r:id="rId86" w:history="1">
        <w:r w:rsidRPr="004D55DA">
          <w:rPr>
            <w:lang w:val="en-US"/>
          </w:rPr>
          <w:t xml:space="preserve"> 29(3</w:t>
        </w:r>
      </w:hyperlink>
      <w:r w:rsidRPr="004D55DA">
        <w:rPr>
          <w:lang w:val="en-US"/>
        </w:rPr>
        <w:t>), 245-252.</w:t>
      </w:r>
    </w:p>
    <w:p w:rsidR="00104A12" w:rsidRPr="004D55DA" w:rsidRDefault="00104A12" w:rsidP="007F7964">
      <w:pPr>
        <w:spacing w:before="100"/>
        <w:jc w:val="both"/>
        <w:rPr>
          <w:lang w:val="en-US"/>
        </w:rPr>
      </w:pPr>
      <w:r w:rsidRPr="004D55DA">
        <w:rPr>
          <w:lang w:val="en-US"/>
        </w:rPr>
        <w:t xml:space="preserve">Tongzon, J. L. and Sawant, L. (2007). Port choice in an competitive environment: from de shipping lines perspective. </w:t>
      </w:r>
      <w:r w:rsidRPr="004D55DA">
        <w:rPr>
          <w:i/>
          <w:lang w:val="en-US"/>
        </w:rPr>
        <w:t>Applied Economics</w:t>
      </w:r>
      <w:r w:rsidRPr="004D55DA">
        <w:rPr>
          <w:lang w:val="en-US"/>
        </w:rPr>
        <w:t>, 39, 477-492.</w:t>
      </w:r>
    </w:p>
    <w:p w:rsidR="00104A12" w:rsidRPr="004D55DA" w:rsidRDefault="00104A12" w:rsidP="007F7964">
      <w:pPr>
        <w:spacing w:before="100"/>
        <w:jc w:val="both"/>
        <w:rPr>
          <w:lang w:val="en-US"/>
        </w:rPr>
      </w:pPr>
      <w:r w:rsidRPr="004D55DA">
        <w:rPr>
          <w:lang w:val="en-US"/>
        </w:rPr>
        <w:t xml:space="preserve">Tongzon, J., Chang, Y. and Lee, S. (2009). How supply chain oriented is the port sector? </w:t>
      </w:r>
      <w:r w:rsidRPr="004D55DA">
        <w:rPr>
          <w:i/>
          <w:lang w:val="en-US"/>
        </w:rPr>
        <w:t>International Journal of Production Economics</w:t>
      </w:r>
      <w:r w:rsidRPr="004D55DA">
        <w:rPr>
          <w:lang w:val="en-US"/>
        </w:rPr>
        <w:t>, 122, 21–34.</w:t>
      </w:r>
    </w:p>
    <w:p w:rsidR="00104A12" w:rsidRPr="004D55DA" w:rsidRDefault="00104A12" w:rsidP="007F7964">
      <w:pPr>
        <w:spacing w:before="100"/>
        <w:jc w:val="both"/>
        <w:rPr>
          <w:lang w:val="en-US"/>
        </w:rPr>
      </w:pPr>
      <w:r w:rsidRPr="004D55DA">
        <w:rPr>
          <w:lang w:val="en-US"/>
        </w:rPr>
        <w:t xml:space="preserve">Trujillo, L. and Tovar, B. (2007). The european port industry: An analysis of its economic efficiency. </w:t>
      </w:r>
      <w:r w:rsidRPr="004D55DA">
        <w:rPr>
          <w:i/>
          <w:lang w:val="en-US"/>
        </w:rPr>
        <w:t>Maritime Economics and Logistics</w:t>
      </w:r>
      <w:r w:rsidRPr="004D55DA">
        <w:rPr>
          <w:lang w:val="en-US"/>
        </w:rPr>
        <w:t>, 9, 148–171.</w:t>
      </w:r>
    </w:p>
    <w:p w:rsidR="00104A12" w:rsidRPr="004D55DA" w:rsidRDefault="00104A12" w:rsidP="007F7964">
      <w:pPr>
        <w:spacing w:before="100"/>
        <w:jc w:val="both"/>
        <w:rPr>
          <w:lang w:val="en-US"/>
        </w:rPr>
      </w:pPr>
      <w:r w:rsidRPr="004D55DA">
        <w:rPr>
          <w:lang w:val="en-US"/>
        </w:rPr>
        <w:t xml:space="preserve">Turner, H., Windle, R. and Desner, M. (2004). North American containerport productivity: 1984–1997. </w:t>
      </w:r>
      <w:r w:rsidRPr="004D55DA">
        <w:rPr>
          <w:i/>
          <w:lang w:val="en-US"/>
        </w:rPr>
        <w:t>Transportation Research Part E</w:t>
      </w:r>
      <w:r w:rsidRPr="004D55DA">
        <w:rPr>
          <w:lang w:val="en-US"/>
        </w:rPr>
        <w:t>, 40, 339–356.</w:t>
      </w:r>
    </w:p>
    <w:p w:rsidR="00104A12" w:rsidRPr="004D55DA" w:rsidRDefault="00104A12" w:rsidP="007F7964">
      <w:pPr>
        <w:spacing w:before="100"/>
        <w:jc w:val="both"/>
        <w:rPr>
          <w:lang w:val="en-US"/>
        </w:rPr>
      </w:pPr>
      <w:r w:rsidRPr="004D55DA">
        <w:rPr>
          <w:lang w:val="en-US"/>
        </w:rPr>
        <w:t xml:space="preserve">Unctad (2011). </w:t>
      </w:r>
      <w:r w:rsidRPr="004D55DA">
        <w:rPr>
          <w:i/>
          <w:lang w:val="en-US"/>
        </w:rPr>
        <w:t>Maritime Review</w:t>
      </w:r>
      <w:r w:rsidR="00A967FB" w:rsidRPr="004D55DA">
        <w:rPr>
          <w:lang w:val="en-US"/>
        </w:rPr>
        <w:t>. United Nations</w:t>
      </w:r>
      <w:r w:rsidRPr="004D55DA">
        <w:rPr>
          <w:lang w:val="en-US"/>
        </w:rPr>
        <w:t>.</w:t>
      </w:r>
    </w:p>
    <w:p w:rsidR="00104A12" w:rsidRPr="004D55DA" w:rsidRDefault="00104A12" w:rsidP="007F7964">
      <w:pPr>
        <w:spacing w:before="100"/>
        <w:jc w:val="both"/>
        <w:rPr>
          <w:lang w:val="en-US"/>
        </w:rPr>
      </w:pPr>
      <w:r w:rsidRPr="004D55DA">
        <w:rPr>
          <w:lang w:val="en-US"/>
        </w:rPr>
        <w:t>Van den Berg, R. and De Langen, P. W. (2011)</w:t>
      </w:r>
      <w:r w:rsidR="00A967FB" w:rsidRPr="004D55DA">
        <w:rPr>
          <w:lang w:val="en-US"/>
        </w:rPr>
        <w:t>. “H</w:t>
      </w:r>
      <w:r w:rsidRPr="004D55DA">
        <w:rPr>
          <w:lang w:val="en-US"/>
        </w:rPr>
        <w:t>interland” strategies of port authorities: A case s</w:t>
      </w:r>
      <w:r w:rsidR="00517B2F" w:rsidRPr="004D55DA">
        <w:rPr>
          <w:lang w:val="en-US"/>
        </w:rPr>
        <w:t>tudy of the port of Barcelona.</w:t>
      </w:r>
      <w:r w:rsidRPr="004D55DA">
        <w:rPr>
          <w:lang w:val="en-US"/>
        </w:rPr>
        <w:t xml:space="preserve"> </w:t>
      </w:r>
      <w:r w:rsidRPr="004D55DA">
        <w:rPr>
          <w:i/>
          <w:lang w:val="en-US"/>
        </w:rPr>
        <w:t>Research in Transportation Economics</w:t>
      </w:r>
      <w:r w:rsidRPr="004D55DA">
        <w:rPr>
          <w:lang w:val="en-US"/>
        </w:rPr>
        <w:t>, 33 (1), 6-14.</w:t>
      </w:r>
    </w:p>
    <w:p w:rsidR="00104A12" w:rsidRPr="004D55DA" w:rsidRDefault="00104A12" w:rsidP="007F7964">
      <w:pPr>
        <w:spacing w:before="100"/>
        <w:jc w:val="both"/>
        <w:rPr>
          <w:lang w:val="en-US"/>
        </w:rPr>
      </w:pPr>
      <w:r w:rsidRPr="004D55DA">
        <w:rPr>
          <w:lang w:val="en-US"/>
        </w:rPr>
        <w:t>Veldman, S. J. and Buckman, E. H. (2003). A model on container port competition: An application for the</w:t>
      </w:r>
      <w:r w:rsidR="00A356B2" w:rsidRPr="004D55DA">
        <w:rPr>
          <w:lang w:val="en-US"/>
        </w:rPr>
        <w:t xml:space="preserve"> </w:t>
      </w:r>
      <w:r w:rsidRPr="004D55DA">
        <w:rPr>
          <w:lang w:val="en-US"/>
        </w:rPr>
        <w:t xml:space="preserve">West-European container “hub”-ports. </w:t>
      </w:r>
      <w:r w:rsidRPr="004D55DA">
        <w:rPr>
          <w:i/>
          <w:lang w:val="en-US"/>
        </w:rPr>
        <w:t>Maritime Economics and Logistics</w:t>
      </w:r>
      <w:r w:rsidRPr="004D55DA">
        <w:rPr>
          <w:lang w:val="en-US"/>
        </w:rPr>
        <w:t xml:space="preserve"> 5, 3–22.</w:t>
      </w:r>
    </w:p>
    <w:p w:rsidR="00104A12" w:rsidRPr="004D55DA" w:rsidRDefault="00104A12" w:rsidP="007F7964">
      <w:pPr>
        <w:spacing w:before="100"/>
        <w:jc w:val="both"/>
        <w:rPr>
          <w:lang w:val="en-US"/>
        </w:rPr>
      </w:pPr>
      <w:r w:rsidRPr="004D55DA">
        <w:rPr>
          <w:lang w:val="en-US"/>
        </w:rPr>
        <w:t xml:space="preserve">Veldman, S., Garcia-Alonso and Vallejo-Pinto (2011). Determinants of container port choice in Spain. </w:t>
      </w:r>
      <w:r w:rsidRPr="004D55DA">
        <w:rPr>
          <w:i/>
          <w:lang w:val="en-US"/>
        </w:rPr>
        <w:t>Maritime police &amp; management</w:t>
      </w:r>
      <w:r w:rsidR="00517B2F" w:rsidRPr="004D55DA">
        <w:rPr>
          <w:lang w:val="en-US"/>
        </w:rPr>
        <w:t>,</w:t>
      </w:r>
      <w:r w:rsidRPr="004D55DA">
        <w:rPr>
          <w:lang w:val="en-US"/>
        </w:rPr>
        <w:t xml:space="preserve"> 38(5)</w:t>
      </w:r>
      <w:r w:rsidR="00517B2F" w:rsidRPr="004D55DA">
        <w:rPr>
          <w:lang w:val="en-US"/>
        </w:rPr>
        <w:t>,</w:t>
      </w:r>
      <w:r w:rsidRPr="004D55DA">
        <w:rPr>
          <w:lang w:val="en-US"/>
        </w:rPr>
        <w:t xml:space="preserve"> 509-532.</w:t>
      </w:r>
    </w:p>
    <w:p w:rsidR="00104A12" w:rsidRPr="004D55DA" w:rsidRDefault="00104A12" w:rsidP="007F7964">
      <w:pPr>
        <w:spacing w:before="100"/>
        <w:jc w:val="both"/>
        <w:rPr>
          <w:lang w:val="en-US"/>
        </w:rPr>
      </w:pPr>
      <w:r w:rsidRPr="004D55DA">
        <w:rPr>
          <w:lang w:val="en-US"/>
        </w:rPr>
        <w:t xml:space="preserve">Wang, T. F. and Cullinane, K. (2006). The efficiency of European container terminals and implications for supply chain management. </w:t>
      </w:r>
      <w:r w:rsidRPr="004D55DA">
        <w:rPr>
          <w:i/>
          <w:lang w:val="en-US"/>
        </w:rPr>
        <w:t>Maritime Economics and Logistics</w:t>
      </w:r>
      <w:r w:rsidRPr="004D55DA">
        <w:rPr>
          <w:lang w:val="en-US"/>
        </w:rPr>
        <w:t>, 8, 82–99.</w:t>
      </w:r>
    </w:p>
    <w:p w:rsidR="00104A12" w:rsidRPr="004D55DA" w:rsidRDefault="00104A12" w:rsidP="007F7964">
      <w:pPr>
        <w:spacing w:before="100"/>
        <w:jc w:val="both"/>
        <w:rPr>
          <w:lang w:val="en-US"/>
        </w:rPr>
      </w:pPr>
      <w:r w:rsidRPr="004D55DA">
        <w:rPr>
          <w:lang w:val="en-US"/>
        </w:rPr>
        <w:t xml:space="preserve">Wiegmans, B. (2003). Performance conditions for container terminals. </w:t>
      </w:r>
      <w:r w:rsidRPr="004D55DA">
        <w:rPr>
          <w:i/>
          <w:lang w:val="en-US"/>
        </w:rPr>
        <w:t>Maritime Economics and Logistics</w:t>
      </w:r>
      <w:r w:rsidRPr="004D55DA">
        <w:rPr>
          <w:lang w:val="en-US"/>
        </w:rPr>
        <w:t>, 6, 276–277.</w:t>
      </w:r>
    </w:p>
    <w:p w:rsidR="00104A12" w:rsidRPr="004D55DA" w:rsidRDefault="00104A12" w:rsidP="007F7964">
      <w:pPr>
        <w:spacing w:before="100"/>
        <w:jc w:val="both"/>
        <w:rPr>
          <w:lang w:val="en-US"/>
        </w:rPr>
      </w:pPr>
      <w:r w:rsidRPr="004D55DA">
        <w:rPr>
          <w:lang w:val="en-US"/>
        </w:rPr>
        <w:t xml:space="preserve">Winkelmans, W. (2003). </w:t>
      </w:r>
      <w:r w:rsidRPr="004D55DA">
        <w:rPr>
          <w:i/>
          <w:lang w:val="en-US"/>
        </w:rPr>
        <w:t>Port competitiveness and port competition: Two of a kind?</w:t>
      </w:r>
      <w:r w:rsidRPr="004D55DA">
        <w:rPr>
          <w:lang w:val="en-US"/>
        </w:rPr>
        <w:t xml:space="preserve"> Paper for IAPH conference.</w:t>
      </w:r>
    </w:p>
    <w:p w:rsidR="00104A12" w:rsidRPr="004D55DA" w:rsidRDefault="00104A12" w:rsidP="007F7964">
      <w:pPr>
        <w:spacing w:before="100"/>
        <w:jc w:val="both"/>
        <w:rPr>
          <w:lang w:val="en-US"/>
        </w:rPr>
      </w:pPr>
      <w:r w:rsidRPr="004D55DA">
        <w:rPr>
          <w:lang w:val="en-US"/>
        </w:rPr>
        <w:t xml:space="preserve">Woo, S., Petit, S. and Beresford, A. (2011). Port evolution and performance in changing logistics environment. </w:t>
      </w:r>
      <w:r w:rsidRPr="004D55DA">
        <w:rPr>
          <w:i/>
          <w:lang w:val="en-US"/>
        </w:rPr>
        <w:t>Maritime Economics and Logistics</w:t>
      </w:r>
      <w:r w:rsidRPr="004D55DA">
        <w:rPr>
          <w:lang w:val="en-US"/>
        </w:rPr>
        <w:t>, 13 (3), 250.</w:t>
      </w:r>
    </w:p>
    <w:p w:rsidR="00104A12" w:rsidRPr="004D55DA" w:rsidRDefault="00104A12" w:rsidP="007F7964">
      <w:pPr>
        <w:spacing w:before="100"/>
        <w:jc w:val="both"/>
        <w:rPr>
          <w:lang w:val="en-US"/>
        </w:rPr>
      </w:pPr>
      <w:r w:rsidRPr="004D55DA">
        <w:rPr>
          <w:lang w:val="en-US"/>
        </w:rPr>
        <w:t xml:space="preserve">Wu, J., Yan, H. and Liu, J. (2010). Groups in DEA based cross-evaluation: An application to Asian container ports. </w:t>
      </w:r>
      <w:r w:rsidRPr="004D55DA">
        <w:rPr>
          <w:i/>
          <w:lang w:val="en-US"/>
        </w:rPr>
        <w:t>Maritime Policy and Management</w:t>
      </w:r>
      <w:r w:rsidRPr="004D55DA">
        <w:rPr>
          <w:lang w:val="en-US"/>
        </w:rPr>
        <w:t>, 36(6), 545–558.</w:t>
      </w:r>
    </w:p>
    <w:p w:rsidR="00104A12" w:rsidRPr="004D55DA" w:rsidRDefault="00104A12" w:rsidP="007F7964">
      <w:pPr>
        <w:spacing w:before="100"/>
        <w:jc w:val="both"/>
        <w:rPr>
          <w:lang w:val="en-US"/>
        </w:rPr>
      </w:pPr>
      <w:r w:rsidRPr="004D55DA">
        <w:rPr>
          <w:lang w:val="en-US"/>
        </w:rPr>
        <w:lastRenderedPageBreak/>
        <w:t xml:space="preserve">Xiande, Z., Xie, J. and Leung, J. (2002). The impact of forecasting model selection on the value of information sharing in a supply chain. </w:t>
      </w:r>
      <w:r w:rsidRPr="004D55DA">
        <w:rPr>
          <w:i/>
          <w:lang w:val="en-US"/>
        </w:rPr>
        <w:t>International Journal of Production Economics,</w:t>
      </w:r>
      <w:r w:rsidRPr="004D55DA">
        <w:rPr>
          <w:lang w:val="en-US"/>
        </w:rPr>
        <w:t xml:space="preserve"> 142, 321-344.</w:t>
      </w:r>
    </w:p>
    <w:p w:rsidR="00104A12" w:rsidRPr="004D55DA" w:rsidRDefault="00104A12" w:rsidP="007F7964">
      <w:pPr>
        <w:spacing w:before="100"/>
        <w:jc w:val="both"/>
        <w:rPr>
          <w:lang w:val="en-US"/>
        </w:rPr>
      </w:pPr>
      <w:r w:rsidRPr="004D55DA">
        <w:rPr>
          <w:lang w:val="en-US"/>
        </w:rPr>
        <w:t xml:space="preserve">Yap, W. and Notteboom, T. (2011). Dynamics of liner shipping service. </w:t>
      </w:r>
      <w:r w:rsidRPr="004D55DA">
        <w:rPr>
          <w:i/>
          <w:lang w:val="en-US"/>
        </w:rPr>
        <w:t>Maritime policy and Management</w:t>
      </w:r>
      <w:r w:rsidRPr="004D55DA">
        <w:rPr>
          <w:lang w:val="en-US"/>
        </w:rPr>
        <w:t>, 38(5), 471-485.</w:t>
      </w:r>
    </w:p>
    <w:p w:rsidR="00104A12" w:rsidRPr="004D55DA" w:rsidRDefault="00104A12" w:rsidP="007F7964">
      <w:pPr>
        <w:spacing w:before="100"/>
        <w:jc w:val="both"/>
        <w:rPr>
          <w:lang w:val="en-US"/>
        </w:rPr>
      </w:pPr>
      <w:r w:rsidRPr="004D55DA">
        <w:rPr>
          <w:lang w:val="en-US"/>
        </w:rPr>
        <w:t xml:space="preserve">Yap, W. Y. and Lam, J. S. L. (2006). Competition dynamics between container ports in East Asia. </w:t>
      </w:r>
      <w:r w:rsidRPr="004D55DA">
        <w:rPr>
          <w:i/>
          <w:lang w:val="en-US"/>
        </w:rPr>
        <w:t>Transportation Research Part A</w:t>
      </w:r>
      <w:r w:rsidRPr="004D55DA">
        <w:rPr>
          <w:lang w:val="en-US"/>
        </w:rPr>
        <w:t>, 40, 35-51.</w:t>
      </w:r>
    </w:p>
    <w:p w:rsidR="00104A12" w:rsidRPr="004D55DA" w:rsidRDefault="00104A12" w:rsidP="007F7964">
      <w:pPr>
        <w:spacing w:before="100"/>
        <w:jc w:val="both"/>
        <w:rPr>
          <w:lang w:val="en-US"/>
        </w:rPr>
      </w:pPr>
      <w:r w:rsidRPr="004D55DA">
        <w:rPr>
          <w:lang w:val="en-US"/>
        </w:rPr>
        <w:t xml:space="preserve">Yeo, G. T. and Song, D. W. (2006). An application of the hierarchical fuzzy process to container port competition: Policy and strategic implications. </w:t>
      </w:r>
      <w:r w:rsidRPr="004D55DA">
        <w:rPr>
          <w:i/>
          <w:lang w:val="en-US"/>
        </w:rPr>
        <w:t>Transportation</w:t>
      </w:r>
      <w:r w:rsidRPr="004D55DA">
        <w:rPr>
          <w:lang w:val="en-US"/>
        </w:rPr>
        <w:t>, 33, 409–422.</w:t>
      </w:r>
    </w:p>
    <w:p w:rsidR="00104A12" w:rsidRPr="004D55DA" w:rsidRDefault="00104A12" w:rsidP="007F7964">
      <w:pPr>
        <w:spacing w:before="100"/>
        <w:jc w:val="both"/>
      </w:pPr>
      <w:r w:rsidRPr="004D55DA">
        <w:rPr>
          <w:lang w:val="en-US"/>
        </w:rPr>
        <w:t xml:space="preserve">Zohil, J. and Prijon, M. (1999). The MED rule: </w:t>
      </w:r>
      <w:r w:rsidR="00517B2F" w:rsidRPr="004D55DA">
        <w:rPr>
          <w:lang w:val="en-US"/>
        </w:rPr>
        <w:t>T</w:t>
      </w:r>
      <w:r w:rsidRPr="004D55DA">
        <w:rPr>
          <w:lang w:val="en-US"/>
        </w:rPr>
        <w:t xml:space="preserve">he interdependence of container throughput and “transhipment” amounts in the Mediterranean ports. </w:t>
      </w:r>
      <w:r w:rsidRPr="004D55DA">
        <w:rPr>
          <w:i/>
        </w:rPr>
        <w:t>Maritime Policy and Management</w:t>
      </w:r>
      <w:r w:rsidRPr="004D55DA">
        <w:t>, 26(2), 175-193.</w:t>
      </w:r>
    </w:p>
    <w:p w:rsidR="00104A12" w:rsidRPr="004D55DA" w:rsidRDefault="00104A12" w:rsidP="007F7964">
      <w:pPr>
        <w:spacing w:before="100"/>
        <w:jc w:val="both"/>
      </w:pPr>
    </w:p>
    <w:p w:rsidR="008D4266" w:rsidRDefault="008D4266">
      <w:r>
        <w:br w:type="page"/>
      </w:r>
    </w:p>
    <w:p w:rsidR="008D4266" w:rsidRDefault="008D4266" w:rsidP="007F7964"/>
    <w:p w:rsidR="00DD53DE" w:rsidRPr="00DD53DE" w:rsidRDefault="00DD53DE" w:rsidP="007F7964">
      <w:pPr>
        <w:rPr>
          <w:b/>
        </w:rPr>
      </w:pPr>
      <w:r w:rsidRPr="00DD53DE">
        <w:rPr>
          <w:b/>
        </w:rPr>
        <w:t>Índice remissivo</w:t>
      </w:r>
    </w:p>
    <w:p w:rsidR="00DD53DE" w:rsidRDefault="00DD53DE" w:rsidP="007F7964"/>
    <w:p w:rsidR="00DD53DE" w:rsidRDefault="00DD53DE" w:rsidP="007F7964"/>
    <w:p w:rsidR="00DD53DE" w:rsidRDefault="00DD53DE" w:rsidP="007F7964"/>
    <w:p w:rsidR="00DD53DE" w:rsidRDefault="00DD53DE" w:rsidP="007F7964"/>
    <w:p w:rsidR="0043582D" w:rsidRDefault="00DD53DE" w:rsidP="007F7964">
      <w:pPr>
        <w:rPr>
          <w:noProof/>
        </w:rPr>
        <w:sectPr w:rsidR="0043582D" w:rsidSect="0043582D">
          <w:pgSz w:w="11906" w:h="16838" w:code="9"/>
          <w:pgMar w:top="1418" w:right="1133" w:bottom="1418" w:left="1701" w:header="709" w:footer="709" w:gutter="0"/>
          <w:cols w:space="708"/>
          <w:titlePg/>
          <w:docGrid w:linePitch="360"/>
        </w:sectPr>
      </w:pPr>
      <w:r>
        <w:fldChar w:fldCharType="begin"/>
      </w:r>
      <w:r>
        <w:instrText xml:space="preserve"> INDEX \e "</w:instrText>
      </w:r>
      <w:r>
        <w:tab/>
        <w:instrText xml:space="preserve">" \c "2" \z "2070" </w:instrText>
      </w:r>
      <w:r>
        <w:fldChar w:fldCharType="separate"/>
      </w:r>
    </w:p>
    <w:p w:rsidR="0043582D" w:rsidRPr="0043582D" w:rsidRDefault="0043582D">
      <w:pPr>
        <w:pStyle w:val="ndiceremissivo1"/>
        <w:tabs>
          <w:tab w:val="right" w:leader="dot" w:pos="4166"/>
        </w:tabs>
        <w:rPr>
          <w:noProof/>
        </w:rPr>
      </w:pPr>
      <w:r w:rsidRPr="0043582D">
        <w:rPr>
          <w:rFonts w:ascii="Cambria" w:hAnsi="Cambria" w:cs="Arial"/>
          <w:noProof/>
        </w:rPr>
        <w:lastRenderedPageBreak/>
        <w:t>amostra</w:t>
      </w:r>
      <w:r w:rsidRPr="0043582D">
        <w:rPr>
          <w:noProof/>
        </w:rPr>
        <w:tab/>
        <w:t>127</w:t>
      </w:r>
    </w:p>
    <w:p w:rsidR="0043582D" w:rsidRPr="0043582D" w:rsidRDefault="0043582D">
      <w:pPr>
        <w:pStyle w:val="ndiceremissivo1"/>
        <w:tabs>
          <w:tab w:val="right" w:leader="dot" w:pos="4166"/>
        </w:tabs>
        <w:rPr>
          <w:noProof/>
        </w:rPr>
      </w:pPr>
      <w:r w:rsidRPr="0043582D">
        <w:rPr>
          <w:noProof/>
        </w:rPr>
        <w:t>Atividade</w:t>
      </w:r>
      <w:r w:rsidRPr="0043582D">
        <w:rPr>
          <w:noProof/>
        </w:rPr>
        <w:tab/>
        <w:t>197</w:t>
      </w:r>
    </w:p>
    <w:p w:rsidR="0043582D" w:rsidRPr="0043582D" w:rsidRDefault="0043582D">
      <w:pPr>
        <w:pStyle w:val="ndiceremissivo1"/>
        <w:tabs>
          <w:tab w:val="right" w:leader="dot" w:pos="4166"/>
        </w:tabs>
        <w:rPr>
          <w:noProof/>
        </w:rPr>
      </w:pPr>
      <w:r w:rsidRPr="0043582D">
        <w:rPr>
          <w:noProof/>
        </w:rPr>
        <w:t>cadeia logística</w:t>
      </w:r>
      <w:r w:rsidRPr="0043582D">
        <w:rPr>
          <w:noProof/>
        </w:rPr>
        <w:tab/>
        <w:t>31</w:t>
      </w:r>
    </w:p>
    <w:p w:rsidR="0043582D" w:rsidRPr="0043582D" w:rsidRDefault="0043582D">
      <w:pPr>
        <w:pStyle w:val="ndiceremissivo1"/>
        <w:tabs>
          <w:tab w:val="right" w:leader="dot" w:pos="4166"/>
        </w:tabs>
        <w:rPr>
          <w:noProof/>
        </w:rPr>
      </w:pPr>
      <w:r w:rsidRPr="0043582D">
        <w:rPr>
          <w:noProof/>
        </w:rPr>
        <w:t>Conclusões</w:t>
      </w:r>
      <w:r w:rsidRPr="0043582D">
        <w:rPr>
          <w:noProof/>
        </w:rPr>
        <w:tab/>
        <w:t>217</w:t>
      </w:r>
    </w:p>
    <w:p w:rsidR="0043582D" w:rsidRPr="0043582D" w:rsidRDefault="0043582D">
      <w:pPr>
        <w:pStyle w:val="ndiceremissivo1"/>
        <w:tabs>
          <w:tab w:val="right" w:leader="dot" w:pos="4166"/>
        </w:tabs>
        <w:rPr>
          <w:noProof/>
        </w:rPr>
      </w:pPr>
      <w:r w:rsidRPr="0043582D">
        <w:rPr>
          <w:rFonts w:eastAsia="Arial Unicode MS"/>
          <w:noProof/>
          <w:color w:val="000000"/>
        </w:rPr>
        <w:t>contentor</w:t>
      </w:r>
      <w:r w:rsidRPr="0043582D">
        <w:rPr>
          <w:noProof/>
        </w:rPr>
        <w:tab/>
        <w:t>25</w:t>
      </w:r>
    </w:p>
    <w:p w:rsidR="0043582D" w:rsidRPr="0043582D" w:rsidRDefault="0043582D">
      <w:pPr>
        <w:pStyle w:val="ndiceremissivo1"/>
        <w:tabs>
          <w:tab w:val="right" w:leader="dot" w:pos="4166"/>
        </w:tabs>
        <w:rPr>
          <w:noProof/>
        </w:rPr>
      </w:pPr>
      <w:r w:rsidRPr="0043582D">
        <w:rPr>
          <w:noProof/>
        </w:rPr>
        <w:t>Contribuições</w:t>
      </w:r>
      <w:r w:rsidRPr="0043582D">
        <w:rPr>
          <w:noProof/>
        </w:rPr>
        <w:tab/>
        <w:t>224</w:t>
      </w:r>
    </w:p>
    <w:p w:rsidR="0043582D" w:rsidRPr="0043582D" w:rsidRDefault="0043582D">
      <w:pPr>
        <w:pStyle w:val="ndiceremissivo1"/>
        <w:tabs>
          <w:tab w:val="right" w:leader="dot" w:pos="4166"/>
        </w:tabs>
        <w:rPr>
          <w:noProof/>
        </w:rPr>
      </w:pPr>
      <w:r w:rsidRPr="0043582D">
        <w:rPr>
          <w:noProof/>
        </w:rPr>
        <w:t>data envelopment analysis</w:t>
      </w:r>
      <w:r w:rsidRPr="0043582D">
        <w:rPr>
          <w:noProof/>
        </w:rPr>
        <w:tab/>
        <w:t>115</w:t>
      </w:r>
    </w:p>
    <w:p w:rsidR="0043582D" w:rsidRPr="0043582D" w:rsidRDefault="0043582D">
      <w:pPr>
        <w:pStyle w:val="ndiceremissivo1"/>
        <w:tabs>
          <w:tab w:val="right" w:leader="dot" w:pos="4166"/>
        </w:tabs>
        <w:rPr>
          <w:noProof/>
        </w:rPr>
      </w:pPr>
      <w:r w:rsidRPr="0043582D">
        <w:rPr>
          <w:noProof/>
        </w:rPr>
        <w:t>Desempenho do terminal</w:t>
      </w:r>
      <w:r w:rsidRPr="0043582D">
        <w:rPr>
          <w:noProof/>
        </w:rPr>
        <w:tab/>
        <w:t>92</w:t>
      </w:r>
    </w:p>
    <w:p w:rsidR="0043582D" w:rsidRPr="0043582D" w:rsidRDefault="0043582D">
      <w:pPr>
        <w:pStyle w:val="ndiceremissivo1"/>
        <w:tabs>
          <w:tab w:val="right" w:leader="dot" w:pos="4166"/>
        </w:tabs>
        <w:rPr>
          <w:noProof/>
        </w:rPr>
      </w:pPr>
      <w:r w:rsidRPr="0043582D">
        <w:rPr>
          <w:noProof/>
        </w:rPr>
        <w:t>Eficiência</w:t>
      </w:r>
      <w:r w:rsidRPr="0043582D">
        <w:rPr>
          <w:noProof/>
        </w:rPr>
        <w:tab/>
        <w:t>197</w:t>
      </w:r>
    </w:p>
    <w:p w:rsidR="0043582D" w:rsidRPr="0043582D" w:rsidRDefault="0043582D">
      <w:pPr>
        <w:pStyle w:val="ndiceremissivo1"/>
        <w:tabs>
          <w:tab w:val="right" w:leader="dot" w:pos="4166"/>
        </w:tabs>
        <w:rPr>
          <w:noProof/>
        </w:rPr>
      </w:pPr>
      <w:r w:rsidRPr="0043582D">
        <w:rPr>
          <w:noProof/>
        </w:rPr>
        <w:t>equações estruturais</w:t>
      </w:r>
      <w:r w:rsidRPr="0043582D">
        <w:rPr>
          <w:noProof/>
        </w:rPr>
        <w:tab/>
        <w:t>125</w:t>
      </w:r>
    </w:p>
    <w:p w:rsidR="0043582D" w:rsidRPr="0043582D" w:rsidRDefault="0043582D">
      <w:pPr>
        <w:pStyle w:val="ndiceremissivo1"/>
        <w:tabs>
          <w:tab w:val="right" w:leader="dot" w:pos="4166"/>
        </w:tabs>
        <w:rPr>
          <w:noProof/>
        </w:rPr>
      </w:pPr>
      <w:r w:rsidRPr="0043582D">
        <w:rPr>
          <w:noProof/>
        </w:rPr>
        <w:t>Europa</w:t>
      </w:r>
      <w:r w:rsidRPr="0043582D">
        <w:rPr>
          <w:noProof/>
        </w:rPr>
        <w:tab/>
        <w:t>179</w:t>
      </w:r>
    </w:p>
    <w:p w:rsidR="0043582D" w:rsidRPr="0043582D" w:rsidRDefault="0043582D">
      <w:pPr>
        <w:pStyle w:val="ndiceremissivo1"/>
        <w:tabs>
          <w:tab w:val="right" w:leader="dot" w:pos="4166"/>
        </w:tabs>
        <w:rPr>
          <w:noProof/>
        </w:rPr>
      </w:pPr>
      <w:r w:rsidRPr="0043582D">
        <w:rPr>
          <w:noProof/>
        </w:rPr>
        <w:t>Evolução do porto</w:t>
      </w:r>
      <w:r w:rsidRPr="0043582D">
        <w:rPr>
          <w:noProof/>
        </w:rPr>
        <w:tab/>
        <w:t>24</w:t>
      </w:r>
    </w:p>
    <w:p w:rsidR="0043582D" w:rsidRPr="0043582D" w:rsidRDefault="0043582D">
      <w:pPr>
        <w:pStyle w:val="ndiceremissivo1"/>
        <w:tabs>
          <w:tab w:val="right" w:leader="dot" w:pos="4166"/>
        </w:tabs>
        <w:rPr>
          <w:noProof/>
        </w:rPr>
      </w:pPr>
      <w:r w:rsidRPr="0043582D">
        <w:rPr>
          <w:noProof/>
        </w:rPr>
        <w:t>fluxos de comércio</w:t>
      </w:r>
      <w:r w:rsidRPr="0043582D">
        <w:rPr>
          <w:noProof/>
        </w:rPr>
        <w:tab/>
        <w:t>22</w:t>
      </w:r>
    </w:p>
    <w:p w:rsidR="0043582D" w:rsidRPr="0043582D" w:rsidRDefault="0043582D">
      <w:pPr>
        <w:pStyle w:val="ndiceremissivo1"/>
        <w:tabs>
          <w:tab w:val="right" w:leader="dot" w:pos="4166"/>
        </w:tabs>
        <w:rPr>
          <w:noProof/>
        </w:rPr>
      </w:pPr>
      <w:r w:rsidRPr="0043582D">
        <w:rPr>
          <w:noProof/>
        </w:rPr>
        <w:t>funções do terminal</w:t>
      </w:r>
      <w:r w:rsidRPr="0043582D">
        <w:rPr>
          <w:noProof/>
        </w:rPr>
        <w:tab/>
        <w:t>21</w:t>
      </w:r>
    </w:p>
    <w:p w:rsidR="0043582D" w:rsidRPr="0043582D" w:rsidRDefault="0043582D">
      <w:pPr>
        <w:pStyle w:val="ndiceremissivo1"/>
        <w:tabs>
          <w:tab w:val="right" w:leader="dot" w:pos="4166"/>
        </w:tabs>
        <w:rPr>
          <w:noProof/>
        </w:rPr>
      </w:pPr>
      <w:r w:rsidRPr="0043582D">
        <w:rPr>
          <w:noProof/>
        </w:rPr>
        <w:t>Hard-port</w:t>
      </w:r>
      <w:r w:rsidRPr="0043582D">
        <w:rPr>
          <w:noProof/>
        </w:rPr>
        <w:tab/>
        <w:t>55</w:t>
      </w:r>
    </w:p>
    <w:p w:rsidR="0043582D" w:rsidRPr="0043582D" w:rsidRDefault="0043582D">
      <w:pPr>
        <w:pStyle w:val="ndiceremissivo1"/>
        <w:tabs>
          <w:tab w:val="right" w:leader="dot" w:pos="4166"/>
        </w:tabs>
        <w:rPr>
          <w:noProof/>
        </w:rPr>
      </w:pPr>
      <w:r w:rsidRPr="0043582D">
        <w:rPr>
          <w:noProof/>
        </w:rPr>
        <w:t>Hard-terminal</w:t>
      </w:r>
      <w:r w:rsidRPr="0043582D">
        <w:rPr>
          <w:noProof/>
        </w:rPr>
        <w:tab/>
        <w:t>65</w:t>
      </w:r>
    </w:p>
    <w:p w:rsidR="0043582D" w:rsidRPr="0043582D" w:rsidRDefault="0043582D">
      <w:pPr>
        <w:pStyle w:val="ndiceremissivo1"/>
        <w:tabs>
          <w:tab w:val="right" w:leader="dot" w:pos="4166"/>
        </w:tabs>
        <w:rPr>
          <w:noProof/>
        </w:rPr>
      </w:pPr>
      <w:r w:rsidRPr="0043582D">
        <w:rPr>
          <w:noProof/>
        </w:rPr>
        <w:t>hipóteses</w:t>
      </w:r>
      <w:r w:rsidRPr="0043582D">
        <w:rPr>
          <w:noProof/>
        </w:rPr>
        <w:tab/>
        <w:t>97</w:t>
      </w:r>
    </w:p>
    <w:p w:rsidR="0043582D" w:rsidRPr="0043582D" w:rsidRDefault="0043582D">
      <w:pPr>
        <w:pStyle w:val="ndiceremissivo1"/>
        <w:tabs>
          <w:tab w:val="right" w:leader="dot" w:pos="4166"/>
        </w:tabs>
        <w:rPr>
          <w:noProof/>
        </w:rPr>
      </w:pPr>
      <w:r w:rsidRPr="0043582D">
        <w:rPr>
          <w:noProof/>
        </w:rPr>
        <w:t>Lacunas da investigação</w:t>
      </w:r>
      <w:r w:rsidRPr="0043582D">
        <w:rPr>
          <w:noProof/>
        </w:rPr>
        <w:tab/>
        <w:t>33</w:t>
      </w:r>
    </w:p>
    <w:p w:rsidR="0043582D" w:rsidRPr="0043582D" w:rsidRDefault="0043582D">
      <w:pPr>
        <w:pStyle w:val="ndiceremissivo1"/>
        <w:tabs>
          <w:tab w:val="right" w:leader="dot" w:pos="4166"/>
        </w:tabs>
        <w:rPr>
          <w:noProof/>
        </w:rPr>
      </w:pPr>
      <w:r w:rsidRPr="0043582D">
        <w:rPr>
          <w:noProof/>
        </w:rPr>
        <w:t>Modelo de investigação</w:t>
      </w:r>
      <w:r w:rsidRPr="0043582D">
        <w:rPr>
          <w:noProof/>
        </w:rPr>
        <w:tab/>
        <w:t>97</w:t>
      </w:r>
    </w:p>
    <w:p w:rsidR="0043582D" w:rsidRPr="0043582D" w:rsidRDefault="0043582D">
      <w:pPr>
        <w:pStyle w:val="ndiceremissivo1"/>
        <w:tabs>
          <w:tab w:val="right" w:leader="dot" w:pos="4166"/>
        </w:tabs>
        <w:rPr>
          <w:noProof/>
        </w:rPr>
      </w:pPr>
      <w:r w:rsidRPr="0043582D">
        <w:rPr>
          <w:noProof/>
        </w:rPr>
        <w:lastRenderedPageBreak/>
        <w:t>Multidimensionalidade dos portos</w:t>
      </w:r>
      <w:r w:rsidRPr="0043582D">
        <w:rPr>
          <w:noProof/>
        </w:rPr>
        <w:tab/>
        <w:t>43</w:t>
      </w:r>
    </w:p>
    <w:p w:rsidR="0043582D" w:rsidRPr="0043582D" w:rsidRDefault="0043582D">
      <w:pPr>
        <w:pStyle w:val="ndiceremissivo1"/>
        <w:tabs>
          <w:tab w:val="right" w:leader="dot" w:pos="4166"/>
        </w:tabs>
        <w:rPr>
          <w:noProof/>
        </w:rPr>
      </w:pPr>
      <w:r w:rsidRPr="0043582D">
        <w:rPr>
          <w:noProof/>
        </w:rPr>
        <w:t>operadores marítimos</w:t>
      </w:r>
      <w:r w:rsidRPr="0043582D">
        <w:rPr>
          <w:noProof/>
        </w:rPr>
        <w:tab/>
        <w:t>17</w:t>
      </w:r>
    </w:p>
    <w:p w:rsidR="0043582D" w:rsidRPr="0043582D" w:rsidRDefault="0043582D">
      <w:pPr>
        <w:pStyle w:val="ndiceremissivo1"/>
        <w:tabs>
          <w:tab w:val="right" w:leader="dot" w:pos="4166"/>
        </w:tabs>
        <w:rPr>
          <w:noProof/>
        </w:rPr>
      </w:pPr>
      <w:r w:rsidRPr="0043582D">
        <w:rPr>
          <w:noProof/>
        </w:rPr>
        <w:t>Position-port</w:t>
      </w:r>
      <w:r w:rsidRPr="0043582D">
        <w:rPr>
          <w:noProof/>
        </w:rPr>
        <w:tab/>
        <w:t>47</w:t>
      </w:r>
    </w:p>
    <w:p w:rsidR="0043582D" w:rsidRPr="0043582D" w:rsidRDefault="0043582D">
      <w:pPr>
        <w:pStyle w:val="ndiceremissivo1"/>
        <w:tabs>
          <w:tab w:val="right" w:leader="dot" w:pos="4166"/>
        </w:tabs>
        <w:rPr>
          <w:noProof/>
        </w:rPr>
      </w:pPr>
      <w:r w:rsidRPr="0043582D">
        <w:rPr>
          <w:noProof/>
        </w:rPr>
        <w:t>primeiro inquérito</w:t>
      </w:r>
      <w:r w:rsidRPr="0043582D">
        <w:rPr>
          <w:noProof/>
        </w:rPr>
        <w:tab/>
        <w:t>130</w:t>
      </w:r>
    </w:p>
    <w:p w:rsidR="0043582D" w:rsidRPr="0043582D" w:rsidRDefault="0043582D">
      <w:pPr>
        <w:pStyle w:val="ndiceremissivo1"/>
        <w:tabs>
          <w:tab w:val="right" w:leader="dot" w:pos="4166"/>
        </w:tabs>
        <w:rPr>
          <w:noProof/>
        </w:rPr>
      </w:pPr>
      <w:r w:rsidRPr="0043582D">
        <w:rPr>
          <w:noProof/>
        </w:rPr>
        <w:t>Propósito e objetivos</w:t>
      </w:r>
      <w:r w:rsidRPr="0043582D">
        <w:rPr>
          <w:noProof/>
        </w:rPr>
        <w:tab/>
        <w:t>36</w:t>
      </w:r>
    </w:p>
    <w:p w:rsidR="0043582D" w:rsidRPr="0043582D" w:rsidRDefault="0043582D">
      <w:pPr>
        <w:pStyle w:val="ndiceremissivo1"/>
        <w:tabs>
          <w:tab w:val="right" w:leader="dot" w:pos="4166"/>
        </w:tabs>
        <w:rPr>
          <w:noProof/>
        </w:rPr>
      </w:pPr>
      <w:r w:rsidRPr="0043582D">
        <w:rPr>
          <w:noProof/>
        </w:rPr>
        <w:t>resultados</w:t>
      </w:r>
      <w:r w:rsidRPr="0043582D">
        <w:rPr>
          <w:noProof/>
        </w:rPr>
        <w:tab/>
        <w:t>127</w:t>
      </w:r>
    </w:p>
    <w:p w:rsidR="0043582D" w:rsidRPr="0043582D" w:rsidRDefault="0043582D">
      <w:pPr>
        <w:pStyle w:val="ndiceremissivo1"/>
        <w:tabs>
          <w:tab w:val="right" w:leader="dot" w:pos="4166"/>
        </w:tabs>
        <w:rPr>
          <w:noProof/>
        </w:rPr>
      </w:pPr>
      <w:r w:rsidRPr="0043582D">
        <w:rPr>
          <w:noProof/>
        </w:rPr>
        <w:t>Revisão da literatura</w:t>
      </w:r>
      <w:r w:rsidRPr="0043582D">
        <w:rPr>
          <w:noProof/>
        </w:rPr>
        <w:tab/>
        <w:t>37</w:t>
      </w:r>
    </w:p>
    <w:p w:rsidR="0043582D" w:rsidRPr="0043582D" w:rsidRDefault="0043582D">
      <w:pPr>
        <w:pStyle w:val="ndiceremissivo1"/>
        <w:tabs>
          <w:tab w:val="right" w:leader="dot" w:pos="4166"/>
        </w:tabs>
        <w:rPr>
          <w:noProof/>
        </w:rPr>
      </w:pPr>
      <w:r w:rsidRPr="0043582D">
        <w:rPr>
          <w:noProof/>
        </w:rPr>
        <w:t>Satisfação do cliente</w:t>
      </w:r>
      <w:r w:rsidRPr="0043582D">
        <w:rPr>
          <w:noProof/>
        </w:rPr>
        <w:tab/>
        <w:t>198</w:t>
      </w:r>
    </w:p>
    <w:p w:rsidR="0043582D" w:rsidRPr="0043582D" w:rsidRDefault="0043582D">
      <w:pPr>
        <w:pStyle w:val="ndiceremissivo1"/>
        <w:tabs>
          <w:tab w:val="right" w:leader="dot" w:pos="4166"/>
        </w:tabs>
        <w:rPr>
          <w:noProof/>
        </w:rPr>
      </w:pPr>
      <w:r w:rsidRPr="0043582D">
        <w:rPr>
          <w:noProof/>
        </w:rPr>
        <w:t>segundo inquérito</w:t>
      </w:r>
      <w:r w:rsidRPr="0043582D">
        <w:rPr>
          <w:noProof/>
        </w:rPr>
        <w:tab/>
        <w:t>155</w:t>
      </w:r>
    </w:p>
    <w:p w:rsidR="0043582D" w:rsidRPr="0043582D" w:rsidRDefault="0043582D">
      <w:pPr>
        <w:pStyle w:val="ndiceremissivo1"/>
        <w:tabs>
          <w:tab w:val="right" w:leader="dot" w:pos="4166"/>
        </w:tabs>
        <w:rPr>
          <w:noProof/>
        </w:rPr>
      </w:pPr>
      <w:r w:rsidRPr="0043582D">
        <w:rPr>
          <w:noProof/>
        </w:rPr>
        <w:t>Softlogis-terminal</w:t>
      </w:r>
      <w:r w:rsidRPr="0043582D">
        <w:rPr>
          <w:noProof/>
        </w:rPr>
        <w:tab/>
        <w:t>75</w:t>
      </w:r>
    </w:p>
    <w:p w:rsidR="0043582D" w:rsidRPr="0043582D" w:rsidRDefault="0043582D">
      <w:pPr>
        <w:pStyle w:val="ndiceremissivo1"/>
        <w:tabs>
          <w:tab w:val="right" w:leader="dot" w:pos="4166"/>
        </w:tabs>
        <w:rPr>
          <w:noProof/>
        </w:rPr>
      </w:pPr>
      <w:r w:rsidRPr="0043582D">
        <w:rPr>
          <w:noProof/>
        </w:rPr>
        <w:t>Softorg-terminal</w:t>
      </w:r>
      <w:r w:rsidRPr="0043582D">
        <w:rPr>
          <w:noProof/>
        </w:rPr>
        <w:tab/>
        <w:t>87</w:t>
      </w:r>
    </w:p>
    <w:p w:rsidR="0043582D" w:rsidRPr="0043582D" w:rsidRDefault="0043582D">
      <w:pPr>
        <w:pStyle w:val="ndiceremissivo1"/>
        <w:tabs>
          <w:tab w:val="right" w:leader="dot" w:pos="4166"/>
        </w:tabs>
        <w:rPr>
          <w:noProof/>
        </w:rPr>
      </w:pPr>
      <w:r w:rsidRPr="0043582D">
        <w:rPr>
          <w:noProof/>
        </w:rPr>
        <w:t>Soft-port</w:t>
      </w:r>
      <w:r w:rsidRPr="0043582D">
        <w:rPr>
          <w:noProof/>
        </w:rPr>
        <w:tab/>
        <w:t>61</w:t>
      </w:r>
    </w:p>
    <w:p w:rsidR="0043582D" w:rsidRPr="0043582D" w:rsidRDefault="0043582D">
      <w:pPr>
        <w:pStyle w:val="ndiceremissivo1"/>
        <w:tabs>
          <w:tab w:val="right" w:leader="dot" w:pos="4166"/>
        </w:tabs>
        <w:rPr>
          <w:noProof/>
        </w:rPr>
      </w:pPr>
      <w:r w:rsidRPr="0043582D">
        <w:rPr>
          <w:noProof/>
        </w:rPr>
        <w:t>Softsea-terminal</w:t>
      </w:r>
      <w:r w:rsidRPr="0043582D">
        <w:rPr>
          <w:noProof/>
        </w:rPr>
        <w:tab/>
        <w:t>70</w:t>
      </w:r>
    </w:p>
    <w:p w:rsidR="0043582D" w:rsidRPr="0043582D" w:rsidRDefault="0043582D">
      <w:pPr>
        <w:pStyle w:val="ndiceremissivo1"/>
        <w:tabs>
          <w:tab w:val="right" w:leader="dot" w:pos="4166"/>
        </w:tabs>
        <w:rPr>
          <w:noProof/>
        </w:rPr>
      </w:pPr>
      <w:r w:rsidRPr="0043582D">
        <w:rPr>
          <w:noProof/>
        </w:rPr>
        <w:t>Técnicas estatísticas</w:t>
      </w:r>
      <w:r w:rsidRPr="0043582D">
        <w:rPr>
          <w:noProof/>
        </w:rPr>
        <w:tab/>
        <w:t>115</w:t>
      </w:r>
    </w:p>
    <w:p w:rsidR="0043582D" w:rsidRPr="0043582D" w:rsidRDefault="0043582D">
      <w:pPr>
        <w:pStyle w:val="ndiceremissivo1"/>
        <w:tabs>
          <w:tab w:val="right" w:leader="dot" w:pos="4166"/>
        </w:tabs>
        <w:rPr>
          <w:noProof/>
        </w:rPr>
      </w:pPr>
      <w:r w:rsidRPr="0043582D">
        <w:rPr>
          <w:noProof/>
        </w:rPr>
        <w:t>Teorias do desempenho portuário</w:t>
      </w:r>
      <w:r w:rsidRPr="0043582D">
        <w:rPr>
          <w:noProof/>
        </w:rPr>
        <w:tab/>
        <w:t>41</w:t>
      </w:r>
    </w:p>
    <w:p w:rsidR="0043582D" w:rsidRPr="0043582D" w:rsidRDefault="0043582D">
      <w:pPr>
        <w:pStyle w:val="ndiceremissivo1"/>
        <w:tabs>
          <w:tab w:val="right" w:leader="dot" w:pos="4166"/>
        </w:tabs>
        <w:rPr>
          <w:noProof/>
        </w:rPr>
      </w:pPr>
      <w:r w:rsidRPr="0043582D">
        <w:rPr>
          <w:noProof/>
        </w:rPr>
        <w:t>transhipment</w:t>
      </w:r>
      <w:r w:rsidRPr="0043582D">
        <w:rPr>
          <w:noProof/>
        </w:rPr>
        <w:tab/>
        <w:t>28</w:t>
      </w:r>
    </w:p>
    <w:p w:rsidR="0043582D" w:rsidRPr="0043582D" w:rsidRDefault="0043582D">
      <w:pPr>
        <w:pStyle w:val="ndiceremissivo1"/>
        <w:tabs>
          <w:tab w:val="right" w:leader="dot" w:pos="4166"/>
        </w:tabs>
        <w:rPr>
          <w:noProof/>
        </w:rPr>
      </w:pPr>
      <w:r w:rsidRPr="0043582D">
        <w:rPr>
          <w:noProof/>
        </w:rPr>
        <w:t>transporte marítimo</w:t>
      </w:r>
      <w:r w:rsidRPr="0043582D">
        <w:rPr>
          <w:noProof/>
        </w:rPr>
        <w:tab/>
        <w:t>16</w:t>
      </w:r>
    </w:p>
    <w:p w:rsidR="0043582D" w:rsidRDefault="0043582D">
      <w:pPr>
        <w:pStyle w:val="ndiceremissivo1"/>
        <w:tabs>
          <w:tab w:val="right" w:leader="dot" w:pos="4166"/>
        </w:tabs>
        <w:rPr>
          <w:noProof/>
        </w:rPr>
      </w:pPr>
      <w:r w:rsidRPr="0043582D">
        <w:rPr>
          <w:noProof/>
        </w:rPr>
        <w:t>Variáveis</w:t>
      </w:r>
      <w:r w:rsidRPr="0043582D">
        <w:rPr>
          <w:noProof/>
        </w:rPr>
        <w:tab/>
      </w:r>
      <w:r>
        <w:rPr>
          <w:noProof/>
        </w:rPr>
        <w:t>104</w:t>
      </w:r>
    </w:p>
    <w:p w:rsidR="0043582D" w:rsidRDefault="0043582D" w:rsidP="007F7964">
      <w:pPr>
        <w:rPr>
          <w:noProof/>
        </w:rPr>
        <w:sectPr w:rsidR="0043582D" w:rsidSect="0043582D">
          <w:type w:val="continuous"/>
          <w:pgSz w:w="11906" w:h="16838" w:code="9"/>
          <w:pgMar w:top="1418" w:right="1133" w:bottom="1418" w:left="1701" w:header="709" w:footer="709" w:gutter="0"/>
          <w:cols w:num="2" w:space="720"/>
          <w:titlePg/>
          <w:docGrid w:linePitch="360"/>
        </w:sectPr>
      </w:pPr>
    </w:p>
    <w:p w:rsidR="008D4266" w:rsidRDefault="00DD53DE" w:rsidP="007F7964">
      <w:r>
        <w:lastRenderedPageBreak/>
        <w:fldChar w:fldCharType="end"/>
      </w:r>
    </w:p>
    <w:p w:rsidR="008D4266" w:rsidRDefault="008D4266" w:rsidP="007F7964"/>
    <w:p w:rsidR="00104A12" w:rsidRPr="004D55DA" w:rsidRDefault="00104A12" w:rsidP="007F7964">
      <w:r w:rsidRPr="004D55DA">
        <w:br w:type="page"/>
      </w:r>
    </w:p>
    <w:p w:rsidR="00104A12" w:rsidRPr="004D55DA" w:rsidRDefault="00104A12" w:rsidP="007F7964">
      <w:pPr>
        <w:pStyle w:val="Cabealho1"/>
        <w:rPr>
          <w:rFonts w:ascii="Times New Roman" w:hAnsi="Times New Roman"/>
        </w:rPr>
      </w:pPr>
      <w:bookmarkStart w:id="219" w:name="_Toc395730169"/>
      <w:r w:rsidRPr="004D55DA">
        <w:rPr>
          <w:rFonts w:ascii="Times New Roman" w:hAnsi="Times New Roman"/>
        </w:rPr>
        <w:lastRenderedPageBreak/>
        <w:t>A</w:t>
      </w:r>
      <w:r w:rsidR="00BF783B">
        <w:rPr>
          <w:rFonts w:ascii="Times New Roman" w:hAnsi="Times New Roman"/>
        </w:rPr>
        <w:t>pêndices</w:t>
      </w:r>
      <w:bookmarkEnd w:id="219"/>
    </w:p>
    <w:p w:rsidR="00104A12" w:rsidRPr="004D55DA" w:rsidRDefault="00104A12" w:rsidP="007F7964">
      <w:r w:rsidRPr="004D55DA">
        <w:br w:type="page"/>
      </w:r>
    </w:p>
    <w:p w:rsidR="00104A12" w:rsidRPr="00D713C2" w:rsidRDefault="00BF783B" w:rsidP="007F7964">
      <w:pPr>
        <w:pStyle w:val="Legenda"/>
        <w:rPr>
          <w:sz w:val="24"/>
          <w:szCs w:val="24"/>
        </w:rPr>
      </w:pPr>
      <w:bookmarkStart w:id="220" w:name="_Toc395730310"/>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1</w:t>
      </w:r>
      <w:r w:rsidR="00372F0E" w:rsidRPr="00D713C2">
        <w:rPr>
          <w:noProof/>
          <w:sz w:val="24"/>
          <w:szCs w:val="24"/>
        </w:rPr>
        <w:fldChar w:fldCharType="end"/>
      </w:r>
      <w:r w:rsidR="00104A12" w:rsidRPr="00D713C2">
        <w:rPr>
          <w:sz w:val="24"/>
          <w:szCs w:val="24"/>
        </w:rPr>
        <w:t xml:space="preserve"> - Primeiro inquérito (Portugal e Espanha)</w:t>
      </w:r>
      <w:bookmarkEnd w:id="220"/>
    </w:p>
    <w:p w:rsidR="00104A12" w:rsidRPr="004D55DA" w:rsidRDefault="00BF31C8" w:rsidP="007F7964">
      <w:pPr>
        <w:spacing w:before="100"/>
        <w:jc w:val="both"/>
      </w:pPr>
      <w:r w:rsidRPr="004D55DA">
        <w:rPr>
          <w:noProof/>
        </w:rPr>
        <w:drawing>
          <wp:inline distT="0" distB="0" distL="0" distR="0" wp14:anchorId="266C4145" wp14:editId="2210B2A2">
            <wp:extent cx="5608320" cy="6261735"/>
            <wp:effectExtent l="0" t="0" r="0" b="5715"/>
            <wp:docPr id="415" name="Imagem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66"/>
                    <pic:cNvPicPr>
                      <a:picLocks noChangeAspect="1" noChangeArrowheads="1"/>
                    </pic:cNvPicPr>
                  </pic:nvPicPr>
                  <pic:blipFill>
                    <a:blip r:embed="rId87">
                      <a:extLst>
                        <a:ext uri="{28A0092B-C50C-407E-A947-70E740481C1C}">
                          <a14:useLocalDpi xmlns:a14="http://schemas.microsoft.com/office/drawing/2010/main" val="0"/>
                        </a:ext>
                      </a:extLst>
                    </a:blip>
                    <a:srcRect l="33276" t="15280" r="18781" b="18509"/>
                    <a:stretch>
                      <a:fillRect/>
                    </a:stretch>
                  </pic:blipFill>
                  <pic:spPr bwMode="auto">
                    <a:xfrm>
                      <a:off x="0" y="0"/>
                      <a:ext cx="5608320" cy="6261735"/>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75A1BE06" wp14:editId="5903EFD4">
            <wp:extent cx="5620385" cy="6066790"/>
            <wp:effectExtent l="0" t="0" r="0" b="0"/>
            <wp:docPr id="416" name="Imagem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69"/>
                    <pic:cNvPicPr>
                      <a:picLocks noChangeAspect="1" noChangeArrowheads="1"/>
                    </pic:cNvPicPr>
                  </pic:nvPicPr>
                  <pic:blipFill>
                    <a:blip r:embed="rId88">
                      <a:extLst>
                        <a:ext uri="{28A0092B-C50C-407E-A947-70E740481C1C}">
                          <a14:useLocalDpi xmlns:a14="http://schemas.microsoft.com/office/drawing/2010/main" val="0"/>
                        </a:ext>
                      </a:extLst>
                    </a:blip>
                    <a:srcRect l="33546" t="19356" r="16881" b="13072"/>
                    <a:stretch>
                      <a:fillRect/>
                    </a:stretch>
                  </pic:blipFill>
                  <pic:spPr bwMode="auto">
                    <a:xfrm>
                      <a:off x="0" y="0"/>
                      <a:ext cx="5620385" cy="6066790"/>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07147767" wp14:editId="373566A9">
            <wp:extent cx="5620385" cy="6456680"/>
            <wp:effectExtent l="0" t="0" r="0" b="1270"/>
            <wp:docPr id="417" name="Imagem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70"/>
                    <pic:cNvPicPr>
                      <a:picLocks noChangeAspect="1" noChangeArrowheads="1"/>
                    </pic:cNvPicPr>
                  </pic:nvPicPr>
                  <pic:blipFill>
                    <a:blip r:embed="rId89">
                      <a:extLst>
                        <a:ext uri="{28A0092B-C50C-407E-A947-70E740481C1C}">
                          <a14:useLocalDpi xmlns:a14="http://schemas.microsoft.com/office/drawing/2010/main" val="0"/>
                        </a:ext>
                      </a:extLst>
                    </a:blip>
                    <a:srcRect l="33276" t="16472" r="17151" b="12396"/>
                    <a:stretch>
                      <a:fillRect/>
                    </a:stretch>
                  </pic:blipFill>
                  <pic:spPr bwMode="auto">
                    <a:xfrm>
                      <a:off x="0" y="0"/>
                      <a:ext cx="5620385" cy="6456680"/>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16B03CBC" wp14:editId="0216BBE3">
            <wp:extent cx="5620385" cy="6642100"/>
            <wp:effectExtent l="0" t="0" r="0" b="6350"/>
            <wp:docPr id="418" name="Imagem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71"/>
                    <pic:cNvPicPr>
                      <a:picLocks noChangeAspect="1" noChangeArrowheads="1"/>
                    </pic:cNvPicPr>
                  </pic:nvPicPr>
                  <pic:blipFill>
                    <a:blip r:embed="rId90">
                      <a:extLst>
                        <a:ext uri="{28A0092B-C50C-407E-A947-70E740481C1C}">
                          <a14:useLocalDpi xmlns:a14="http://schemas.microsoft.com/office/drawing/2010/main" val="0"/>
                        </a:ext>
                      </a:extLst>
                    </a:blip>
                    <a:srcRect l="34088" t="13580" r="16881" b="14772"/>
                    <a:stretch>
                      <a:fillRect/>
                    </a:stretch>
                  </pic:blipFill>
                  <pic:spPr bwMode="auto">
                    <a:xfrm>
                      <a:off x="0" y="0"/>
                      <a:ext cx="5620385" cy="6642100"/>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3D32A0CC" wp14:editId="5A4F87D4">
            <wp:extent cx="5608320" cy="5198745"/>
            <wp:effectExtent l="0" t="0" r="0" b="1905"/>
            <wp:docPr id="419" name="Imagem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72"/>
                    <pic:cNvPicPr>
                      <a:picLocks noChangeAspect="1" noChangeArrowheads="1"/>
                    </pic:cNvPicPr>
                  </pic:nvPicPr>
                  <pic:blipFill>
                    <a:blip r:embed="rId91">
                      <a:extLst>
                        <a:ext uri="{28A0092B-C50C-407E-A947-70E740481C1C}">
                          <a14:useLocalDpi xmlns:a14="http://schemas.microsoft.com/office/drawing/2010/main" val="0"/>
                        </a:ext>
                      </a:extLst>
                    </a:blip>
                    <a:srcRect l="33954" t="17825" r="17151" b="24277"/>
                    <a:stretch>
                      <a:fillRect/>
                    </a:stretch>
                  </pic:blipFill>
                  <pic:spPr bwMode="auto">
                    <a:xfrm>
                      <a:off x="0" y="0"/>
                      <a:ext cx="5608320" cy="5198745"/>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381AB911" wp14:editId="743A8DF9">
            <wp:extent cx="5364480" cy="8007985"/>
            <wp:effectExtent l="0" t="0" r="7620" b="0"/>
            <wp:docPr id="420" name="Imagem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73"/>
                    <pic:cNvPicPr>
                      <a:picLocks noChangeAspect="1" noChangeArrowheads="1"/>
                    </pic:cNvPicPr>
                  </pic:nvPicPr>
                  <pic:blipFill>
                    <a:blip r:embed="rId92">
                      <a:extLst>
                        <a:ext uri="{28A0092B-C50C-407E-A947-70E740481C1C}">
                          <a14:useLocalDpi xmlns:a14="http://schemas.microsoft.com/office/drawing/2010/main" val="0"/>
                        </a:ext>
                      </a:extLst>
                    </a:blip>
                    <a:srcRect l="35583" t="13411" r="19052" b="6113"/>
                    <a:stretch>
                      <a:fillRect/>
                    </a:stretch>
                  </pic:blipFill>
                  <pic:spPr bwMode="auto">
                    <a:xfrm>
                      <a:off x="0" y="0"/>
                      <a:ext cx="5364480" cy="8007985"/>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104A12" w:rsidP="007F7964">
      <w:pPr>
        <w:spacing w:before="100"/>
        <w:jc w:val="both"/>
      </w:pPr>
    </w:p>
    <w:p w:rsidR="00104A12" w:rsidRPr="004D55DA" w:rsidRDefault="00104A12" w:rsidP="007F7964">
      <w:r w:rsidRPr="004D55DA">
        <w:br w:type="page"/>
      </w:r>
    </w:p>
    <w:p w:rsidR="00104A12" w:rsidRPr="00D713C2" w:rsidRDefault="00BF783B" w:rsidP="007F7964">
      <w:pPr>
        <w:pStyle w:val="Legenda"/>
        <w:rPr>
          <w:sz w:val="24"/>
          <w:szCs w:val="24"/>
        </w:rPr>
      </w:pPr>
      <w:bookmarkStart w:id="221" w:name="_Toc395730311"/>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2</w:t>
      </w:r>
      <w:r w:rsidR="00372F0E" w:rsidRPr="00D713C2">
        <w:rPr>
          <w:noProof/>
          <w:sz w:val="24"/>
          <w:szCs w:val="24"/>
        </w:rPr>
        <w:fldChar w:fldCharType="end"/>
      </w:r>
      <w:r w:rsidR="00104A12" w:rsidRPr="00D713C2">
        <w:rPr>
          <w:sz w:val="24"/>
          <w:szCs w:val="24"/>
        </w:rPr>
        <w:t xml:space="preserve"> - Segundo Inquérito, realizado em Portugal, Espanha e portos da Europa</w:t>
      </w:r>
      <w:bookmarkEnd w:id="221"/>
    </w:p>
    <w:p w:rsidR="00104A12" w:rsidRPr="004D55DA" w:rsidRDefault="00BF31C8" w:rsidP="007F7964">
      <w:pPr>
        <w:spacing w:before="100"/>
        <w:jc w:val="both"/>
      </w:pPr>
      <w:r w:rsidRPr="004D55DA">
        <w:rPr>
          <w:noProof/>
        </w:rPr>
        <w:drawing>
          <wp:inline distT="0" distB="0" distL="0" distR="0" wp14:anchorId="056590A2" wp14:editId="246A3E0B">
            <wp:extent cx="5632450" cy="7529830"/>
            <wp:effectExtent l="0" t="0" r="6350" b="0"/>
            <wp:docPr id="421"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93">
                      <a:grayscl/>
                      <a:extLst>
                        <a:ext uri="{28A0092B-C50C-407E-A947-70E740481C1C}">
                          <a14:useLocalDpi xmlns:a14="http://schemas.microsoft.com/office/drawing/2010/main" val="0"/>
                        </a:ext>
                      </a:extLst>
                    </a:blip>
                    <a:srcRect l="33954" t="9843" r="17422" b="6282"/>
                    <a:stretch>
                      <a:fillRect/>
                    </a:stretch>
                  </pic:blipFill>
                  <pic:spPr bwMode="auto">
                    <a:xfrm>
                      <a:off x="0" y="0"/>
                      <a:ext cx="5632450" cy="7529830"/>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1ADADF66" wp14:editId="59B916C2">
            <wp:extent cx="5608320" cy="5588635"/>
            <wp:effectExtent l="0" t="0" r="0" b="0"/>
            <wp:docPr id="42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94">
                      <a:extLst>
                        <a:ext uri="{28A0092B-C50C-407E-A947-70E740481C1C}">
                          <a14:useLocalDpi xmlns:a14="http://schemas.microsoft.com/office/drawing/2010/main" val="0"/>
                        </a:ext>
                      </a:extLst>
                    </a:blip>
                    <a:srcRect l="33005" t="10019" r="15932" b="26315"/>
                    <a:stretch>
                      <a:fillRect/>
                    </a:stretch>
                  </pic:blipFill>
                  <pic:spPr bwMode="auto">
                    <a:xfrm>
                      <a:off x="0" y="0"/>
                      <a:ext cx="5608320" cy="5588635"/>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2CAAEDFD" wp14:editId="3478D0C3">
            <wp:extent cx="4632960" cy="4213860"/>
            <wp:effectExtent l="0" t="0" r="0" b="0"/>
            <wp:docPr id="423"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pic:cNvPicPr>
                      <a:picLocks noChangeAspect="1" noChangeArrowheads="1"/>
                    </pic:cNvPicPr>
                  </pic:nvPicPr>
                  <pic:blipFill>
                    <a:blip r:embed="rId95">
                      <a:extLst>
                        <a:ext uri="{28A0092B-C50C-407E-A947-70E740481C1C}">
                          <a14:useLocalDpi xmlns:a14="http://schemas.microsoft.com/office/drawing/2010/main" val="0"/>
                        </a:ext>
                      </a:extLst>
                    </a:blip>
                    <a:srcRect l="33412" t="12227" r="17287" b="38712"/>
                    <a:stretch>
                      <a:fillRect/>
                    </a:stretch>
                  </pic:blipFill>
                  <pic:spPr bwMode="auto">
                    <a:xfrm>
                      <a:off x="0" y="0"/>
                      <a:ext cx="4632960" cy="4213860"/>
                    </a:xfrm>
                    <a:prstGeom prst="rect">
                      <a:avLst/>
                    </a:prstGeom>
                    <a:noFill/>
                    <a:ln>
                      <a:noFill/>
                    </a:ln>
                  </pic:spPr>
                </pic:pic>
              </a:graphicData>
            </a:graphic>
          </wp:inline>
        </w:drawing>
      </w:r>
    </w:p>
    <w:p w:rsidR="00104A12" w:rsidRPr="004D55DA" w:rsidRDefault="00104A12" w:rsidP="007F7964">
      <w:pPr>
        <w:spacing w:before="100"/>
        <w:jc w:val="both"/>
      </w:pPr>
    </w:p>
    <w:p w:rsidR="00104A12" w:rsidRPr="004D55DA" w:rsidRDefault="00BF31C8" w:rsidP="007F7964">
      <w:pPr>
        <w:spacing w:before="100"/>
        <w:jc w:val="both"/>
      </w:pPr>
      <w:r w:rsidRPr="004D55DA">
        <w:rPr>
          <w:noProof/>
        </w:rPr>
        <w:lastRenderedPageBreak/>
        <w:drawing>
          <wp:inline distT="0" distB="0" distL="0" distR="0" wp14:anchorId="19ED981E" wp14:editId="4AF1711E">
            <wp:extent cx="5632450" cy="7715250"/>
            <wp:effectExtent l="0" t="0" r="6350" b="0"/>
            <wp:docPr id="424"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96">
                      <a:extLst>
                        <a:ext uri="{28A0092B-C50C-407E-A947-70E740481C1C}">
                          <a14:useLocalDpi xmlns:a14="http://schemas.microsoft.com/office/drawing/2010/main" val="0"/>
                        </a:ext>
                      </a:extLst>
                    </a:blip>
                    <a:srcRect l="33818" t="9505" r="15932" b="5429"/>
                    <a:stretch>
                      <a:fillRect/>
                    </a:stretch>
                  </pic:blipFill>
                  <pic:spPr bwMode="auto">
                    <a:xfrm>
                      <a:off x="0" y="0"/>
                      <a:ext cx="5632450" cy="7715250"/>
                    </a:xfrm>
                    <a:prstGeom prst="rect">
                      <a:avLst/>
                    </a:prstGeom>
                    <a:noFill/>
                    <a:ln>
                      <a:noFill/>
                    </a:ln>
                  </pic:spPr>
                </pic:pic>
              </a:graphicData>
            </a:graphic>
          </wp:inline>
        </w:drawing>
      </w:r>
    </w:p>
    <w:p w:rsidR="00104A12" w:rsidRPr="004D55DA" w:rsidRDefault="00104A12" w:rsidP="007F7964">
      <w:pPr>
        <w:pStyle w:val="Legenda"/>
      </w:pPr>
    </w:p>
    <w:p w:rsidR="00104A12" w:rsidRPr="004D55DA" w:rsidRDefault="00104A12" w:rsidP="007F7964"/>
    <w:p w:rsidR="00104A12" w:rsidRPr="004D55DA" w:rsidRDefault="00104A12" w:rsidP="007F7964">
      <w:pPr>
        <w:sectPr w:rsidR="00104A12" w:rsidRPr="004D55DA" w:rsidSect="0043582D">
          <w:type w:val="continuous"/>
          <w:pgSz w:w="11906" w:h="16838" w:code="9"/>
          <w:pgMar w:top="1418" w:right="1133" w:bottom="1418" w:left="1701" w:header="709" w:footer="709" w:gutter="0"/>
          <w:cols w:space="708"/>
          <w:titlePg/>
          <w:docGrid w:linePitch="360"/>
        </w:sectPr>
      </w:pPr>
    </w:p>
    <w:p w:rsidR="00104A12" w:rsidRPr="004D55DA" w:rsidRDefault="00104A12" w:rsidP="007F7964"/>
    <w:p w:rsidR="00104A12" w:rsidRPr="00D713C2" w:rsidRDefault="00BF783B" w:rsidP="007F7964">
      <w:pPr>
        <w:pStyle w:val="Legenda"/>
        <w:rPr>
          <w:sz w:val="24"/>
          <w:szCs w:val="24"/>
        </w:rPr>
      </w:pPr>
      <w:bookmarkStart w:id="222" w:name="_Toc395730312"/>
      <w:r w:rsidRPr="00D713C2">
        <w:rPr>
          <w:sz w:val="24"/>
          <w:szCs w:val="24"/>
        </w:rPr>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3</w:t>
      </w:r>
      <w:r w:rsidR="00372F0E" w:rsidRPr="00D713C2">
        <w:rPr>
          <w:noProof/>
          <w:sz w:val="24"/>
          <w:szCs w:val="24"/>
        </w:rPr>
        <w:fldChar w:fldCharType="end"/>
      </w:r>
      <w:r w:rsidR="00104A12" w:rsidRPr="00D713C2">
        <w:rPr>
          <w:sz w:val="24"/>
          <w:szCs w:val="24"/>
        </w:rPr>
        <w:t xml:space="preserve"> – Correlação entre as variáveis no 1º inquérito</w:t>
      </w:r>
      <w:bookmarkEnd w:id="222"/>
    </w:p>
    <w:p w:rsidR="00104A12" w:rsidRPr="004D55DA" w:rsidRDefault="00BF31C8" w:rsidP="007F7964">
      <w:r w:rsidRPr="004D55DA">
        <w:rPr>
          <w:noProof/>
        </w:rPr>
        <w:drawing>
          <wp:inline distT="0" distB="0" distL="0" distR="0" wp14:anchorId="2B8D6AE9" wp14:editId="6B4B2C68">
            <wp:extent cx="8852535" cy="4203700"/>
            <wp:effectExtent l="0" t="0" r="5715" b="6350"/>
            <wp:docPr id="425"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2535" cy="4203700"/>
                    </a:xfrm>
                    <a:prstGeom prst="rect">
                      <a:avLst/>
                    </a:prstGeom>
                    <a:noFill/>
                    <a:ln>
                      <a:noFill/>
                    </a:ln>
                  </pic:spPr>
                </pic:pic>
              </a:graphicData>
            </a:graphic>
          </wp:inline>
        </w:drawing>
      </w:r>
    </w:p>
    <w:p w:rsidR="00104A12" w:rsidRPr="004D55DA" w:rsidRDefault="00104A12" w:rsidP="007F7964"/>
    <w:p w:rsidR="00104A12" w:rsidRPr="004D55DA" w:rsidRDefault="00104A12" w:rsidP="007F7964">
      <w:pPr>
        <w:sectPr w:rsidR="00104A12" w:rsidRPr="004D55DA" w:rsidSect="007F7964">
          <w:pgSz w:w="16838" w:h="11906" w:orient="landscape" w:code="9"/>
          <w:pgMar w:top="1134" w:right="1133" w:bottom="1701" w:left="1701" w:header="709" w:footer="709" w:gutter="0"/>
          <w:cols w:space="708"/>
          <w:titlePg/>
          <w:docGrid w:linePitch="360"/>
        </w:sectPr>
      </w:pPr>
    </w:p>
    <w:p w:rsidR="00104A12" w:rsidRPr="00D713C2" w:rsidRDefault="00BF783B" w:rsidP="007F7964">
      <w:pPr>
        <w:pStyle w:val="Legenda"/>
        <w:rPr>
          <w:color w:val="000000"/>
          <w:sz w:val="24"/>
          <w:szCs w:val="24"/>
        </w:rPr>
      </w:pPr>
      <w:bookmarkStart w:id="223" w:name="_Toc395730313"/>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4</w:t>
      </w:r>
      <w:r w:rsidR="00372F0E" w:rsidRPr="00D713C2">
        <w:rPr>
          <w:noProof/>
          <w:sz w:val="24"/>
          <w:szCs w:val="24"/>
        </w:rPr>
        <w:fldChar w:fldCharType="end"/>
      </w:r>
      <w:r w:rsidR="00104A12" w:rsidRPr="00D713C2">
        <w:rPr>
          <w:sz w:val="24"/>
          <w:szCs w:val="24"/>
        </w:rPr>
        <w:t xml:space="preserve"> –</w:t>
      </w:r>
      <w:r w:rsidR="00104A12" w:rsidRPr="00D713C2">
        <w:rPr>
          <w:color w:val="000000"/>
          <w:sz w:val="24"/>
          <w:szCs w:val="24"/>
        </w:rPr>
        <w:t xml:space="preserve"> Total Variance Explained, 1º inquérito, PCA, variáveis endógenas</w:t>
      </w:r>
      <w:bookmarkEnd w:id="223"/>
    </w:p>
    <w:p w:rsidR="00104A12" w:rsidRPr="004D55DA" w:rsidRDefault="00104A12" w:rsidP="007F7964"/>
    <w:tbl>
      <w:tblPr>
        <w:tblW w:w="9563" w:type="dxa"/>
        <w:tblInd w:w="55" w:type="dxa"/>
        <w:tblCellMar>
          <w:left w:w="70" w:type="dxa"/>
          <w:right w:w="70" w:type="dxa"/>
        </w:tblCellMar>
        <w:tblLook w:val="00A0" w:firstRow="1" w:lastRow="0" w:firstColumn="1" w:lastColumn="0" w:noHBand="0" w:noVBand="0"/>
      </w:tblPr>
      <w:tblGrid>
        <w:gridCol w:w="1100"/>
        <w:gridCol w:w="616"/>
        <w:gridCol w:w="1264"/>
        <w:gridCol w:w="941"/>
        <w:gridCol w:w="940"/>
        <w:gridCol w:w="940"/>
        <w:gridCol w:w="941"/>
        <w:gridCol w:w="940"/>
        <w:gridCol w:w="940"/>
        <w:gridCol w:w="941"/>
      </w:tblGrid>
      <w:tr w:rsidR="00104A12" w:rsidRPr="00537B64" w:rsidTr="009C2524">
        <w:trPr>
          <w:trHeight w:val="576"/>
        </w:trPr>
        <w:tc>
          <w:tcPr>
            <w:tcW w:w="1100"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Arial" w:hAnsi="Arial" w:cs="Arial"/>
                <w:color w:val="000000"/>
                <w:sz w:val="16"/>
                <w:szCs w:val="18"/>
              </w:rPr>
              <w:t>Component</w:t>
            </w:r>
          </w:p>
        </w:tc>
        <w:tc>
          <w:tcPr>
            <w:tcW w:w="2821"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Initial Eigenvalues</w:t>
            </w:r>
          </w:p>
        </w:tc>
        <w:tc>
          <w:tcPr>
            <w:tcW w:w="2821"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lang w:val="en-US"/>
              </w:rPr>
            </w:pPr>
            <w:r w:rsidRPr="004D55DA">
              <w:rPr>
                <w:rFonts w:ascii="Arial" w:hAnsi="Arial" w:cs="Arial"/>
                <w:color w:val="000000"/>
                <w:sz w:val="16"/>
                <w:szCs w:val="18"/>
                <w:lang w:val="en-US"/>
              </w:rPr>
              <w:t>Extraction Sums of Squared Loadings</w:t>
            </w:r>
          </w:p>
        </w:tc>
        <w:tc>
          <w:tcPr>
            <w:tcW w:w="2821"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lang w:val="en-US"/>
              </w:rPr>
            </w:pPr>
            <w:r w:rsidRPr="004D55DA">
              <w:rPr>
                <w:rFonts w:ascii="Arial" w:hAnsi="Arial" w:cs="Arial"/>
                <w:color w:val="000000"/>
                <w:sz w:val="16"/>
                <w:szCs w:val="18"/>
                <w:lang w:val="en-US"/>
              </w:rPr>
              <w:t>Rotation Sums of Squared Loadings</w:t>
            </w:r>
          </w:p>
        </w:tc>
      </w:tr>
      <w:tr w:rsidR="00104A12" w:rsidRPr="004D55DA" w:rsidTr="009C2524">
        <w:trPr>
          <w:trHeight w:val="492"/>
        </w:trPr>
        <w:tc>
          <w:tcPr>
            <w:tcW w:w="1100"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Arial" w:hAnsi="Arial" w:cs="Arial"/>
                <w:sz w:val="16"/>
                <w:szCs w:val="20"/>
                <w:lang w:val="en-US"/>
              </w:rPr>
            </w:pPr>
            <w:r w:rsidRPr="004D55DA">
              <w:rPr>
                <w:rFonts w:ascii="Arial" w:hAnsi="Arial" w:cs="Arial"/>
                <w:sz w:val="16"/>
                <w:szCs w:val="20"/>
                <w:lang w:val="en-US"/>
              </w:rPr>
              <w:t> </w:t>
            </w:r>
          </w:p>
        </w:tc>
        <w:tc>
          <w:tcPr>
            <w:tcW w:w="616"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Total</w:t>
            </w:r>
          </w:p>
        </w:tc>
        <w:tc>
          <w:tcPr>
            <w:tcW w:w="1264"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 of Variance</w:t>
            </w:r>
          </w:p>
        </w:tc>
        <w:tc>
          <w:tcPr>
            <w:tcW w:w="94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Cumulative %</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Total</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 of Variance</w:t>
            </w:r>
          </w:p>
        </w:tc>
        <w:tc>
          <w:tcPr>
            <w:tcW w:w="94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Cumulative %</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Total</w:t>
            </w:r>
          </w:p>
        </w:tc>
        <w:tc>
          <w:tcPr>
            <w:tcW w:w="94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 of Variance</w:t>
            </w:r>
          </w:p>
        </w:tc>
        <w:tc>
          <w:tcPr>
            <w:tcW w:w="94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8"/>
              </w:rPr>
            </w:pPr>
            <w:r w:rsidRPr="004D55DA">
              <w:rPr>
                <w:rFonts w:ascii="Arial" w:hAnsi="Arial" w:cs="Arial"/>
                <w:color w:val="000000"/>
                <w:sz w:val="16"/>
                <w:szCs w:val="18"/>
              </w:rPr>
              <w:t>Cumulative %</w:t>
            </w:r>
          </w:p>
        </w:tc>
      </w:tr>
      <w:tr w:rsidR="00104A12" w:rsidRPr="004D55DA" w:rsidTr="009C2524">
        <w:trPr>
          <w:trHeight w:val="300"/>
        </w:trPr>
        <w:tc>
          <w:tcPr>
            <w:tcW w:w="110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Arial" w:hAnsi="Arial" w:cs="Arial"/>
                <w:color w:val="000000"/>
                <w:sz w:val="16"/>
                <w:szCs w:val="18"/>
              </w:rPr>
              <w:t>1</w:t>
            </w:r>
          </w:p>
        </w:tc>
        <w:tc>
          <w:tcPr>
            <w:tcW w:w="61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3,137</w:t>
            </w:r>
          </w:p>
        </w:tc>
        <w:tc>
          <w:tcPr>
            <w:tcW w:w="1264"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39,213</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39,213</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3,137</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39,213</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39,213</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2,282</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28,526</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28,526</w:t>
            </w:r>
          </w:p>
        </w:tc>
      </w:tr>
      <w:tr w:rsidR="00104A12" w:rsidRPr="004D55DA" w:rsidTr="009C2524">
        <w:trPr>
          <w:trHeight w:val="288"/>
        </w:trPr>
        <w:tc>
          <w:tcPr>
            <w:tcW w:w="110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Arial" w:hAnsi="Arial" w:cs="Arial"/>
                <w:color w:val="000000"/>
                <w:sz w:val="16"/>
                <w:szCs w:val="18"/>
              </w:rPr>
              <w:t>2</w:t>
            </w:r>
          </w:p>
        </w:tc>
        <w:tc>
          <w:tcPr>
            <w:tcW w:w="61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1,315</w:t>
            </w:r>
          </w:p>
        </w:tc>
        <w:tc>
          <w:tcPr>
            <w:tcW w:w="1264"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16,435</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55,648</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1,315</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16,435</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55,648</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1,666</w:t>
            </w:r>
          </w:p>
        </w:tc>
        <w:tc>
          <w:tcPr>
            <w:tcW w:w="94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20,824</w:t>
            </w:r>
          </w:p>
        </w:tc>
        <w:tc>
          <w:tcPr>
            <w:tcW w:w="94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49,350</w:t>
            </w:r>
          </w:p>
        </w:tc>
      </w:tr>
      <w:tr w:rsidR="00104A12" w:rsidRPr="004D55DA" w:rsidTr="009C2524">
        <w:trPr>
          <w:trHeight w:val="288"/>
        </w:trPr>
        <w:tc>
          <w:tcPr>
            <w:tcW w:w="1100"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8"/>
              </w:rPr>
            </w:pPr>
            <w:r w:rsidRPr="004D55DA">
              <w:rPr>
                <w:rFonts w:ascii="Arial" w:hAnsi="Arial" w:cs="Arial"/>
                <w:color w:val="000000"/>
                <w:sz w:val="16"/>
                <w:szCs w:val="18"/>
              </w:rPr>
              <w:t>3</w:t>
            </w:r>
          </w:p>
        </w:tc>
        <w:tc>
          <w:tcPr>
            <w:tcW w:w="616"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1,090</w:t>
            </w:r>
          </w:p>
        </w:tc>
        <w:tc>
          <w:tcPr>
            <w:tcW w:w="1264"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13,629</w:t>
            </w:r>
          </w:p>
        </w:tc>
        <w:tc>
          <w:tcPr>
            <w:tcW w:w="94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69,277</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1,090</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13,629</w:t>
            </w:r>
          </w:p>
        </w:tc>
        <w:tc>
          <w:tcPr>
            <w:tcW w:w="94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69,277</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1,594</w:t>
            </w:r>
          </w:p>
        </w:tc>
        <w:tc>
          <w:tcPr>
            <w:tcW w:w="94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19,926</w:t>
            </w:r>
          </w:p>
        </w:tc>
        <w:tc>
          <w:tcPr>
            <w:tcW w:w="94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8"/>
              </w:rPr>
            </w:pPr>
            <w:r w:rsidRPr="004D55DA">
              <w:rPr>
                <w:rFonts w:ascii="Arial" w:hAnsi="Arial" w:cs="Arial"/>
                <w:color w:val="000000"/>
                <w:sz w:val="16"/>
                <w:szCs w:val="18"/>
              </w:rPr>
              <w:t>69,277</w:t>
            </w:r>
          </w:p>
        </w:tc>
      </w:tr>
    </w:tbl>
    <w:p w:rsidR="00104A12" w:rsidRPr="004D55DA" w:rsidRDefault="00104A12" w:rsidP="007F7964">
      <w:pPr>
        <w:spacing w:line="360" w:lineRule="auto"/>
        <w:jc w:val="both"/>
      </w:pPr>
    </w:p>
    <w:p w:rsidR="00104A12" w:rsidRPr="004D55DA" w:rsidRDefault="00104A12" w:rsidP="007F7964">
      <w:r w:rsidRPr="004D55DA">
        <w:br w:type="page"/>
      </w:r>
    </w:p>
    <w:p w:rsidR="00104A12" w:rsidRPr="00D713C2" w:rsidRDefault="00BF783B" w:rsidP="007F7964">
      <w:pPr>
        <w:pStyle w:val="Legenda"/>
        <w:rPr>
          <w:sz w:val="24"/>
          <w:szCs w:val="24"/>
        </w:rPr>
      </w:pPr>
      <w:bookmarkStart w:id="224" w:name="_Toc395730314"/>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5</w:t>
      </w:r>
      <w:r w:rsidR="00372F0E" w:rsidRPr="00D713C2">
        <w:rPr>
          <w:noProof/>
          <w:sz w:val="24"/>
          <w:szCs w:val="24"/>
        </w:rPr>
        <w:fldChar w:fldCharType="end"/>
      </w:r>
      <w:r w:rsidR="00104A12" w:rsidRPr="00D713C2">
        <w:rPr>
          <w:sz w:val="24"/>
          <w:szCs w:val="24"/>
        </w:rPr>
        <w:t xml:space="preserve"> – </w:t>
      </w:r>
      <w:r w:rsidR="00104A12" w:rsidRPr="00D713C2">
        <w:rPr>
          <w:color w:val="000000"/>
          <w:sz w:val="24"/>
          <w:szCs w:val="24"/>
        </w:rPr>
        <w:t>Total Variance Explained, 1º inquérito, PCA, variáveis exógenas</w:t>
      </w:r>
      <w:bookmarkEnd w:id="224"/>
    </w:p>
    <w:p w:rsidR="00104A12" w:rsidRPr="004D55DA" w:rsidRDefault="00104A12" w:rsidP="007F7964"/>
    <w:tbl>
      <w:tblPr>
        <w:tblW w:w="9620" w:type="dxa"/>
        <w:tblInd w:w="55" w:type="dxa"/>
        <w:tblCellMar>
          <w:left w:w="70" w:type="dxa"/>
          <w:right w:w="70" w:type="dxa"/>
        </w:tblCellMar>
        <w:tblLook w:val="00A0" w:firstRow="1" w:lastRow="0" w:firstColumn="1" w:lastColumn="0" w:noHBand="0" w:noVBand="0"/>
      </w:tblPr>
      <w:tblGrid>
        <w:gridCol w:w="1038"/>
        <w:gridCol w:w="579"/>
        <w:gridCol w:w="819"/>
        <w:gridCol w:w="941"/>
        <w:gridCol w:w="817"/>
        <w:gridCol w:w="819"/>
        <w:gridCol w:w="941"/>
        <w:gridCol w:w="1969"/>
        <w:gridCol w:w="958"/>
        <w:gridCol w:w="959"/>
      </w:tblGrid>
      <w:tr w:rsidR="00104A12" w:rsidRPr="00537B64" w:rsidTr="009C2524">
        <w:trPr>
          <w:trHeight w:val="660"/>
        </w:trPr>
        <w:tc>
          <w:tcPr>
            <w:tcW w:w="1038"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Component</w:t>
            </w:r>
          </w:p>
        </w:tc>
        <w:tc>
          <w:tcPr>
            <w:tcW w:w="2229"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Initial Eigenvalues</w:t>
            </w:r>
          </w:p>
        </w:tc>
        <w:tc>
          <w:tcPr>
            <w:tcW w:w="2467"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Extraction Sums of Squared Loadings</w:t>
            </w:r>
          </w:p>
        </w:tc>
        <w:tc>
          <w:tcPr>
            <w:tcW w:w="3886"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Rotation Sums of Squared Loadings</w:t>
            </w:r>
          </w:p>
        </w:tc>
      </w:tr>
      <w:tr w:rsidR="00104A12" w:rsidRPr="004D55DA" w:rsidTr="009C2524">
        <w:trPr>
          <w:trHeight w:val="444"/>
        </w:trPr>
        <w:tc>
          <w:tcPr>
            <w:tcW w:w="1038" w:type="dxa"/>
            <w:tcBorders>
              <w:top w:val="nil"/>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579"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19"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31"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817"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19"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31"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1969"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958"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959" w:type="dxa"/>
            <w:tcBorders>
              <w:top w:val="nil"/>
              <w:left w:val="nil"/>
              <w:bottom w:val="nil"/>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r>
      <w:tr w:rsidR="00104A12" w:rsidRPr="004D55DA" w:rsidTr="009C2524">
        <w:trPr>
          <w:trHeight w:val="300"/>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1</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7,588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30,351</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30,351</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7,588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30,351</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30,351</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3,550</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14,198</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14,198</w:t>
            </w:r>
          </w:p>
        </w:tc>
      </w:tr>
      <w:tr w:rsidR="00104A12" w:rsidRPr="004D55DA" w:rsidTr="009C2524">
        <w:trPr>
          <w:trHeight w:val="288"/>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2</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2,465</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9,858</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40,209</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2,465</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9,858</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40,209</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2,847</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11,390</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25,588</w:t>
            </w:r>
          </w:p>
        </w:tc>
      </w:tr>
      <w:tr w:rsidR="00104A12" w:rsidRPr="004D55DA" w:rsidTr="009C2524">
        <w:trPr>
          <w:trHeight w:val="288"/>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3</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2,249</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8,994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49,204</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2,249</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8,994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49,204</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2,744</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10,976</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36,565</w:t>
            </w:r>
          </w:p>
        </w:tc>
      </w:tr>
      <w:tr w:rsidR="00104A12" w:rsidRPr="004D55DA" w:rsidTr="009C2524">
        <w:trPr>
          <w:trHeight w:val="288"/>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4</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1,633</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6,533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55,737</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1,633</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6,533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55,737</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2,641</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10,564</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47,128</w:t>
            </w:r>
          </w:p>
        </w:tc>
      </w:tr>
      <w:tr w:rsidR="00104A12" w:rsidRPr="004D55DA" w:rsidTr="009C2524">
        <w:trPr>
          <w:trHeight w:val="288"/>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5</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1,528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6,114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61,851</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1,528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6,114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61,851</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2,201</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8,802</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55,931</w:t>
            </w:r>
          </w:p>
        </w:tc>
      </w:tr>
      <w:tr w:rsidR="00104A12" w:rsidRPr="004D55DA" w:rsidTr="009C2524">
        <w:trPr>
          <w:trHeight w:val="288"/>
        </w:trPr>
        <w:tc>
          <w:tcPr>
            <w:tcW w:w="1038"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6</w:t>
            </w:r>
          </w:p>
        </w:tc>
        <w:tc>
          <w:tcPr>
            <w:tcW w:w="57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1,388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5,554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67,404</w:t>
            </w:r>
          </w:p>
        </w:tc>
        <w:tc>
          <w:tcPr>
            <w:tcW w:w="817"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1,388</w:t>
            </w:r>
          </w:p>
        </w:tc>
        <w:tc>
          <w:tcPr>
            <w:tcW w:w="81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5,554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67,404</w:t>
            </w:r>
          </w:p>
        </w:tc>
        <w:tc>
          <w:tcPr>
            <w:tcW w:w="196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1,988</w:t>
            </w:r>
          </w:p>
        </w:tc>
        <w:tc>
          <w:tcPr>
            <w:tcW w:w="95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7,953</w:t>
            </w:r>
          </w:p>
        </w:tc>
        <w:tc>
          <w:tcPr>
            <w:tcW w:w="95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63,884</w:t>
            </w:r>
          </w:p>
        </w:tc>
      </w:tr>
      <w:tr w:rsidR="00104A12" w:rsidRPr="004D55DA" w:rsidTr="009C2524">
        <w:trPr>
          <w:trHeight w:val="288"/>
        </w:trPr>
        <w:tc>
          <w:tcPr>
            <w:tcW w:w="1038"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7</w:t>
            </w:r>
          </w:p>
        </w:tc>
        <w:tc>
          <w:tcPr>
            <w:tcW w:w="57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1,044</w:t>
            </w:r>
          </w:p>
        </w:tc>
        <w:tc>
          <w:tcPr>
            <w:tcW w:w="81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4,177</w:t>
            </w:r>
          </w:p>
        </w:tc>
        <w:tc>
          <w:tcPr>
            <w:tcW w:w="83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71,581</w:t>
            </w:r>
          </w:p>
        </w:tc>
        <w:tc>
          <w:tcPr>
            <w:tcW w:w="817"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1,044</w:t>
            </w:r>
          </w:p>
        </w:tc>
        <w:tc>
          <w:tcPr>
            <w:tcW w:w="81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4,177</w:t>
            </w:r>
          </w:p>
        </w:tc>
        <w:tc>
          <w:tcPr>
            <w:tcW w:w="83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71,581</w:t>
            </w:r>
          </w:p>
        </w:tc>
        <w:tc>
          <w:tcPr>
            <w:tcW w:w="19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1,924</w:t>
            </w:r>
          </w:p>
        </w:tc>
        <w:tc>
          <w:tcPr>
            <w:tcW w:w="95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7,697</w:t>
            </w:r>
          </w:p>
        </w:tc>
        <w:tc>
          <w:tcPr>
            <w:tcW w:w="95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71,581</w:t>
            </w:r>
          </w:p>
        </w:tc>
      </w:tr>
    </w:tbl>
    <w:p w:rsidR="00104A12" w:rsidRPr="004D55DA" w:rsidRDefault="00104A12" w:rsidP="007F7964"/>
    <w:p w:rsidR="00104A12" w:rsidRPr="004D55DA" w:rsidRDefault="00104A12" w:rsidP="007F7964">
      <w:pPr>
        <w:sectPr w:rsidR="00104A12" w:rsidRPr="004D55DA" w:rsidSect="007F7964">
          <w:pgSz w:w="11906" w:h="16838" w:code="9"/>
          <w:pgMar w:top="1418" w:right="1133" w:bottom="1418" w:left="1701" w:header="709" w:footer="709" w:gutter="0"/>
          <w:cols w:space="708"/>
          <w:titlePg/>
          <w:docGrid w:linePitch="360"/>
        </w:sectPr>
      </w:pPr>
    </w:p>
    <w:p w:rsidR="00104A12" w:rsidRPr="00D713C2" w:rsidRDefault="00BF783B" w:rsidP="007F7964">
      <w:pPr>
        <w:pStyle w:val="Legenda"/>
        <w:rPr>
          <w:sz w:val="24"/>
          <w:szCs w:val="24"/>
        </w:rPr>
      </w:pPr>
      <w:bookmarkStart w:id="225" w:name="_Toc395730315"/>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6</w:t>
      </w:r>
      <w:r w:rsidR="00372F0E" w:rsidRPr="00D713C2">
        <w:rPr>
          <w:noProof/>
          <w:sz w:val="24"/>
          <w:szCs w:val="24"/>
        </w:rPr>
        <w:fldChar w:fldCharType="end"/>
      </w:r>
      <w:r w:rsidR="00104A12" w:rsidRPr="00D713C2">
        <w:rPr>
          <w:sz w:val="24"/>
          <w:szCs w:val="24"/>
        </w:rPr>
        <w:t xml:space="preserve"> - Correlação entre as variáveis no 2º inquérito, Portugal e Espanha</w:t>
      </w:r>
      <w:bookmarkEnd w:id="225"/>
    </w:p>
    <w:p w:rsidR="00104A12" w:rsidRPr="004D55DA" w:rsidRDefault="00104A12" w:rsidP="007F7964"/>
    <w:p w:rsidR="00104A12" w:rsidRPr="004D55DA" w:rsidRDefault="00BF31C8" w:rsidP="007F7964">
      <w:r w:rsidRPr="004D55DA">
        <w:rPr>
          <w:noProof/>
        </w:rPr>
        <w:drawing>
          <wp:inline distT="0" distB="0" distL="0" distR="0" wp14:anchorId="3DF381B9" wp14:editId="41C47E6F">
            <wp:extent cx="8869680" cy="4269740"/>
            <wp:effectExtent l="0" t="0" r="7620" b="0"/>
            <wp:docPr id="426"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69680" cy="4269740"/>
                    </a:xfrm>
                    <a:prstGeom prst="rect">
                      <a:avLst/>
                    </a:prstGeom>
                    <a:noFill/>
                    <a:ln>
                      <a:noFill/>
                    </a:ln>
                  </pic:spPr>
                </pic:pic>
              </a:graphicData>
            </a:graphic>
          </wp:inline>
        </w:drawing>
      </w:r>
    </w:p>
    <w:p w:rsidR="00104A12" w:rsidRPr="004D55DA" w:rsidRDefault="00104A12" w:rsidP="007F7964"/>
    <w:p w:rsidR="00104A12" w:rsidRPr="004D55DA" w:rsidRDefault="00104A12" w:rsidP="007F7964">
      <w:pPr>
        <w:sectPr w:rsidR="00104A12" w:rsidRPr="004D55DA" w:rsidSect="007F7964">
          <w:pgSz w:w="16838" w:h="11906" w:orient="landscape" w:code="9"/>
          <w:pgMar w:top="1134" w:right="1133" w:bottom="1701" w:left="1701" w:header="709" w:footer="709" w:gutter="0"/>
          <w:cols w:space="708"/>
          <w:titlePg/>
          <w:docGrid w:linePitch="360"/>
        </w:sectPr>
      </w:pPr>
    </w:p>
    <w:p w:rsidR="00104A12" w:rsidRPr="00D713C2" w:rsidRDefault="00BF783B" w:rsidP="007F7964">
      <w:pPr>
        <w:pStyle w:val="Legenda"/>
        <w:rPr>
          <w:sz w:val="24"/>
          <w:szCs w:val="24"/>
        </w:rPr>
      </w:pPr>
      <w:bookmarkStart w:id="226" w:name="_Toc395730316"/>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7</w:t>
      </w:r>
      <w:r w:rsidR="00372F0E" w:rsidRPr="00D713C2">
        <w:rPr>
          <w:noProof/>
          <w:sz w:val="24"/>
          <w:szCs w:val="24"/>
        </w:rPr>
        <w:fldChar w:fldCharType="end"/>
      </w:r>
      <w:r w:rsidR="00104A12" w:rsidRPr="00D713C2">
        <w:rPr>
          <w:sz w:val="24"/>
          <w:szCs w:val="24"/>
        </w:rPr>
        <w:t xml:space="preserve"> - Médias dos terminais, 2º inquérito, Portugal e Espanha</w:t>
      </w:r>
      <w:bookmarkEnd w:id="226"/>
    </w:p>
    <w:tbl>
      <w:tblPr>
        <w:tblW w:w="9040" w:type="dxa"/>
        <w:tblInd w:w="56" w:type="dxa"/>
        <w:tblCellMar>
          <w:left w:w="70" w:type="dxa"/>
          <w:right w:w="70" w:type="dxa"/>
        </w:tblCellMar>
        <w:tblLook w:val="00A0" w:firstRow="1" w:lastRow="0" w:firstColumn="1" w:lastColumn="0" w:noHBand="0" w:noVBand="0"/>
      </w:tblPr>
      <w:tblGrid>
        <w:gridCol w:w="1918"/>
        <w:gridCol w:w="469"/>
        <w:gridCol w:w="718"/>
        <w:gridCol w:w="469"/>
        <w:gridCol w:w="718"/>
        <w:gridCol w:w="469"/>
        <w:gridCol w:w="718"/>
        <w:gridCol w:w="469"/>
        <w:gridCol w:w="718"/>
        <w:gridCol w:w="469"/>
        <w:gridCol w:w="718"/>
        <w:gridCol w:w="469"/>
        <w:gridCol w:w="718"/>
      </w:tblGrid>
      <w:tr w:rsidR="00104A12" w:rsidRPr="004D55DA" w:rsidTr="00D14404">
        <w:trPr>
          <w:trHeight w:val="180"/>
        </w:trPr>
        <w:tc>
          <w:tcPr>
            <w:tcW w:w="1918" w:type="dxa"/>
            <w:vMerge w:val="restart"/>
            <w:tcBorders>
              <w:top w:val="single" w:sz="4" w:space="0" w:color="auto"/>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t>I2C1TERMINAL</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APMAlgeciras</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DPWT</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Figueira</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Liscont</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NCTB</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Noatum</w:t>
            </w:r>
          </w:p>
        </w:tc>
      </w:tr>
      <w:tr w:rsidR="00104A12" w:rsidRPr="004D55DA" w:rsidTr="00D14404">
        <w:trPr>
          <w:trHeight w:val="360"/>
        </w:trPr>
        <w:tc>
          <w:tcPr>
            <w:tcW w:w="1918" w:type="dxa"/>
            <w:vMerge/>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color w:val="000000"/>
                <w:sz w:val="14"/>
                <w:szCs w:val="14"/>
              </w:rPr>
            </w:pP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com “hinterland”</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2,338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1,923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1,833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contentores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de transhipment</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2,449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2,070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1,512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1,922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Produtividade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1,093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Eficiência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dono da carga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armador</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agente e transitário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1,673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Contributo para a economia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centro portuário da Europa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porto mais próximo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Mediterrâneo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Proximidade da origem das cargas no “hinterland”</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1,602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1,225</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GDP da região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Acesso marítimo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1,878</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ferroviárias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2,380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1,276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1,269</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rodoviárias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1,202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dos cais do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Áreas logísticas junto ao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2,160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1,690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1,118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1,787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terminais de contentores no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aberto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Especialização do porto em contentores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2,252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1,175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1,054</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dos serviços de reboques e pilotagem</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1,118</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Dinamismo da Autoridade e Comunidade Portuária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1,246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Taxas portuárias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2,168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Profundidade do cais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1,263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1,787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Equipamento de cais e parque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Frente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,756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1,264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por metros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,866</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parque por metro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Largura do terrapleno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2,338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1,481</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Dimensão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1,225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Ligações ferroviárias a terminais de 2ªlinha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1,922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Agilidade face a alterações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1,265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1,787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Fiabilidade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,753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Flexibilidade operacional e comercial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1,537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Imagem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,782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Integração do terminal nas cadeias logísticas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,756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1,261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2"/>
                <w:szCs w:val="18"/>
              </w:rPr>
            </w:pPr>
            <w:r>
              <w:rPr>
                <w:rFonts w:ascii="Cambria" w:hAnsi="Cambria" w:cs="Arial"/>
                <w:sz w:val="12"/>
                <w:szCs w:val="18"/>
              </w:rPr>
              <w:t>Layout</w:t>
            </w:r>
            <w:r w:rsidR="00104A12" w:rsidRPr="004D55DA">
              <w:rPr>
                <w:rFonts w:ascii="Cambria" w:hAnsi="Cambria" w:cs="Arial"/>
                <w:sz w:val="12"/>
                <w:szCs w:val="18"/>
              </w:rPr>
              <w:t xml:space="preserve">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1,521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1,986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1,922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Organização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1,581</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gerido por operador do Top10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1,225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1,333</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serviços marítimos SSS/feeder</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1,366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,866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linhas Top10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geral dos serviços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espera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,983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Serviços logísticos de valor acrescentado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1,900</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Sistema de informações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1,871</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Tipo de gestor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1,118</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operação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1,643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1,764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1,787</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Orientação do terminal para o cliente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1,768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1,986</w:t>
            </w:r>
          </w:p>
        </w:tc>
      </w:tr>
      <w:tr w:rsidR="00104A12" w:rsidRPr="004D55DA" w:rsidTr="00D14404">
        <w:trPr>
          <w:trHeight w:val="180"/>
        </w:trPr>
        <w:tc>
          <w:tcPr>
            <w:tcW w:w="1918"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Tarifa de handling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r w:rsidR="00104A12" w:rsidRPr="004D55DA" w:rsidTr="00D14404">
        <w:trPr>
          <w:trHeight w:val="180"/>
        </w:trPr>
        <w:tc>
          <w:tcPr>
            <w:tcW w:w="1918" w:type="dxa"/>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com gestão privada</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r>
    </w:tbl>
    <w:p w:rsidR="00104A12" w:rsidRPr="004D55DA" w:rsidRDefault="00104A12" w:rsidP="007F7964">
      <w:pPr>
        <w:spacing w:line="360" w:lineRule="auto"/>
        <w:jc w:val="both"/>
        <w:sectPr w:rsidR="00104A12" w:rsidRPr="004D55DA" w:rsidSect="007F7964">
          <w:pgSz w:w="11906" w:h="16838"/>
          <w:pgMar w:top="1417" w:right="1133" w:bottom="1417" w:left="1701" w:header="708" w:footer="708" w:gutter="0"/>
          <w:cols w:space="708"/>
          <w:titlePg/>
          <w:docGrid w:linePitch="360"/>
        </w:sectPr>
      </w:pPr>
    </w:p>
    <w:tbl>
      <w:tblPr>
        <w:tblW w:w="11556" w:type="dxa"/>
        <w:tblInd w:w="56" w:type="dxa"/>
        <w:tblCellMar>
          <w:left w:w="70" w:type="dxa"/>
          <w:right w:w="70" w:type="dxa"/>
        </w:tblCellMar>
        <w:tblLook w:val="00A0" w:firstRow="1" w:lastRow="0" w:firstColumn="1" w:lastColumn="0" w:noHBand="0" w:noVBand="0"/>
      </w:tblPr>
      <w:tblGrid>
        <w:gridCol w:w="2060"/>
        <w:gridCol w:w="469"/>
        <w:gridCol w:w="718"/>
        <w:gridCol w:w="469"/>
        <w:gridCol w:w="718"/>
        <w:gridCol w:w="469"/>
        <w:gridCol w:w="718"/>
        <w:gridCol w:w="469"/>
        <w:gridCol w:w="718"/>
        <w:gridCol w:w="469"/>
        <w:gridCol w:w="718"/>
        <w:gridCol w:w="469"/>
        <w:gridCol w:w="718"/>
        <w:gridCol w:w="469"/>
        <w:gridCol w:w="718"/>
        <w:gridCol w:w="469"/>
        <w:gridCol w:w="718"/>
      </w:tblGrid>
      <w:tr w:rsidR="00104A12" w:rsidRPr="004D55DA" w:rsidTr="00D14404">
        <w:trPr>
          <w:trHeight w:val="180"/>
        </w:trPr>
        <w:tc>
          <w:tcPr>
            <w:tcW w:w="2060" w:type="dxa"/>
            <w:vMerge w:val="restart"/>
            <w:tcBorders>
              <w:top w:val="single" w:sz="4" w:space="0" w:color="auto"/>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4"/>
                <w:szCs w:val="14"/>
              </w:rPr>
            </w:pPr>
            <w:r w:rsidRPr="004D55DA">
              <w:rPr>
                <w:rFonts w:ascii="Cambria" w:hAnsi="Cambria" w:cs="Arial"/>
                <w:color w:val="000000"/>
                <w:sz w:val="14"/>
                <w:szCs w:val="14"/>
              </w:rPr>
              <w:lastRenderedPageBreak/>
              <w:t>I2C1TERMINAL</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sadoport</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Sadoport</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TCB</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TCL</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TCSA</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TML</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XXI</w:t>
            </w:r>
          </w:p>
        </w:tc>
        <w:tc>
          <w:tcPr>
            <w:tcW w:w="1187"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Total</w:t>
            </w:r>
          </w:p>
        </w:tc>
      </w:tr>
      <w:tr w:rsidR="00104A12" w:rsidRPr="004D55DA" w:rsidTr="00D14404">
        <w:trPr>
          <w:trHeight w:val="360"/>
        </w:trPr>
        <w:tc>
          <w:tcPr>
            <w:tcW w:w="2060" w:type="dxa"/>
            <w:vMerge/>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color w:val="000000"/>
                <w:sz w:val="14"/>
                <w:szCs w:val="14"/>
              </w:rPr>
            </w:pP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c>
          <w:tcPr>
            <w:tcW w:w="469"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Mean</w:t>
            </w:r>
          </w:p>
        </w:tc>
        <w:tc>
          <w:tcPr>
            <w:tcW w:w="718"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4"/>
                <w:szCs w:val="14"/>
              </w:rPr>
            </w:pPr>
            <w:r w:rsidRPr="004D55DA">
              <w:rPr>
                <w:rFonts w:ascii="Cambria" w:hAnsi="Cambria" w:cs="Arial"/>
                <w:color w:val="000000"/>
                <w:sz w:val="14"/>
                <w:szCs w:val="14"/>
              </w:rPr>
              <w:t>Std. Deviation</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com “hinterland”</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1,805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1,348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contentores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1,838</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de transhipment</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1,528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2,92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1,615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1,578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1,043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1,876</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Produtividade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1,490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Eficiência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1,697</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dono da carga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1,145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armador</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1,311</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agente e transitário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Contributo para a economia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1,049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1,079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centro portuário da Europa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1,630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porto mais próximo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2,029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Mediterrâneo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1,842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Proximidade da origem das cargas no “hinterland”</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,874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GDP da região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1,812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Acesso marítimo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1,528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1,642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ferroviárias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1,050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1,604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1,615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1,342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1,689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1,668</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rodoviárias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,801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,886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1,440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dos cais do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2,018</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Áreas logísticas junto ao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1,561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1,459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1,362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1,761</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terminais de contentores no porto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,902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aberto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Especialização do porto em contentores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1,103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1,336</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dos serviços de reboques e pilotagem</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Dinamismo da Autoridade e Comunidade Portuária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1,642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Taxas portuárias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1,519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1,885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1,104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Profundidade do cais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1,669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1,673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Equipamento de cais e parque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,970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1,362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1,217</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Frente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1,909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1,079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1,602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1,573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1,673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1,809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1,839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por metros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1,246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3,82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1,079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parque por metro de cais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1,740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1,682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Largura do terrapleno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1,519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1,884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1,581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Dimensão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1,362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1,543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1,358</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Ligações ferroviárias a terminais de 2ªlinha</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1,811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Agilidade face a alterações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1,204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1,645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1,324</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Fiabilidade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Flexibilidade operacional e comercial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1,427</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Imagem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,899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1,218</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Integração do terminal nas cadeias logísticas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1,127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1,060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2"/>
                <w:szCs w:val="18"/>
              </w:rPr>
            </w:pPr>
            <w:r>
              <w:rPr>
                <w:rFonts w:ascii="Cambria" w:hAnsi="Cambria" w:cs="Arial"/>
                <w:sz w:val="12"/>
                <w:szCs w:val="18"/>
              </w:rPr>
              <w:t>Layout</w:t>
            </w:r>
            <w:r w:rsidR="00104A12" w:rsidRPr="004D55DA">
              <w:rPr>
                <w:rFonts w:ascii="Cambria" w:hAnsi="Cambria" w:cs="Arial"/>
                <w:sz w:val="12"/>
                <w:szCs w:val="18"/>
              </w:rPr>
              <w:t xml:space="preserve">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2,69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2,326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1,452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1,82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,982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1,278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2,117</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Organização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1,463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,999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1,249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1,392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gerido por operador do Top10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3,88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1,650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1,104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1,593</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serviços marítimos SSS/feeder</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1,021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,924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1,491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1,235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linhas Top10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1,316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1,274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1,629</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1,342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geral dos serviços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2,91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1,489</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espera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4,36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1,305</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lastRenderedPageBreak/>
              <w:t>Serviços logísticos de valor acrescentado</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1,193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,835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5,38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1,408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1,618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1,633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Sistema de informações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6,33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1,155</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4,92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,954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6,13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,641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,932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4,64</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1,286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5,50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5,17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1,330</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Tipo de gestor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4,77</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1,013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,744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4,83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1,523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4,09</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1,136</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2,217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4,78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1,592</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4,63</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1,472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operação dos navios</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4,46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,967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1,753</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4,08</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1,501</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1,214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3,75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1,500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1,410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4,15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1,482</w:t>
            </w:r>
          </w:p>
        </w:tc>
      </w:tr>
      <w:tr w:rsidR="00104A12" w:rsidRPr="004D55DA" w:rsidTr="00D14404">
        <w:trPr>
          <w:trHeight w:val="18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Orientação do terminal para o cliente</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5,85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,987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5,71</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1,160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,894</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5,25</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1,258</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5,72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1,447</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5,66</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1,351</w:t>
            </w:r>
          </w:p>
        </w:tc>
      </w:tr>
      <w:tr w:rsidR="00104A12" w:rsidRPr="004D55DA" w:rsidTr="00D14404">
        <w:trPr>
          <w:trHeight w:val="73"/>
        </w:trPr>
        <w:tc>
          <w:tcPr>
            <w:tcW w:w="2060" w:type="dxa"/>
            <w:tcBorders>
              <w:top w:val="nil"/>
              <w:left w:val="nil"/>
              <w:bottom w:val="nil"/>
              <w:right w:val="nil"/>
            </w:tcBorders>
            <w:shd w:val="clear" w:color="000000" w:fill="FFFFFF"/>
            <w:noWrap/>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Tarifa de handling do terminal</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6,00</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3,42</w:t>
            </w:r>
          </w:p>
        </w:tc>
        <w:tc>
          <w:tcPr>
            <w:tcW w:w="718" w:type="dxa"/>
            <w:tcBorders>
              <w:top w:val="nil"/>
              <w:left w:val="nil"/>
              <w:bottom w:val="nil"/>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1,794</w:t>
            </w:r>
          </w:p>
        </w:tc>
      </w:tr>
      <w:tr w:rsidR="00104A12" w:rsidRPr="004D55DA" w:rsidTr="00D14404">
        <w:trPr>
          <w:trHeight w:val="180"/>
        </w:trPr>
        <w:tc>
          <w:tcPr>
            <w:tcW w:w="2060" w:type="dxa"/>
            <w:tcBorders>
              <w:top w:val="nil"/>
              <w:left w:val="nil"/>
              <w:bottom w:val="single" w:sz="4" w:space="0" w:color="auto"/>
              <w:right w:val="nil"/>
            </w:tcBorders>
            <w:shd w:val="clear" w:color="000000" w:fill="FFFFFF"/>
            <w:noWrap/>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com gestão privada</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4,00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1,00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7,00</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,000</w:t>
            </w:r>
          </w:p>
        </w:tc>
        <w:tc>
          <w:tcPr>
            <w:tcW w:w="46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3,13</w:t>
            </w:r>
          </w:p>
        </w:tc>
        <w:tc>
          <w:tcPr>
            <w:tcW w:w="718"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Cambria" w:hAnsi="Cambria" w:cs="Arial"/>
                <w:color w:val="000000"/>
                <w:sz w:val="14"/>
                <w:szCs w:val="14"/>
              </w:rPr>
            </w:pPr>
            <w:r w:rsidRPr="004D55DA">
              <w:rPr>
                <w:rFonts w:ascii="Cambria" w:hAnsi="Cambria" w:cs="Arial"/>
                <w:color w:val="000000"/>
                <w:sz w:val="14"/>
                <w:szCs w:val="14"/>
              </w:rPr>
              <w:t>2,050</w:t>
            </w:r>
          </w:p>
        </w:tc>
      </w:tr>
    </w:tbl>
    <w:p w:rsidR="00104A12" w:rsidRPr="004D55DA" w:rsidRDefault="00104A12" w:rsidP="007F7964">
      <w:pPr>
        <w:spacing w:line="360" w:lineRule="auto"/>
        <w:jc w:val="both"/>
      </w:pPr>
    </w:p>
    <w:p w:rsidR="00104A12" w:rsidRPr="004D55DA" w:rsidRDefault="00104A12" w:rsidP="007F7964">
      <w:pPr>
        <w:spacing w:line="360" w:lineRule="auto"/>
        <w:jc w:val="both"/>
        <w:sectPr w:rsidR="00104A12" w:rsidRPr="004D55DA" w:rsidSect="007F7964">
          <w:pgSz w:w="16838" w:h="11906" w:orient="landscape"/>
          <w:pgMar w:top="284" w:right="1133" w:bottom="284" w:left="1701" w:header="708" w:footer="708" w:gutter="0"/>
          <w:cols w:space="708"/>
          <w:titlePg/>
          <w:docGrid w:linePitch="360"/>
        </w:sectPr>
      </w:pPr>
    </w:p>
    <w:p w:rsidR="00104A12" w:rsidRPr="00D713C2" w:rsidRDefault="00BF783B" w:rsidP="007F7964">
      <w:pPr>
        <w:pStyle w:val="Legenda"/>
        <w:rPr>
          <w:b w:val="0"/>
          <w:bCs w:val="0"/>
          <w:sz w:val="24"/>
          <w:szCs w:val="24"/>
        </w:rPr>
      </w:pPr>
      <w:bookmarkStart w:id="227" w:name="_Toc395730317"/>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8</w:t>
      </w:r>
      <w:r w:rsidR="00372F0E" w:rsidRPr="00D713C2">
        <w:rPr>
          <w:noProof/>
          <w:sz w:val="24"/>
          <w:szCs w:val="24"/>
        </w:rPr>
        <w:fldChar w:fldCharType="end"/>
      </w:r>
      <w:r w:rsidR="00104A12" w:rsidRPr="00D713C2">
        <w:rPr>
          <w:sz w:val="24"/>
          <w:szCs w:val="24"/>
        </w:rPr>
        <w:t xml:space="preserve"> - Médias de Portugal e Espanha, 2º inquérito</w:t>
      </w:r>
      <w:bookmarkEnd w:id="227"/>
    </w:p>
    <w:tbl>
      <w:tblPr>
        <w:tblW w:w="6200" w:type="dxa"/>
        <w:tblInd w:w="56" w:type="dxa"/>
        <w:tblCellMar>
          <w:left w:w="70" w:type="dxa"/>
          <w:right w:w="70" w:type="dxa"/>
        </w:tblCellMar>
        <w:tblLook w:val="00A0" w:firstRow="1" w:lastRow="0" w:firstColumn="1" w:lastColumn="0" w:noHBand="0" w:noVBand="0"/>
      </w:tblPr>
      <w:tblGrid>
        <w:gridCol w:w="2060"/>
        <w:gridCol w:w="580"/>
        <w:gridCol w:w="800"/>
        <w:gridCol w:w="580"/>
        <w:gridCol w:w="800"/>
        <w:gridCol w:w="580"/>
        <w:gridCol w:w="800"/>
      </w:tblGrid>
      <w:tr w:rsidR="00104A12" w:rsidRPr="004D55DA" w:rsidTr="00D14404">
        <w:trPr>
          <w:trHeight w:val="210"/>
        </w:trPr>
        <w:tc>
          <w:tcPr>
            <w:tcW w:w="2060" w:type="dxa"/>
            <w:vMerge w:val="restart"/>
            <w:tcBorders>
              <w:top w:val="single" w:sz="4" w:space="0" w:color="auto"/>
              <w:left w:val="nil"/>
              <w:bottom w:val="single" w:sz="4" w:space="0" w:color="000000"/>
              <w:right w:val="nil"/>
            </w:tcBorders>
            <w:shd w:val="clear" w:color="000000" w:fill="FFFFFF"/>
          </w:tcPr>
          <w:p w:rsidR="00104A12" w:rsidRPr="004D55DA" w:rsidRDefault="00104A12" w:rsidP="007F7964">
            <w:pPr>
              <w:rPr>
                <w:rFonts w:ascii="Cambria" w:hAnsi="Cambria" w:cs="Arial"/>
                <w:color w:val="000000"/>
                <w:sz w:val="16"/>
                <w:szCs w:val="16"/>
              </w:rPr>
            </w:pPr>
            <w:r w:rsidRPr="004D55DA">
              <w:rPr>
                <w:rFonts w:ascii="Cambria" w:hAnsi="Cambria" w:cs="Arial"/>
                <w:color w:val="000000"/>
                <w:sz w:val="16"/>
                <w:szCs w:val="16"/>
              </w:rPr>
              <w:t>I2C3COUNTRY</w:t>
            </w:r>
          </w:p>
        </w:tc>
        <w:tc>
          <w:tcPr>
            <w:tcW w:w="1380"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Portugal</w:t>
            </w:r>
          </w:p>
        </w:tc>
        <w:tc>
          <w:tcPr>
            <w:tcW w:w="1380"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Spain</w:t>
            </w:r>
          </w:p>
        </w:tc>
        <w:tc>
          <w:tcPr>
            <w:tcW w:w="1380" w:type="dxa"/>
            <w:gridSpan w:val="2"/>
            <w:tcBorders>
              <w:top w:val="single" w:sz="4" w:space="0" w:color="auto"/>
              <w:left w:val="nil"/>
              <w:bottom w:val="nil"/>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Total</w:t>
            </w:r>
          </w:p>
        </w:tc>
      </w:tr>
      <w:tr w:rsidR="00104A12" w:rsidRPr="004D55DA" w:rsidTr="00D14404">
        <w:trPr>
          <w:trHeight w:val="420"/>
        </w:trPr>
        <w:tc>
          <w:tcPr>
            <w:tcW w:w="2060" w:type="dxa"/>
            <w:vMerge/>
            <w:tcBorders>
              <w:top w:val="single" w:sz="4" w:space="0" w:color="auto"/>
              <w:left w:val="nil"/>
              <w:bottom w:val="single" w:sz="4" w:space="0" w:color="000000"/>
              <w:right w:val="nil"/>
            </w:tcBorders>
            <w:vAlign w:val="center"/>
          </w:tcPr>
          <w:p w:rsidR="00104A12" w:rsidRPr="004D55DA" w:rsidRDefault="00104A12" w:rsidP="007F7964">
            <w:pPr>
              <w:rPr>
                <w:rFonts w:ascii="Cambria" w:hAnsi="Cambria" w:cs="Arial"/>
                <w:color w:val="000000"/>
                <w:sz w:val="16"/>
                <w:szCs w:val="16"/>
              </w:rPr>
            </w:pPr>
          </w:p>
        </w:tc>
        <w:tc>
          <w:tcPr>
            <w:tcW w:w="58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80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Deviation</w:t>
            </w:r>
          </w:p>
        </w:tc>
        <w:tc>
          <w:tcPr>
            <w:tcW w:w="58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80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Deviation</w:t>
            </w:r>
          </w:p>
        </w:tc>
        <w:tc>
          <w:tcPr>
            <w:tcW w:w="58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Mean</w:t>
            </w:r>
          </w:p>
        </w:tc>
        <w:tc>
          <w:tcPr>
            <w:tcW w:w="800" w:type="dxa"/>
            <w:tcBorders>
              <w:top w:val="nil"/>
              <w:left w:val="nil"/>
              <w:bottom w:val="single" w:sz="4" w:space="0" w:color="auto"/>
              <w:right w:val="nil"/>
            </w:tcBorders>
            <w:shd w:val="clear" w:color="000000" w:fill="FFFFFF"/>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Std. Deviation</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com “hinterland”</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1,548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1,713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1,592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contentores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2,514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1,838</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Movimento de contentores de transhipment</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3,48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1,742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4,43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2,074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3,73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1,876</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Produtividade</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1,554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1,285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1,490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Eficiência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3,01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1,232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4,48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2,276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3,40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1,697</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dono da carga</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1,202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5,43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,813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1,145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armador</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1,329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5,20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1,244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1,311</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Satisfação do agente e transitário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1,192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1,091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1,180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Contributo para a economia</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1,257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1,203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1,239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centro portuário da Europa</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,414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1,446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1,630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porto mais próximo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2,66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1,979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3,38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2,096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2,85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2,029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Mediterrâneo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4,52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1,374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1,269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3,77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1,842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Proximidade da origem das cargas no “hinterland”</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1,549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5,45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1,197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GDP da região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3,34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1,979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,981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3,58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1,812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Acesso marítimo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1,724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5,45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1,518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4,57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1,749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ferroviárias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1,613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1,751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4,44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1,668</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Acessibilidades rodoviárias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1,698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5,85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1,145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1,655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dos cais do porto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3,66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2,180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2,15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,736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3,26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2,018</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Áreas logísticas junto ao porto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1,718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1,700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1,761</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terminais de contentores no porto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,998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,902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Distância ao mar aberto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3,50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2,207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2,50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1,013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3,24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2,009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Especialização do porto em contentores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1,277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5,65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1,369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1,336</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dos serviços de reboques e pilotagem</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1,196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,823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5,26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1,153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Dinamismo da Autoridade e Comunidade Portuária</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1,360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1,403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Taxas portuárias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1,498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4,53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1,739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4,11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1,580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Profundidade do cais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4,14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1,587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5,45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1,535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4,48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1,673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Equipamento de cais e parque</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1,257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,791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1,217</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Frente de cais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4,31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1,554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5,53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1,261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1,573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Comprimento de cais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3,35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,921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1,964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4,00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1,673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,706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2,078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2,58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1,809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de cais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,616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2,291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2,74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1,839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Número de pórticos por metros de cais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2,89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1,766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3,42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1,794</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Área do parque por metro de cais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2,79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2,050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4,05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1,768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2,050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Largura do terrapleno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4,38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1,459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1,231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1,463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Dimensão dos navios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1,629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1,691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4,13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1,682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Ligações ferroviárias a terminais de 2ªlinha</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1,649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1,928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4,20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1,755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Agilidade face a alterações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1,342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5,58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1,279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1,358</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Fiabilidade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1,328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5,70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1,159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1,319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Flexibilidade operacional e comercial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1,254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1,324</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Imagem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1,250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5,75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1,056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5,23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1,239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Integração do terminal nas cadeias logísticas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4,37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1,407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1,396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4,54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1,427</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36906" w:rsidP="007F7964">
            <w:pPr>
              <w:rPr>
                <w:rFonts w:ascii="Cambria" w:hAnsi="Cambria" w:cs="Arial"/>
                <w:sz w:val="12"/>
                <w:szCs w:val="18"/>
              </w:rPr>
            </w:pPr>
            <w:r>
              <w:rPr>
                <w:rFonts w:ascii="Cambria" w:hAnsi="Cambria" w:cs="Arial"/>
                <w:sz w:val="12"/>
                <w:szCs w:val="18"/>
              </w:rPr>
              <w:t>Layout</w:t>
            </w:r>
            <w:r w:rsidR="00104A12" w:rsidRPr="004D55DA">
              <w:rPr>
                <w:rFonts w:ascii="Cambria" w:hAnsi="Cambria" w:cs="Arial"/>
                <w:sz w:val="12"/>
                <w:szCs w:val="18"/>
              </w:rPr>
              <w:t xml:space="preserve">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1,245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5,45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,986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1,218</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Organização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1,296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5,55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,749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1,195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gerido por operador do Top10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2,92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1,973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4,38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2,157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3,30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2,117</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serviços marítimos SSS/feeder</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1,400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1,392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Frequência de linhas Top10</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3,76</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1,485</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1,652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4,03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1,593</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Qualidade geral dos serviços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4,72</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1,266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5,30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1,043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1,235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espera dos navios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5,01</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1,372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5,83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1,059</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5,23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1,342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Serviços logísticos de valor acrescentado</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3,75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1,436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1,197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4,09</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1,489</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Sistema de informações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4,87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1,322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5,73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1,037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1,305</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Tipo de gestor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5,03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1,411</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5,60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1,336</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1,410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Tempo de operação dos navios</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4,98</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1,328</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5,70</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1,203</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5,17</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1,330</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Orientação do terminal para o cliente</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4,44</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5,15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1,312</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4,63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1,472</w:t>
            </w:r>
          </w:p>
        </w:tc>
      </w:tr>
      <w:tr w:rsidR="00104A12" w:rsidRPr="004D55DA" w:rsidTr="00D14404">
        <w:trPr>
          <w:trHeight w:val="210"/>
        </w:trPr>
        <w:tc>
          <w:tcPr>
            <w:tcW w:w="2060" w:type="dxa"/>
            <w:tcBorders>
              <w:top w:val="nil"/>
              <w:left w:val="nil"/>
              <w:bottom w:val="nil"/>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Tarifa de handling do terminal</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3,95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1,347</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4,73</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1,694</w:t>
            </w:r>
          </w:p>
        </w:tc>
        <w:tc>
          <w:tcPr>
            <w:tcW w:w="58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4,15</w:t>
            </w:r>
          </w:p>
        </w:tc>
        <w:tc>
          <w:tcPr>
            <w:tcW w:w="800" w:type="dxa"/>
            <w:tcBorders>
              <w:top w:val="nil"/>
              <w:left w:val="nil"/>
              <w:bottom w:val="nil"/>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1,482</w:t>
            </w:r>
          </w:p>
        </w:tc>
      </w:tr>
      <w:tr w:rsidR="00104A12" w:rsidRPr="004D55DA" w:rsidTr="00D14404">
        <w:trPr>
          <w:trHeight w:val="210"/>
        </w:trPr>
        <w:tc>
          <w:tcPr>
            <w:tcW w:w="2060" w:type="dxa"/>
            <w:tcBorders>
              <w:top w:val="nil"/>
              <w:left w:val="nil"/>
              <w:bottom w:val="single" w:sz="4" w:space="0" w:color="auto"/>
              <w:right w:val="nil"/>
            </w:tcBorders>
            <w:shd w:val="clear" w:color="000000" w:fill="FFFFFF"/>
            <w:vAlign w:val="bottom"/>
          </w:tcPr>
          <w:p w:rsidR="00104A12" w:rsidRPr="004D55DA" w:rsidRDefault="00104A12" w:rsidP="007F7964">
            <w:pPr>
              <w:rPr>
                <w:rFonts w:ascii="Cambria" w:hAnsi="Cambria" w:cs="Arial"/>
                <w:sz w:val="12"/>
                <w:szCs w:val="18"/>
              </w:rPr>
            </w:pPr>
            <w:r w:rsidRPr="004D55DA">
              <w:rPr>
                <w:rFonts w:ascii="Cambria" w:hAnsi="Cambria" w:cs="Arial"/>
                <w:sz w:val="12"/>
                <w:szCs w:val="18"/>
              </w:rPr>
              <w:t>Terminal com gestão privada</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5,50</w:t>
            </w:r>
          </w:p>
        </w:tc>
        <w:tc>
          <w:tcPr>
            <w:tcW w:w="80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1,334</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6,10</w:t>
            </w:r>
          </w:p>
        </w:tc>
        <w:tc>
          <w:tcPr>
            <w:tcW w:w="80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1,317</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5,66</w:t>
            </w:r>
          </w:p>
        </w:tc>
        <w:tc>
          <w:tcPr>
            <w:tcW w:w="800" w:type="dxa"/>
            <w:tcBorders>
              <w:top w:val="nil"/>
              <w:left w:val="nil"/>
              <w:bottom w:val="single" w:sz="4" w:space="0" w:color="auto"/>
              <w:right w:val="nil"/>
            </w:tcBorders>
            <w:shd w:val="clear" w:color="000000" w:fill="FFFFFF"/>
            <w:noWrap/>
          </w:tcPr>
          <w:p w:rsidR="00104A12" w:rsidRPr="004D55DA" w:rsidRDefault="00104A12" w:rsidP="007F7964">
            <w:pPr>
              <w:jc w:val="center"/>
              <w:rPr>
                <w:rFonts w:ascii="Cambria" w:hAnsi="Cambria" w:cs="Arial"/>
                <w:color w:val="000000"/>
                <w:sz w:val="16"/>
                <w:szCs w:val="16"/>
              </w:rPr>
            </w:pPr>
            <w:r w:rsidRPr="004D55DA">
              <w:rPr>
                <w:rFonts w:ascii="Cambria" w:hAnsi="Cambria" w:cs="Arial"/>
                <w:color w:val="000000"/>
                <w:sz w:val="16"/>
                <w:szCs w:val="16"/>
              </w:rPr>
              <w:t>1,351</w:t>
            </w:r>
          </w:p>
        </w:tc>
      </w:tr>
    </w:tbl>
    <w:p w:rsidR="00104A12" w:rsidRPr="004D55DA" w:rsidRDefault="00104A12" w:rsidP="007F7964">
      <w:r w:rsidRPr="004D55DA">
        <w:br w:type="page"/>
      </w:r>
    </w:p>
    <w:p w:rsidR="00104A12" w:rsidRPr="004D55DA" w:rsidRDefault="00104A12" w:rsidP="007F7964"/>
    <w:p w:rsidR="00104A12" w:rsidRPr="00D713C2" w:rsidRDefault="00BF783B" w:rsidP="007F7964">
      <w:pPr>
        <w:pStyle w:val="Legenda"/>
        <w:rPr>
          <w:sz w:val="24"/>
          <w:szCs w:val="24"/>
        </w:rPr>
      </w:pPr>
      <w:bookmarkStart w:id="228" w:name="_Toc395730318"/>
      <w:r w:rsidRPr="00D713C2">
        <w:rPr>
          <w:sz w:val="24"/>
          <w:szCs w:val="24"/>
        </w:rPr>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9</w:t>
      </w:r>
      <w:r w:rsidR="00372F0E" w:rsidRPr="00D713C2">
        <w:rPr>
          <w:noProof/>
          <w:sz w:val="24"/>
          <w:szCs w:val="24"/>
        </w:rPr>
        <w:fldChar w:fldCharType="end"/>
      </w:r>
      <w:r w:rsidR="00104A12" w:rsidRPr="00D713C2">
        <w:rPr>
          <w:sz w:val="24"/>
          <w:szCs w:val="24"/>
        </w:rPr>
        <w:t xml:space="preserve"> – Variância explicada, PCA, Varimax, 2º inq</w:t>
      </w:r>
      <w:r w:rsidR="00EB43AA" w:rsidRPr="00D713C2">
        <w:rPr>
          <w:sz w:val="24"/>
          <w:szCs w:val="24"/>
        </w:rPr>
        <w:t>.</w:t>
      </w:r>
      <w:r w:rsidR="00104A12" w:rsidRPr="00D713C2">
        <w:rPr>
          <w:sz w:val="24"/>
          <w:szCs w:val="24"/>
        </w:rPr>
        <w:t xml:space="preserve">, </w:t>
      </w:r>
      <w:r w:rsidR="00EB43AA" w:rsidRPr="00D713C2">
        <w:rPr>
          <w:sz w:val="24"/>
          <w:szCs w:val="24"/>
        </w:rPr>
        <w:t>PT e ES</w:t>
      </w:r>
      <w:r w:rsidR="00104A12" w:rsidRPr="00D713C2">
        <w:rPr>
          <w:sz w:val="24"/>
          <w:szCs w:val="24"/>
        </w:rPr>
        <w:t>, variáveis endógenas</w:t>
      </w:r>
      <w:bookmarkEnd w:id="228"/>
    </w:p>
    <w:p w:rsidR="00104A12" w:rsidRPr="004D55DA" w:rsidRDefault="00104A12" w:rsidP="007F7964"/>
    <w:tbl>
      <w:tblPr>
        <w:tblW w:w="8300" w:type="dxa"/>
        <w:tblInd w:w="55" w:type="dxa"/>
        <w:tblCellMar>
          <w:left w:w="70" w:type="dxa"/>
          <w:right w:w="70" w:type="dxa"/>
        </w:tblCellMar>
        <w:tblLook w:val="00A0" w:firstRow="1" w:lastRow="0" w:firstColumn="1" w:lastColumn="0" w:noHBand="0" w:noVBand="0"/>
      </w:tblPr>
      <w:tblGrid>
        <w:gridCol w:w="968"/>
        <w:gridCol w:w="1012"/>
        <w:gridCol w:w="820"/>
        <w:gridCol w:w="941"/>
        <w:gridCol w:w="852"/>
        <w:gridCol w:w="820"/>
        <w:gridCol w:w="941"/>
        <w:gridCol w:w="790"/>
        <w:gridCol w:w="820"/>
        <w:gridCol w:w="941"/>
      </w:tblGrid>
      <w:tr w:rsidR="00104A12" w:rsidRPr="00537B64" w:rsidTr="00326691">
        <w:trPr>
          <w:trHeight w:val="300"/>
        </w:trPr>
        <w:tc>
          <w:tcPr>
            <w:tcW w:w="895" w:type="dxa"/>
            <w:tcBorders>
              <w:top w:val="single" w:sz="4" w:space="0" w:color="auto"/>
              <w:left w:val="nil"/>
              <w:bottom w:val="nil"/>
              <w:right w:val="nil"/>
            </w:tcBorders>
            <w:shd w:val="clear" w:color="000000" w:fill="FFFFFF"/>
            <w:vAlign w:val="center"/>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Component</w:t>
            </w:r>
          </w:p>
        </w:tc>
        <w:tc>
          <w:tcPr>
            <w:tcW w:w="902" w:type="dxa"/>
            <w:tcBorders>
              <w:top w:val="single" w:sz="4" w:space="0" w:color="auto"/>
              <w:left w:val="nil"/>
              <w:bottom w:val="nil"/>
              <w:right w:val="nil"/>
            </w:tcBorders>
            <w:shd w:val="clear" w:color="000000" w:fill="FFFFFF"/>
            <w:vAlign w:val="bottom"/>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Initial Eigenvalues</w:t>
            </w:r>
          </w:p>
        </w:tc>
        <w:tc>
          <w:tcPr>
            <w:tcW w:w="820"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831"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788" w:type="dxa"/>
            <w:tcBorders>
              <w:top w:val="single" w:sz="4" w:space="0" w:color="auto"/>
              <w:left w:val="nil"/>
              <w:bottom w:val="nil"/>
              <w:right w:val="nil"/>
            </w:tcBorders>
            <w:shd w:val="clear" w:color="000000" w:fill="FFFFFF"/>
            <w:vAlign w:val="bottom"/>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Extraction Sums of Squared Loadings</w:t>
            </w:r>
          </w:p>
        </w:tc>
        <w:tc>
          <w:tcPr>
            <w:tcW w:w="820"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831"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762" w:type="dxa"/>
            <w:tcBorders>
              <w:top w:val="single" w:sz="4" w:space="0" w:color="auto"/>
              <w:left w:val="nil"/>
              <w:bottom w:val="nil"/>
              <w:right w:val="nil"/>
            </w:tcBorders>
            <w:shd w:val="clear" w:color="000000" w:fill="FFFFFF"/>
            <w:vAlign w:val="bottom"/>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Rotation Sums of Squared Loadings</w:t>
            </w:r>
          </w:p>
        </w:tc>
        <w:tc>
          <w:tcPr>
            <w:tcW w:w="820"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831" w:type="dxa"/>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r>
      <w:tr w:rsidR="00104A12" w:rsidRPr="004D55DA" w:rsidTr="00326691">
        <w:trPr>
          <w:trHeight w:val="540"/>
        </w:trPr>
        <w:tc>
          <w:tcPr>
            <w:tcW w:w="895"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902"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Total</w:t>
            </w:r>
          </w:p>
        </w:tc>
        <w:tc>
          <w:tcPr>
            <w:tcW w:w="82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lang w:val="en-US"/>
              </w:rPr>
              <w:t xml:space="preserve">% of </w:t>
            </w:r>
            <w:r w:rsidRPr="004D55DA">
              <w:rPr>
                <w:rFonts w:ascii="Arial" w:hAnsi="Arial" w:cs="Arial"/>
                <w:color w:val="000000"/>
                <w:sz w:val="16"/>
                <w:szCs w:val="16"/>
              </w:rPr>
              <w:t>Variance</w:t>
            </w:r>
          </w:p>
        </w:tc>
        <w:tc>
          <w:tcPr>
            <w:tcW w:w="83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788"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2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3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762"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2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3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1</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3,892</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43,243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43,243</w:t>
            </w:r>
          </w:p>
        </w:tc>
        <w:tc>
          <w:tcPr>
            <w:tcW w:w="78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3,892</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43,243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43,243</w:t>
            </w:r>
          </w:p>
        </w:tc>
        <w:tc>
          <w:tcPr>
            <w:tcW w:w="76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3,839</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42,657</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42,657</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2</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1,877</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20,859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64,102</w:t>
            </w:r>
          </w:p>
        </w:tc>
        <w:tc>
          <w:tcPr>
            <w:tcW w:w="788"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1,877</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20,859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64,102</w:t>
            </w:r>
          </w:p>
        </w:tc>
        <w:tc>
          <w:tcPr>
            <w:tcW w:w="76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1,930</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21,445</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64,102</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3</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,953</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10,589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74,692</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4</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,803</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8,924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83,616</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5</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,503</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5,591</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89,207</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6</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,350</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3,885</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93,092</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7</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,240</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2,662</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95,754</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288"/>
        </w:trPr>
        <w:tc>
          <w:tcPr>
            <w:tcW w:w="895"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8</w:t>
            </w:r>
          </w:p>
        </w:tc>
        <w:tc>
          <w:tcPr>
            <w:tcW w:w="90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,210</w:t>
            </w:r>
          </w:p>
        </w:tc>
        <w:tc>
          <w:tcPr>
            <w:tcW w:w="82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2,330</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98,084</w:t>
            </w:r>
          </w:p>
        </w:tc>
        <w:tc>
          <w:tcPr>
            <w:tcW w:w="788"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326691">
        <w:trPr>
          <w:trHeight w:val="300"/>
        </w:trPr>
        <w:tc>
          <w:tcPr>
            <w:tcW w:w="895"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9</w:t>
            </w:r>
          </w:p>
        </w:tc>
        <w:tc>
          <w:tcPr>
            <w:tcW w:w="902"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,172</w:t>
            </w:r>
          </w:p>
        </w:tc>
        <w:tc>
          <w:tcPr>
            <w:tcW w:w="82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1,916</w:t>
            </w:r>
          </w:p>
        </w:tc>
        <w:tc>
          <w:tcPr>
            <w:tcW w:w="83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100,000</w:t>
            </w:r>
          </w:p>
        </w:tc>
        <w:tc>
          <w:tcPr>
            <w:tcW w:w="788"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762"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2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31"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bl>
    <w:p w:rsidR="00104A12" w:rsidRPr="004D55DA" w:rsidRDefault="00104A12" w:rsidP="007F7964"/>
    <w:p w:rsidR="00104A12" w:rsidRPr="004D55DA" w:rsidRDefault="00104A12" w:rsidP="007F7964"/>
    <w:p w:rsidR="00104A12" w:rsidRPr="004D55DA" w:rsidRDefault="00104A12" w:rsidP="007F7964">
      <w:r w:rsidRPr="004D55DA">
        <w:br w:type="page"/>
      </w:r>
    </w:p>
    <w:p w:rsidR="00104A12" w:rsidRPr="00D713C2" w:rsidRDefault="00BF783B" w:rsidP="007F7964">
      <w:pPr>
        <w:pStyle w:val="Legenda"/>
        <w:rPr>
          <w:sz w:val="24"/>
          <w:szCs w:val="24"/>
        </w:rPr>
      </w:pPr>
      <w:bookmarkStart w:id="229" w:name="_Toc395730319"/>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10</w:t>
      </w:r>
      <w:r w:rsidR="00372F0E" w:rsidRPr="00D713C2">
        <w:rPr>
          <w:noProof/>
          <w:sz w:val="24"/>
          <w:szCs w:val="24"/>
        </w:rPr>
        <w:fldChar w:fldCharType="end"/>
      </w:r>
      <w:r w:rsidR="00104A12" w:rsidRPr="00D713C2">
        <w:rPr>
          <w:sz w:val="24"/>
          <w:szCs w:val="24"/>
        </w:rPr>
        <w:t xml:space="preserve"> - Variância explicada, PCA, Varimax, 2º inq</w:t>
      </w:r>
      <w:r w:rsidR="00EB43AA" w:rsidRPr="00D713C2">
        <w:rPr>
          <w:sz w:val="24"/>
          <w:szCs w:val="24"/>
        </w:rPr>
        <w:t>.</w:t>
      </w:r>
      <w:r w:rsidR="00104A12" w:rsidRPr="00D713C2">
        <w:rPr>
          <w:sz w:val="24"/>
          <w:szCs w:val="24"/>
        </w:rPr>
        <w:t xml:space="preserve">, </w:t>
      </w:r>
      <w:r w:rsidR="00EB43AA" w:rsidRPr="00D713C2">
        <w:rPr>
          <w:sz w:val="24"/>
          <w:szCs w:val="24"/>
        </w:rPr>
        <w:t>PT e ES</w:t>
      </w:r>
      <w:r w:rsidR="00104A12" w:rsidRPr="00D713C2">
        <w:rPr>
          <w:sz w:val="24"/>
          <w:szCs w:val="24"/>
        </w:rPr>
        <w:t>, variáveis exógenas</w:t>
      </w:r>
      <w:bookmarkEnd w:id="229"/>
    </w:p>
    <w:p w:rsidR="00104A12" w:rsidRPr="004D55DA" w:rsidRDefault="00104A12" w:rsidP="007F7964"/>
    <w:tbl>
      <w:tblPr>
        <w:tblW w:w="5000" w:type="pct"/>
        <w:tblCellMar>
          <w:left w:w="70" w:type="dxa"/>
          <w:right w:w="70" w:type="dxa"/>
        </w:tblCellMar>
        <w:tblLook w:val="00A0" w:firstRow="1" w:lastRow="0" w:firstColumn="1" w:lastColumn="0" w:noHBand="0" w:noVBand="0"/>
      </w:tblPr>
      <w:tblGrid>
        <w:gridCol w:w="968"/>
        <w:gridCol w:w="903"/>
        <w:gridCol w:w="903"/>
        <w:gridCol w:w="941"/>
        <w:gridCol w:w="903"/>
        <w:gridCol w:w="904"/>
        <w:gridCol w:w="941"/>
        <w:gridCol w:w="904"/>
        <w:gridCol w:w="904"/>
        <w:gridCol w:w="941"/>
      </w:tblGrid>
      <w:tr w:rsidR="00104A12" w:rsidRPr="00537B64" w:rsidTr="00326691">
        <w:trPr>
          <w:trHeight w:val="300"/>
        </w:trPr>
        <w:tc>
          <w:tcPr>
            <w:tcW w:w="520" w:type="pct"/>
            <w:tcBorders>
              <w:top w:val="single" w:sz="4" w:space="0" w:color="auto"/>
              <w:left w:val="nil"/>
              <w:bottom w:val="nil"/>
              <w:right w:val="nil"/>
            </w:tcBorders>
            <w:shd w:val="clear" w:color="000000" w:fill="FFFFFF"/>
            <w:noWrap/>
            <w:vAlign w:val="center"/>
          </w:tcPr>
          <w:p w:rsidR="00104A12" w:rsidRPr="004D55DA" w:rsidRDefault="00104A12" w:rsidP="007F7964">
            <w:pPr>
              <w:rPr>
                <w:rFonts w:ascii="Arial" w:hAnsi="Arial" w:cs="Arial"/>
                <w:sz w:val="16"/>
                <w:szCs w:val="16"/>
              </w:rPr>
            </w:pPr>
            <w:r w:rsidRPr="004D55DA">
              <w:rPr>
                <w:rFonts w:ascii="Arial" w:hAnsi="Arial" w:cs="Arial"/>
                <w:sz w:val="16"/>
                <w:szCs w:val="16"/>
              </w:rPr>
              <w:t> </w:t>
            </w:r>
          </w:p>
        </w:tc>
        <w:tc>
          <w:tcPr>
            <w:tcW w:w="1493" w:type="pct"/>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Initial Eigenvalues</w:t>
            </w:r>
          </w:p>
        </w:tc>
        <w:tc>
          <w:tcPr>
            <w:tcW w:w="1493" w:type="pct"/>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Extraction Sums of Squared Loadings</w:t>
            </w:r>
          </w:p>
        </w:tc>
        <w:tc>
          <w:tcPr>
            <w:tcW w:w="1493" w:type="pct"/>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Rotation Sums of Squared Loadings</w:t>
            </w:r>
          </w:p>
        </w:tc>
      </w:tr>
      <w:tr w:rsidR="00104A12" w:rsidRPr="004D55DA" w:rsidTr="00326691">
        <w:trPr>
          <w:trHeight w:val="612"/>
        </w:trPr>
        <w:tc>
          <w:tcPr>
            <w:tcW w:w="520" w:type="pct"/>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Component</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Total</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 of Variance</w:t>
            </w:r>
          </w:p>
        </w:tc>
        <w:tc>
          <w:tcPr>
            <w:tcW w:w="505"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lang w:val="en-US"/>
              </w:rPr>
              <w:t>Cum</w:t>
            </w:r>
            <w:r w:rsidRPr="004D55DA">
              <w:rPr>
                <w:rFonts w:ascii="Arial" w:hAnsi="Arial" w:cs="Arial"/>
                <w:color w:val="000000"/>
                <w:sz w:val="16"/>
                <w:szCs w:val="16"/>
              </w:rPr>
              <w:t>ulative %</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505"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494"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505" w:type="pct"/>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1</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14,226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37,436</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37,436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14,226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37,436</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37,436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9,210</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24,237</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24,237</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2</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4,533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11,930</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49,366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4,533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11,930</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49,366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4,945</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13,014</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37,251</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3,742</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9,847</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59,213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3,742</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9,847</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59,213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4,284</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11,274</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48,525</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4</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2,327</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6,123</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65,336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2,327</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6,123</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65,336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3,966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10,438</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58,963</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5</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1,992</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5,242</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70,578</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1,992</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5,242</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70,578</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3,349</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8,813</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67,775</w:t>
            </w:r>
          </w:p>
        </w:tc>
      </w:tr>
      <w:tr w:rsidR="00104A12" w:rsidRPr="004D55DA" w:rsidTr="00326691">
        <w:trPr>
          <w:trHeight w:val="288"/>
        </w:trPr>
        <w:tc>
          <w:tcPr>
            <w:tcW w:w="520" w:type="pct"/>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6</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1,363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3,587</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74,165</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1,363</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3,587</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74,165</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2,334</w:t>
            </w:r>
          </w:p>
        </w:tc>
        <w:tc>
          <w:tcPr>
            <w:tcW w:w="494"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6,143</w:t>
            </w:r>
          </w:p>
        </w:tc>
        <w:tc>
          <w:tcPr>
            <w:tcW w:w="505" w:type="pct"/>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73,919</w:t>
            </w:r>
          </w:p>
        </w:tc>
      </w:tr>
      <w:tr w:rsidR="00104A12" w:rsidRPr="004D55DA" w:rsidTr="00326691">
        <w:trPr>
          <w:trHeight w:val="288"/>
        </w:trPr>
        <w:tc>
          <w:tcPr>
            <w:tcW w:w="520" w:type="pct"/>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8"/>
                <w:szCs w:val="18"/>
              </w:rPr>
            </w:pPr>
            <w:r w:rsidRPr="004D55DA">
              <w:rPr>
                <w:rFonts w:ascii="Arial" w:hAnsi="Arial" w:cs="Arial"/>
                <w:color w:val="000000"/>
                <w:sz w:val="18"/>
                <w:szCs w:val="18"/>
              </w:rPr>
              <w:t>7</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1,189</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3,129</w:t>
            </w:r>
          </w:p>
        </w:tc>
        <w:tc>
          <w:tcPr>
            <w:tcW w:w="505"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77,294</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1,189</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3,129</w:t>
            </w:r>
          </w:p>
        </w:tc>
        <w:tc>
          <w:tcPr>
            <w:tcW w:w="505"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77,294</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1,282</w:t>
            </w:r>
          </w:p>
        </w:tc>
        <w:tc>
          <w:tcPr>
            <w:tcW w:w="494"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3,375</w:t>
            </w:r>
          </w:p>
        </w:tc>
        <w:tc>
          <w:tcPr>
            <w:tcW w:w="505" w:type="pct"/>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77,294</w:t>
            </w:r>
          </w:p>
        </w:tc>
      </w:tr>
    </w:tbl>
    <w:p w:rsidR="00104A12" w:rsidRPr="004D55DA" w:rsidRDefault="00104A12" w:rsidP="007F7964"/>
    <w:p w:rsidR="00104A12" w:rsidRPr="004D55DA" w:rsidRDefault="00104A12" w:rsidP="007F7964">
      <w:pPr>
        <w:sectPr w:rsidR="00104A12" w:rsidRPr="004D55DA" w:rsidSect="007F7964">
          <w:pgSz w:w="11906" w:h="16838" w:code="9"/>
          <w:pgMar w:top="1418" w:right="1133" w:bottom="1418" w:left="1701" w:header="709" w:footer="709" w:gutter="0"/>
          <w:cols w:space="708"/>
          <w:titlePg/>
          <w:docGrid w:linePitch="360"/>
        </w:sectPr>
      </w:pPr>
    </w:p>
    <w:p w:rsidR="00104A12" w:rsidRPr="004D55DA" w:rsidRDefault="00104A12" w:rsidP="007F7964"/>
    <w:p w:rsidR="00104A12" w:rsidRPr="00D713C2" w:rsidRDefault="00BF783B" w:rsidP="007F7964">
      <w:pPr>
        <w:pStyle w:val="Legenda"/>
        <w:rPr>
          <w:sz w:val="24"/>
          <w:szCs w:val="24"/>
        </w:rPr>
      </w:pPr>
      <w:bookmarkStart w:id="230" w:name="_Toc395730320"/>
      <w:r w:rsidRPr="00D713C2">
        <w:rPr>
          <w:sz w:val="24"/>
          <w:szCs w:val="24"/>
        </w:rPr>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11</w:t>
      </w:r>
      <w:r w:rsidR="00372F0E" w:rsidRPr="00D713C2">
        <w:rPr>
          <w:noProof/>
          <w:sz w:val="24"/>
          <w:szCs w:val="24"/>
        </w:rPr>
        <w:fldChar w:fldCharType="end"/>
      </w:r>
      <w:r w:rsidR="00104A12" w:rsidRPr="00D713C2">
        <w:rPr>
          <w:sz w:val="24"/>
          <w:szCs w:val="24"/>
        </w:rPr>
        <w:t xml:space="preserve"> - Correlação entre as variáveis no 2º inquérito, Europa</w:t>
      </w:r>
      <w:bookmarkEnd w:id="230"/>
    </w:p>
    <w:p w:rsidR="00104A12" w:rsidRPr="004D55DA" w:rsidRDefault="00BF31C8" w:rsidP="007F7964">
      <w:r w:rsidRPr="004D55DA">
        <w:rPr>
          <w:noProof/>
        </w:rPr>
        <w:drawing>
          <wp:inline distT="0" distB="0" distL="0" distR="0" wp14:anchorId="352A2A0E" wp14:editId="2D9C39CC">
            <wp:extent cx="8881110" cy="4248785"/>
            <wp:effectExtent l="0" t="0" r="0" b="0"/>
            <wp:docPr id="427"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881110" cy="4248785"/>
                    </a:xfrm>
                    <a:prstGeom prst="rect">
                      <a:avLst/>
                    </a:prstGeom>
                    <a:noFill/>
                    <a:ln>
                      <a:noFill/>
                    </a:ln>
                  </pic:spPr>
                </pic:pic>
              </a:graphicData>
            </a:graphic>
          </wp:inline>
        </w:drawing>
      </w:r>
    </w:p>
    <w:p w:rsidR="00104A12" w:rsidRPr="004D55DA" w:rsidRDefault="00104A12" w:rsidP="007F7964"/>
    <w:p w:rsidR="00104A12" w:rsidRPr="004D55DA" w:rsidRDefault="00104A12" w:rsidP="007F7964"/>
    <w:p w:rsidR="00104A12" w:rsidRPr="004D55DA" w:rsidRDefault="00104A12" w:rsidP="007F7964">
      <w:pPr>
        <w:sectPr w:rsidR="00104A12" w:rsidRPr="004D55DA" w:rsidSect="007F7964">
          <w:pgSz w:w="16838" w:h="11906" w:orient="landscape" w:code="9"/>
          <w:pgMar w:top="1134" w:right="1133" w:bottom="1701" w:left="1701" w:header="709" w:footer="709" w:gutter="0"/>
          <w:cols w:space="708"/>
          <w:titlePg/>
          <w:docGrid w:linePitch="360"/>
        </w:sectPr>
      </w:pPr>
    </w:p>
    <w:p w:rsidR="00104A12" w:rsidRPr="00D713C2" w:rsidRDefault="00BF783B" w:rsidP="007F7964">
      <w:pPr>
        <w:pStyle w:val="Legenda"/>
        <w:rPr>
          <w:sz w:val="24"/>
          <w:szCs w:val="24"/>
        </w:rPr>
      </w:pPr>
      <w:bookmarkStart w:id="231" w:name="_Toc395730321"/>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12</w:t>
      </w:r>
      <w:r w:rsidR="00372F0E" w:rsidRPr="00D713C2">
        <w:rPr>
          <w:noProof/>
          <w:sz w:val="24"/>
          <w:szCs w:val="24"/>
        </w:rPr>
        <w:fldChar w:fldCharType="end"/>
      </w:r>
      <w:r w:rsidR="00104A12" w:rsidRPr="00D713C2">
        <w:rPr>
          <w:sz w:val="24"/>
          <w:szCs w:val="24"/>
        </w:rPr>
        <w:t xml:space="preserve"> – Médias por porto, 2º inquérito, Europa</w:t>
      </w:r>
      <w:bookmarkEnd w:id="231"/>
    </w:p>
    <w:tbl>
      <w:tblPr>
        <w:tblW w:w="5000" w:type="pct"/>
        <w:tblCellMar>
          <w:left w:w="70" w:type="dxa"/>
          <w:right w:w="70" w:type="dxa"/>
        </w:tblCellMar>
        <w:tblLook w:val="00A0" w:firstRow="1" w:lastRow="0" w:firstColumn="1" w:lastColumn="0" w:noHBand="0" w:noVBand="0"/>
      </w:tblPr>
      <w:tblGrid>
        <w:gridCol w:w="1632"/>
        <w:gridCol w:w="567"/>
        <w:gridCol w:w="567"/>
        <w:gridCol w:w="510"/>
        <w:gridCol w:w="1030"/>
        <w:gridCol w:w="645"/>
        <w:gridCol w:w="925"/>
        <w:gridCol w:w="886"/>
        <w:gridCol w:w="615"/>
        <w:gridCol w:w="1011"/>
        <w:gridCol w:w="824"/>
      </w:tblGrid>
      <w:tr w:rsidR="00CD29DA" w:rsidRPr="004D55DA" w:rsidTr="00CD29DA">
        <w:trPr>
          <w:trHeight w:val="375"/>
        </w:trPr>
        <w:tc>
          <w:tcPr>
            <w:tcW w:w="885"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sz w:val="12"/>
                <w:szCs w:val="12"/>
              </w:rPr>
            </w:pPr>
            <w:r w:rsidRPr="004D55DA">
              <w:rPr>
                <w:rFonts w:ascii="Cambria" w:hAnsi="Cambria" w:cs="Calibri"/>
                <w:sz w:val="12"/>
                <w:szCs w:val="12"/>
              </w:rPr>
              <w:t> </w:t>
            </w:r>
          </w:p>
        </w:tc>
        <w:tc>
          <w:tcPr>
            <w:tcW w:w="30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Aarhus</w:t>
            </w:r>
          </w:p>
        </w:tc>
        <w:tc>
          <w:tcPr>
            <w:tcW w:w="30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Belfast</w:t>
            </w:r>
          </w:p>
        </w:tc>
        <w:tc>
          <w:tcPr>
            <w:tcW w:w="277"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Cardiff</w:t>
            </w:r>
          </w:p>
        </w:tc>
        <w:tc>
          <w:tcPr>
            <w:tcW w:w="559"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Copenhagen</w:t>
            </w:r>
          </w:p>
        </w:tc>
        <w:tc>
          <w:tcPr>
            <w:tcW w:w="350"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Dublin</w:t>
            </w:r>
          </w:p>
        </w:tc>
        <w:tc>
          <w:tcPr>
            <w:tcW w:w="502"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Felixstowe</w:t>
            </w:r>
          </w:p>
        </w:tc>
        <w:tc>
          <w:tcPr>
            <w:tcW w:w="481"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Fredericia</w:t>
            </w:r>
          </w:p>
        </w:tc>
        <w:tc>
          <w:tcPr>
            <w:tcW w:w="334"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Genoa</w:t>
            </w:r>
          </w:p>
        </w:tc>
        <w:tc>
          <w:tcPr>
            <w:tcW w:w="549"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Gothenburg</w:t>
            </w:r>
          </w:p>
        </w:tc>
        <w:tc>
          <w:tcPr>
            <w:tcW w:w="44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Hamburg</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com “hinterland”</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contentores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de transhipment</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Produtividade</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Eficiência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dono da carga</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armador</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agente e transitário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Contributo para a economia</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centro portuário da Europa</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porto mais próximo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Mediterrâneo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Proximidade da origem das cargas no “hinterland”</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GDP da região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Acesso marítimo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ferroviárias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rodoviárias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dos cais do porto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Áreas logísticas junto ao porto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terminais de contentores no porto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aberto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Especialização do porto em contentores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dos serviços de reboques e pilotagem</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Dinamismo da Autoridade e Comunidade Portuária</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Taxas portuárias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Profundidade do cais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Equipamento de cais e parque</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Frente de cais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de cais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de cais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por metros de cais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parque por metro de cais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Largura do terrapleno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Ddimensão dos navios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Ligações ferroviárias a terminais de 2ªlinha</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Agilidade face a alterações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Fiabilidade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Flexibilidade operacional e comercial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Imagem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Integração do terminal nas cadeias logísticas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136906" w:rsidP="007F7964">
            <w:pPr>
              <w:rPr>
                <w:rFonts w:ascii="Cambria" w:hAnsi="Cambria" w:cs="Arial"/>
                <w:sz w:val="12"/>
                <w:szCs w:val="14"/>
              </w:rPr>
            </w:pPr>
            <w:r>
              <w:rPr>
                <w:rFonts w:ascii="Cambria" w:hAnsi="Cambria" w:cs="Arial"/>
                <w:sz w:val="12"/>
                <w:szCs w:val="14"/>
              </w:rPr>
              <w:t>Layout</w:t>
            </w:r>
            <w:r w:rsidR="00CD29DA" w:rsidRPr="004D55DA">
              <w:rPr>
                <w:rFonts w:ascii="Cambria" w:hAnsi="Cambria" w:cs="Arial"/>
                <w:sz w:val="12"/>
                <w:szCs w:val="14"/>
              </w:rPr>
              <w:t xml:space="preserve">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Organização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gerido por operador do Top10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serviços marítimos SSS/feeder</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linhas Top10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geral dos serviços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espera dos navios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Serviços logísticos de valor acrescentado</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Sistema de informações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Tipo de gestor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operação dos navios</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Orientação do terminal para o cliente</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885"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Tarifa de handling do terminal</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0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27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5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5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0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3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885" w:type="pct"/>
            <w:tcBorders>
              <w:top w:val="nil"/>
              <w:left w:val="nil"/>
              <w:bottom w:val="single" w:sz="4" w:space="0" w:color="auto"/>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com gestão privada</w:t>
            </w:r>
          </w:p>
        </w:tc>
        <w:tc>
          <w:tcPr>
            <w:tcW w:w="30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0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277"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59"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50"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02"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1"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34"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9"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r>
    </w:tbl>
    <w:p w:rsidR="00104A12" w:rsidRPr="004D55DA" w:rsidRDefault="00104A12" w:rsidP="007F7964">
      <w:pPr>
        <w:spacing w:line="360" w:lineRule="auto"/>
        <w:jc w:val="both"/>
      </w:pPr>
    </w:p>
    <w:p w:rsidR="00104A12" w:rsidRPr="004D55DA" w:rsidRDefault="00104A12" w:rsidP="007F7964">
      <w:r w:rsidRPr="004D55DA">
        <w:br w:type="page"/>
      </w:r>
    </w:p>
    <w:tbl>
      <w:tblPr>
        <w:tblW w:w="5000" w:type="pct"/>
        <w:tblCellMar>
          <w:left w:w="70" w:type="dxa"/>
          <w:right w:w="70" w:type="dxa"/>
        </w:tblCellMar>
        <w:tblLook w:val="00A0" w:firstRow="1" w:lastRow="0" w:firstColumn="1" w:lastColumn="0" w:noHBand="0" w:noVBand="0"/>
      </w:tblPr>
      <w:tblGrid>
        <w:gridCol w:w="1530"/>
        <w:gridCol w:w="808"/>
        <w:gridCol w:w="840"/>
        <w:gridCol w:w="978"/>
        <w:gridCol w:w="884"/>
        <w:gridCol w:w="680"/>
        <w:gridCol w:w="672"/>
        <w:gridCol w:w="1102"/>
        <w:gridCol w:w="918"/>
        <w:gridCol w:w="800"/>
      </w:tblGrid>
      <w:tr w:rsidR="00E141AD" w:rsidRPr="004D55DA" w:rsidTr="00E141AD">
        <w:trPr>
          <w:trHeight w:val="375"/>
        </w:trPr>
        <w:tc>
          <w:tcPr>
            <w:tcW w:w="830" w:type="pct"/>
            <w:tcBorders>
              <w:top w:val="single" w:sz="4" w:space="0" w:color="auto"/>
              <w:left w:val="nil"/>
              <w:bottom w:val="single" w:sz="4" w:space="0" w:color="auto"/>
              <w:right w:val="nil"/>
            </w:tcBorders>
            <w:shd w:val="clear" w:color="000000" w:fill="FFFFFF"/>
            <w:vAlign w:val="bottom"/>
          </w:tcPr>
          <w:p w:rsidR="00E141AD" w:rsidRPr="004D55DA" w:rsidRDefault="00E141AD" w:rsidP="007F7964">
            <w:pPr>
              <w:rPr>
                <w:rFonts w:ascii="Cambria" w:hAnsi="Cambria" w:cs="Calibri"/>
                <w:sz w:val="12"/>
                <w:szCs w:val="12"/>
              </w:rPr>
            </w:pPr>
            <w:r w:rsidRPr="004D55DA">
              <w:rPr>
                <w:rFonts w:ascii="Cambria" w:hAnsi="Cambria" w:cs="Calibri"/>
                <w:sz w:val="12"/>
                <w:szCs w:val="12"/>
              </w:rPr>
              <w:lastRenderedPageBreak/>
              <w:t> </w:t>
            </w:r>
          </w:p>
        </w:tc>
        <w:tc>
          <w:tcPr>
            <w:tcW w:w="438"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Hamina</w:t>
            </w:r>
          </w:p>
        </w:tc>
        <w:tc>
          <w:tcPr>
            <w:tcW w:w="456"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Helsinki</w:t>
            </w:r>
          </w:p>
        </w:tc>
        <w:tc>
          <w:tcPr>
            <w:tcW w:w="531"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Isafjordur</w:t>
            </w:r>
          </w:p>
        </w:tc>
        <w:tc>
          <w:tcPr>
            <w:tcW w:w="480"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Klaipeda</w:t>
            </w:r>
          </w:p>
        </w:tc>
        <w:tc>
          <w:tcPr>
            <w:tcW w:w="369"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Koper</w:t>
            </w:r>
          </w:p>
        </w:tc>
        <w:tc>
          <w:tcPr>
            <w:tcW w:w="365"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Le Havre</w:t>
            </w:r>
          </w:p>
        </w:tc>
        <w:tc>
          <w:tcPr>
            <w:tcW w:w="598"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Marsaxlokk</w:t>
            </w:r>
          </w:p>
        </w:tc>
        <w:tc>
          <w:tcPr>
            <w:tcW w:w="498"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Marsielle</w:t>
            </w:r>
          </w:p>
        </w:tc>
        <w:tc>
          <w:tcPr>
            <w:tcW w:w="434"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Nantes Saint-Nazaire</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Movimento de contentores com “hinterland”</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contentores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Movimento de contentores de transhipment</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Produtividade</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Eficiência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dono da carga</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armador</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agente e transitário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Contributo para a economia</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centro portuário da Europa</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porto mais próximo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Mar Mediterrâneo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Proximidade da origem das cargas no “hinterland”</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GDP da região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Acesso marítimo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Acessibilidades ferroviárias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3,80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Acessibilidades rodoviárias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Comprimento dos cais do porto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Áreas logísticas junto ao porto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terminais de contentores no porto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mar aberto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Especialização do porto em contentores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Qualidade dos serviços de reboques e pilotagem</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Dinamismo da Autoridade e Comunidade Portuária</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Taxas portuárias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Profundidade do cais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Equipamento de cais e parque</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Frente de cais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Comprimento de cais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pórticos de cais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pórticos por metros de cais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3,80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 do parque por metro de cais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Largura do terrapleno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Ddimensão dos navios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Ligações ferroviárias a terminais de 2ªlinha</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Agilidade face a alterações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Fiabilidade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Flexibilidade operacional e comercial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Imagem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Integração do terminal nas cadeias logísticas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136906" w:rsidP="007F7964">
            <w:pPr>
              <w:rPr>
                <w:rFonts w:ascii="Cambria" w:hAnsi="Cambria" w:cs="Arial"/>
                <w:sz w:val="12"/>
                <w:szCs w:val="14"/>
              </w:rPr>
            </w:pPr>
            <w:r>
              <w:rPr>
                <w:rFonts w:ascii="Cambria" w:hAnsi="Cambria" w:cs="Arial"/>
                <w:sz w:val="12"/>
                <w:szCs w:val="14"/>
              </w:rPr>
              <w:t>Layout</w:t>
            </w:r>
            <w:r w:rsidR="00E141AD" w:rsidRPr="004D55DA">
              <w:rPr>
                <w:rFonts w:ascii="Cambria" w:hAnsi="Cambria" w:cs="Arial"/>
                <w:sz w:val="12"/>
                <w:szCs w:val="14"/>
              </w:rPr>
              <w:t xml:space="preserve">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Organização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1,80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Terminal gerido por operador do Top10</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Frequência de serviços marítimos SSS/feeder</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Frequência de linhas Top10</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2,80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Qualidade geral dos serviços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Tempo de espera dos navios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Serviços logísticos de valor acrescentado</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3,80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Sistema de informações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Tipo de gestor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Tempo de operação dos navios</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Orientação do terminal para o cliente</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r>
      <w:tr w:rsidR="00E141AD" w:rsidRPr="004D55DA" w:rsidTr="00E141AD">
        <w:trPr>
          <w:trHeight w:val="156"/>
        </w:trPr>
        <w:tc>
          <w:tcPr>
            <w:tcW w:w="830"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Tarifa de handling do terminal</w:t>
            </w:r>
          </w:p>
        </w:tc>
        <w:tc>
          <w:tcPr>
            <w:tcW w:w="43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6"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3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9"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65"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3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r>
      <w:tr w:rsidR="00E141AD" w:rsidRPr="004D55DA" w:rsidTr="00E141AD">
        <w:trPr>
          <w:trHeight w:val="156"/>
        </w:trPr>
        <w:tc>
          <w:tcPr>
            <w:tcW w:w="830" w:type="pct"/>
            <w:tcBorders>
              <w:top w:val="nil"/>
              <w:left w:val="nil"/>
              <w:bottom w:val="single" w:sz="4" w:space="0" w:color="auto"/>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Terminal com gestão privada</w:t>
            </w:r>
          </w:p>
        </w:tc>
        <w:tc>
          <w:tcPr>
            <w:tcW w:w="438"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56"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31"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0"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9"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65"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98"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8"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34"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tbl>
      <w:tblPr>
        <w:tblW w:w="5000" w:type="pct"/>
        <w:tblCellMar>
          <w:left w:w="70" w:type="dxa"/>
          <w:right w:w="70" w:type="dxa"/>
        </w:tblCellMar>
        <w:tblLook w:val="00A0" w:firstRow="1" w:lastRow="0" w:firstColumn="1" w:lastColumn="0" w:noHBand="0" w:noVBand="0"/>
      </w:tblPr>
      <w:tblGrid>
        <w:gridCol w:w="1612"/>
        <w:gridCol w:w="836"/>
        <w:gridCol w:w="899"/>
        <w:gridCol w:w="999"/>
        <w:gridCol w:w="720"/>
        <w:gridCol w:w="1183"/>
        <w:gridCol w:w="1420"/>
        <w:gridCol w:w="824"/>
        <w:gridCol w:w="719"/>
      </w:tblGrid>
      <w:tr w:rsidR="00E141AD" w:rsidRPr="004D55DA" w:rsidTr="00E141AD">
        <w:trPr>
          <w:trHeight w:val="375"/>
        </w:trPr>
        <w:tc>
          <w:tcPr>
            <w:tcW w:w="875"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sz w:val="12"/>
                <w:szCs w:val="12"/>
              </w:rPr>
            </w:pPr>
            <w:r w:rsidRPr="004D55DA">
              <w:rPr>
                <w:rFonts w:ascii="Cambria" w:hAnsi="Cambria" w:cs="Calibri"/>
                <w:sz w:val="12"/>
                <w:szCs w:val="12"/>
              </w:rPr>
              <w:t> </w:t>
            </w:r>
          </w:p>
        </w:tc>
        <w:tc>
          <w:tcPr>
            <w:tcW w:w="454"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Naples</w:t>
            </w:r>
          </w:p>
        </w:tc>
        <w:tc>
          <w:tcPr>
            <w:tcW w:w="488"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Piraeus</w:t>
            </w:r>
          </w:p>
        </w:tc>
        <w:tc>
          <w:tcPr>
            <w:tcW w:w="542"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Ravenna</w:t>
            </w:r>
          </w:p>
        </w:tc>
        <w:tc>
          <w:tcPr>
            <w:tcW w:w="391"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Riga</w:t>
            </w:r>
          </w:p>
        </w:tc>
        <w:tc>
          <w:tcPr>
            <w:tcW w:w="642"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Rotterdam</w:t>
            </w:r>
          </w:p>
        </w:tc>
        <w:tc>
          <w:tcPr>
            <w:tcW w:w="771"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Southampton</w:t>
            </w:r>
          </w:p>
        </w:tc>
        <w:tc>
          <w:tcPr>
            <w:tcW w:w="447"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Venice</w:t>
            </w:r>
          </w:p>
        </w:tc>
        <w:tc>
          <w:tcPr>
            <w:tcW w:w="391" w:type="pct"/>
            <w:tcBorders>
              <w:top w:val="single" w:sz="4" w:space="0" w:color="auto"/>
              <w:left w:val="nil"/>
              <w:bottom w:val="single" w:sz="4" w:space="0" w:color="auto"/>
              <w:right w:val="nil"/>
            </w:tcBorders>
            <w:shd w:val="clear" w:color="000000" w:fill="FFFFFF"/>
            <w:vAlign w:val="center"/>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Total</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Movimento de contentores com “hinterland”</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contentores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2,54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Movimento de contentores de transhipment</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3,72</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Produtividade</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5,17</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Eficiência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3,22</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dono da carga</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armador</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Satisfação do agente e transitário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4,98</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Contributo para a economia</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centro portuário da Europa</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3,59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porto mais próximo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2,96</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Mar Mediterrâneo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2,87</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Proximidade da origem das cargas no “hinterland”</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5,30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GDP da região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3,74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Acesso marítimo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Acessibilidades ferroviárias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4,48</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Acessibilidades rodoviárias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5,17</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Comprimento dos cais do porto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3,13</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Áreas logísticas junto ao porto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4,70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terminais de contentores no porto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1,76</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Distância ao mar aberto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1,85</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Especialização do porto em contentores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5,43</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Qualidade dos serviços de reboques e pilotagem</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5,61</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Dinamismo da Autoridade e Comunidade Portuária</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4,96</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Taxas portuárias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Profundidade do cais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Equipamento de cais e parque</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5,02</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Frente de cais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2,94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Comprimento de cais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2,46</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2,94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pórticos de cais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4,94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Número de pórticos por metros de cais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4,61</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Área do parque por metro de cais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5,75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Largura do terrapleno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3,93</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Ddimensão dos navios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4,19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Ligações ferroviárias a terminais de 2ªlinha</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Agilidade face a alterações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5,24</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Fiabilidade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4,70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Flexibilidade operacional e comercial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5,15</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Imagem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4,91</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Integração do terminal nas cadeias logísticas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5,30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136906" w:rsidP="007F7964">
            <w:pPr>
              <w:rPr>
                <w:rFonts w:ascii="Cambria" w:hAnsi="Cambria" w:cs="Arial"/>
                <w:sz w:val="12"/>
                <w:szCs w:val="14"/>
              </w:rPr>
            </w:pPr>
            <w:r>
              <w:rPr>
                <w:rFonts w:ascii="Cambria" w:hAnsi="Cambria" w:cs="Arial"/>
                <w:sz w:val="12"/>
                <w:szCs w:val="14"/>
              </w:rPr>
              <w:t>Layout</w:t>
            </w:r>
            <w:r w:rsidR="00E141AD" w:rsidRPr="004D55DA">
              <w:rPr>
                <w:rFonts w:ascii="Cambria" w:hAnsi="Cambria" w:cs="Arial"/>
                <w:sz w:val="12"/>
                <w:szCs w:val="14"/>
              </w:rPr>
              <w:t xml:space="preserve">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4,85</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Organização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3,65</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Terminal gerido por operador do Top10</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5,19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Frequência de serviços marítimos SSS/feeder</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4,83</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Frequência de linhas Top10</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Qualidade geral dos serviços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Tempo de espera dos navios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4,72</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Serviços logísticos de valor acrescentado</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4,93</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Sistema de informações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Tipo de gestor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3,33</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4,31</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Tempo de operação dos navios</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2,67</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4,65</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Orientação do terminal para o cliente</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6,67</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5,28</w:t>
            </w:r>
          </w:p>
        </w:tc>
      </w:tr>
      <w:tr w:rsidR="00E141AD" w:rsidRPr="004D55DA" w:rsidTr="00E141AD">
        <w:trPr>
          <w:trHeight w:val="156"/>
        </w:trPr>
        <w:tc>
          <w:tcPr>
            <w:tcW w:w="875" w:type="pct"/>
            <w:tcBorders>
              <w:top w:val="nil"/>
              <w:left w:val="nil"/>
              <w:bottom w:val="nil"/>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Tarifa de handling do terminal</w:t>
            </w:r>
          </w:p>
        </w:tc>
        <w:tc>
          <w:tcPr>
            <w:tcW w:w="454"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88"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42"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77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7"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nil"/>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4,63</w:t>
            </w:r>
          </w:p>
        </w:tc>
      </w:tr>
      <w:tr w:rsidR="00E141AD" w:rsidRPr="004D55DA" w:rsidTr="00E141AD">
        <w:trPr>
          <w:trHeight w:val="156"/>
        </w:trPr>
        <w:tc>
          <w:tcPr>
            <w:tcW w:w="875" w:type="pct"/>
            <w:tcBorders>
              <w:top w:val="nil"/>
              <w:left w:val="nil"/>
              <w:bottom w:val="single" w:sz="4" w:space="0" w:color="auto"/>
              <w:right w:val="nil"/>
            </w:tcBorders>
            <w:shd w:val="clear" w:color="000000" w:fill="FFFFFF"/>
            <w:vAlign w:val="bottom"/>
          </w:tcPr>
          <w:p w:rsidR="00E141AD" w:rsidRPr="004D55DA" w:rsidRDefault="00E141AD" w:rsidP="007F7964">
            <w:pPr>
              <w:rPr>
                <w:rFonts w:ascii="Cambria" w:hAnsi="Cambria" w:cs="Arial"/>
                <w:sz w:val="12"/>
                <w:szCs w:val="14"/>
              </w:rPr>
            </w:pPr>
            <w:r w:rsidRPr="004D55DA">
              <w:rPr>
                <w:rFonts w:ascii="Cambria" w:hAnsi="Cambria" w:cs="Arial"/>
                <w:sz w:val="12"/>
                <w:szCs w:val="14"/>
              </w:rPr>
              <w:t>Terminal com gestão privada</w:t>
            </w:r>
          </w:p>
        </w:tc>
        <w:tc>
          <w:tcPr>
            <w:tcW w:w="454"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88"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2"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1"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42"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771"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7"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1" w:type="pct"/>
            <w:tcBorders>
              <w:top w:val="nil"/>
              <w:left w:val="nil"/>
              <w:bottom w:val="single" w:sz="4" w:space="0" w:color="auto"/>
              <w:right w:val="nil"/>
            </w:tcBorders>
            <w:shd w:val="clear" w:color="000000" w:fill="FFFFFF"/>
            <w:noWrap/>
          </w:tcPr>
          <w:p w:rsidR="00E141AD" w:rsidRPr="004D55DA" w:rsidRDefault="00E141AD" w:rsidP="007F7964">
            <w:pPr>
              <w:jc w:val="right"/>
              <w:rPr>
                <w:rFonts w:ascii="Cambria" w:hAnsi="Cambria" w:cs="Calibri"/>
                <w:color w:val="000000"/>
                <w:sz w:val="12"/>
                <w:szCs w:val="12"/>
              </w:rPr>
            </w:pPr>
            <w:r w:rsidRPr="004D55DA">
              <w:rPr>
                <w:rFonts w:ascii="Cambria" w:hAnsi="Cambria" w:cs="Calibri"/>
                <w:color w:val="000000"/>
                <w:sz w:val="12"/>
                <w:szCs w:val="12"/>
              </w:rPr>
              <w:t>3,52</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r w:rsidRPr="004D55DA">
        <w:br w:type="page"/>
      </w:r>
    </w:p>
    <w:p w:rsidR="00104A12" w:rsidRPr="00D713C2" w:rsidRDefault="00BF783B" w:rsidP="007F7964">
      <w:pPr>
        <w:pStyle w:val="Legenda"/>
        <w:rPr>
          <w:sz w:val="24"/>
          <w:szCs w:val="24"/>
        </w:rPr>
      </w:pPr>
      <w:bookmarkStart w:id="232" w:name="_Toc395730322"/>
      <w:r w:rsidRPr="00D713C2">
        <w:rPr>
          <w:sz w:val="24"/>
          <w:szCs w:val="24"/>
        </w:rPr>
        <w:lastRenderedPageBreak/>
        <w:t>Apêndice</w:t>
      </w:r>
      <w:r w:rsidR="00104A12" w:rsidRPr="00D713C2">
        <w:rPr>
          <w:sz w:val="24"/>
          <w:szCs w:val="24"/>
        </w:rPr>
        <w:t xml:space="preserve"> </w:t>
      </w:r>
      <w:r w:rsidR="00372F0E" w:rsidRPr="00D713C2">
        <w:rPr>
          <w:sz w:val="24"/>
          <w:szCs w:val="24"/>
        </w:rPr>
        <w:fldChar w:fldCharType="begin"/>
      </w:r>
      <w:r w:rsidR="00372F0E" w:rsidRPr="00D713C2">
        <w:rPr>
          <w:sz w:val="24"/>
          <w:szCs w:val="24"/>
        </w:rPr>
        <w:instrText xml:space="preserve"> SEQ Anexo \* ARABIC </w:instrText>
      </w:r>
      <w:r w:rsidR="00372F0E" w:rsidRPr="00D713C2">
        <w:rPr>
          <w:sz w:val="24"/>
          <w:szCs w:val="24"/>
        </w:rPr>
        <w:fldChar w:fldCharType="separate"/>
      </w:r>
      <w:r w:rsidR="008D1B65">
        <w:rPr>
          <w:noProof/>
          <w:sz w:val="24"/>
          <w:szCs w:val="24"/>
        </w:rPr>
        <w:t>13</w:t>
      </w:r>
      <w:r w:rsidR="00372F0E" w:rsidRPr="00D713C2">
        <w:rPr>
          <w:noProof/>
          <w:sz w:val="24"/>
          <w:szCs w:val="24"/>
        </w:rPr>
        <w:fldChar w:fldCharType="end"/>
      </w:r>
      <w:r w:rsidR="00104A12" w:rsidRPr="00D713C2">
        <w:rPr>
          <w:sz w:val="24"/>
          <w:szCs w:val="24"/>
        </w:rPr>
        <w:t xml:space="preserve"> – Médias por países, 2º inquérito, Europa</w:t>
      </w:r>
      <w:bookmarkEnd w:id="232"/>
    </w:p>
    <w:p w:rsidR="00104A12" w:rsidRPr="004D55DA" w:rsidRDefault="00104A12" w:rsidP="007F7964">
      <w:pPr>
        <w:spacing w:line="360" w:lineRule="auto"/>
        <w:jc w:val="both"/>
      </w:pPr>
    </w:p>
    <w:tbl>
      <w:tblPr>
        <w:tblW w:w="5000" w:type="pct"/>
        <w:tblCellMar>
          <w:left w:w="70" w:type="dxa"/>
          <w:right w:w="70" w:type="dxa"/>
        </w:tblCellMar>
        <w:tblLook w:val="00A0" w:firstRow="1" w:lastRow="0" w:firstColumn="1" w:lastColumn="0" w:noHBand="0" w:noVBand="0"/>
      </w:tblPr>
      <w:tblGrid>
        <w:gridCol w:w="2337"/>
        <w:gridCol w:w="1022"/>
        <w:gridCol w:w="881"/>
        <w:gridCol w:w="818"/>
        <w:gridCol w:w="1010"/>
        <w:gridCol w:w="831"/>
        <w:gridCol w:w="857"/>
        <w:gridCol w:w="754"/>
        <w:gridCol w:w="702"/>
      </w:tblGrid>
      <w:tr w:rsidR="00CD29DA" w:rsidRPr="004D55DA" w:rsidTr="00CD29DA">
        <w:trPr>
          <w:trHeight w:val="300"/>
        </w:trPr>
        <w:tc>
          <w:tcPr>
            <w:tcW w:w="1269" w:type="pct"/>
            <w:tcBorders>
              <w:top w:val="single" w:sz="4" w:space="0" w:color="auto"/>
              <w:left w:val="nil"/>
              <w:bottom w:val="single" w:sz="4" w:space="0" w:color="000000"/>
              <w:right w:val="nil"/>
            </w:tcBorders>
            <w:vAlign w:val="center"/>
          </w:tcPr>
          <w:p w:rsidR="00CD29DA" w:rsidRPr="004D55DA" w:rsidRDefault="00CD29DA" w:rsidP="007F7964">
            <w:pPr>
              <w:rPr>
                <w:rFonts w:ascii="Cambria" w:hAnsi="Cambria" w:cs="Calibri"/>
                <w:color w:val="000000"/>
                <w:sz w:val="12"/>
                <w:szCs w:val="12"/>
              </w:rPr>
            </w:pPr>
          </w:p>
        </w:tc>
        <w:tc>
          <w:tcPr>
            <w:tcW w:w="555"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Denmark</w:t>
            </w:r>
          </w:p>
        </w:tc>
        <w:tc>
          <w:tcPr>
            <w:tcW w:w="47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Finland</w:t>
            </w:r>
          </w:p>
        </w:tc>
        <w:tc>
          <w:tcPr>
            <w:tcW w:w="444"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France</w:t>
            </w:r>
          </w:p>
        </w:tc>
        <w:tc>
          <w:tcPr>
            <w:tcW w:w="54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Germany</w:t>
            </w:r>
          </w:p>
        </w:tc>
        <w:tc>
          <w:tcPr>
            <w:tcW w:w="451"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Greece</w:t>
            </w:r>
          </w:p>
        </w:tc>
        <w:tc>
          <w:tcPr>
            <w:tcW w:w="465"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Iceland</w:t>
            </w:r>
          </w:p>
        </w:tc>
        <w:tc>
          <w:tcPr>
            <w:tcW w:w="409"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Irland</w:t>
            </w:r>
          </w:p>
        </w:tc>
        <w:tc>
          <w:tcPr>
            <w:tcW w:w="381"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Italy</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com “hinterland”</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4,91</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contentores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de transhipment</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Produtividade</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Eficiência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2,75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dono da carga</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armador</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agente e transitário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Contributo para a economia</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5,64</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centro portuário da Europa</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porto mais próximo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Mediterrâneo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1,82</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Proximidade da origem das cargas no “hinterland”</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GDP da região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2,91</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Acesso marítimo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ferroviárias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4,36</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3,63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rodoviárias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dos cais do porto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2,33</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Áreas logísticas junto ao porto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terminais de contentores no porto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2,36</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aberto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1,75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Especialização do porto em contentores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dos serviços de reboques e pilotagem</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Dinamismo da Autoridade e Comunidade Portuária</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Taxas portuárias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Profundidade do cais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3,63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Equipamento de cais e parque</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Frente de cais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2,33</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1,75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de cais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de cais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por metros de cais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4,64</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parque por metro de cais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Largura do terrapleno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Ddimensão dos navios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Ligações ferroviárias a terminais de 2ªlinha</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Agilidade face a alterações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Fiabilidade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Flexibilidade operacional e comercial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Imagem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Integração do terminal nas cadeias logísticas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136906" w:rsidP="007F7964">
            <w:pPr>
              <w:rPr>
                <w:rFonts w:ascii="Cambria" w:hAnsi="Cambria" w:cs="Arial"/>
                <w:sz w:val="12"/>
                <w:szCs w:val="14"/>
              </w:rPr>
            </w:pPr>
            <w:r>
              <w:rPr>
                <w:rFonts w:ascii="Cambria" w:hAnsi="Cambria" w:cs="Arial"/>
                <w:sz w:val="12"/>
                <w:szCs w:val="14"/>
              </w:rPr>
              <w:t>Layout</w:t>
            </w:r>
            <w:r w:rsidR="00CD29DA" w:rsidRPr="004D55DA">
              <w:rPr>
                <w:rFonts w:ascii="Cambria" w:hAnsi="Cambria" w:cs="Arial"/>
                <w:sz w:val="12"/>
                <w:szCs w:val="14"/>
              </w:rPr>
              <w:t xml:space="preserve">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4,73</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Organização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3,44</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3,64</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gerido por operador do Top10</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serviços marítimos SSS/feeder</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5,56</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linhas Top10</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4,64</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5,13</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geral dos serviços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5,11</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espera dos navios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4,36</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4,88</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Serviços logísticos de valor acrescentado</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5,22</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4,82</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Sistema de informações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Tipo de gestor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4,78</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operação dos navios</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4,27</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Orientação do terminal para o cliente</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4,45</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r>
      <w:tr w:rsidR="00CD29DA" w:rsidRPr="004D55DA" w:rsidTr="00CD29DA">
        <w:trPr>
          <w:trHeight w:val="156"/>
        </w:trPr>
        <w:tc>
          <w:tcPr>
            <w:tcW w:w="1269"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Tarifa de handling do terminal</w:t>
            </w:r>
          </w:p>
        </w:tc>
        <w:tc>
          <w:tcPr>
            <w:tcW w:w="55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3,89</w:t>
            </w:r>
          </w:p>
        </w:tc>
        <w:tc>
          <w:tcPr>
            <w:tcW w:w="47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4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4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5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6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1"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4,25</w:t>
            </w:r>
          </w:p>
        </w:tc>
      </w:tr>
      <w:tr w:rsidR="00CD29DA" w:rsidRPr="004D55DA" w:rsidTr="00CD29DA">
        <w:trPr>
          <w:trHeight w:val="156"/>
        </w:trPr>
        <w:tc>
          <w:tcPr>
            <w:tcW w:w="1269" w:type="pct"/>
            <w:tcBorders>
              <w:top w:val="nil"/>
              <w:left w:val="nil"/>
              <w:bottom w:val="single" w:sz="4" w:space="0" w:color="auto"/>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com gestão privada</w:t>
            </w:r>
          </w:p>
        </w:tc>
        <w:tc>
          <w:tcPr>
            <w:tcW w:w="555"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2,78</w:t>
            </w:r>
          </w:p>
        </w:tc>
        <w:tc>
          <w:tcPr>
            <w:tcW w:w="47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44"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4,09</w:t>
            </w:r>
          </w:p>
        </w:tc>
        <w:tc>
          <w:tcPr>
            <w:tcW w:w="54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51"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65"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09"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81"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3,13</w:t>
            </w:r>
          </w:p>
        </w:tc>
      </w:tr>
    </w:tbl>
    <w:p w:rsidR="00CD29DA" w:rsidRPr="004D55DA" w:rsidRDefault="00CD29DA" w:rsidP="007F7964">
      <w:pPr>
        <w:spacing w:line="360" w:lineRule="auto"/>
        <w:jc w:val="both"/>
      </w:pPr>
    </w:p>
    <w:p w:rsidR="00104A12" w:rsidRPr="004D55DA" w:rsidRDefault="00CD29DA" w:rsidP="007F7964">
      <w:pPr>
        <w:spacing w:line="360" w:lineRule="auto"/>
        <w:jc w:val="both"/>
      </w:pPr>
      <w:r w:rsidRPr="004D55DA">
        <w:br w:type="page"/>
      </w:r>
    </w:p>
    <w:p w:rsidR="00104A12" w:rsidRPr="004D55DA" w:rsidRDefault="00104A12" w:rsidP="007F7964">
      <w:pPr>
        <w:spacing w:line="360" w:lineRule="auto"/>
        <w:jc w:val="both"/>
      </w:pPr>
    </w:p>
    <w:tbl>
      <w:tblPr>
        <w:tblW w:w="5000" w:type="pct"/>
        <w:tblCellMar>
          <w:left w:w="70" w:type="dxa"/>
          <w:right w:w="70" w:type="dxa"/>
        </w:tblCellMar>
        <w:tblLook w:val="00A0" w:firstRow="1" w:lastRow="0" w:firstColumn="1" w:lastColumn="0" w:noHBand="0" w:noVBand="0"/>
      </w:tblPr>
      <w:tblGrid>
        <w:gridCol w:w="2239"/>
        <w:gridCol w:w="765"/>
        <w:gridCol w:w="1054"/>
        <w:gridCol w:w="719"/>
        <w:gridCol w:w="1139"/>
        <w:gridCol w:w="971"/>
        <w:gridCol w:w="912"/>
        <w:gridCol w:w="707"/>
        <w:gridCol w:w="706"/>
      </w:tblGrid>
      <w:tr w:rsidR="00CD29DA" w:rsidRPr="004D55DA" w:rsidTr="00CD29DA">
        <w:trPr>
          <w:trHeight w:val="300"/>
        </w:trPr>
        <w:tc>
          <w:tcPr>
            <w:tcW w:w="1216" w:type="pct"/>
            <w:tcBorders>
              <w:top w:val="single" w:sz="4" w:space="0" w:color="auto"/>
              <w:left w:val="nil"/>
              <w:bottom w:val="single" w:sz="4" w:space="0" w:color="000000"/>
              <w:right w:val="nil"/>
            </w:tcBorders>
            <w:vAlign w:val="center"/>
          </w:tcPr>
          <w:p w:rsidR="00CD29DA" w:rsidRPr="004D55DA" w:rsidRDefault="00CD29DA" w:rsidP="007F7964">
            <w:pPr>
              <w:jc w:val="right"/>
              <w:rPr>
                <w:rFonts w:ascii="Cambria" w:hAnsi="Cambria" w:cs="Calibri"/>
                <w:color w:val="000000"/>
                <w:sz w:val="12"/>
                <w:szCs w:val="12"/>
              </w:rPr>
            </w:pPr>
          </w:p>
        </w:tc>
        <w:tc>
          <w:tcPr>
            <w:tcW w:w="415"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Latvia</w:t>
            </w:r>
          </w:p>
        </w:tc>
        <w:tc>
          <w:tcPr>
            <w:tcW w:w="572"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Lithuania</w:t>
            </w:r>
          </w:p>
        </w:tc>
        <w:tc>
          <w:tcPr>
            <w:tcW w:w="390"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Malta</w:t>
            </w:r>
          </w:p>
        </w:tc>
        <w:tc>
          <w:tcPr>
            <w:tcW w:w="618"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Nederland</w:t>
            </w:r>
          </w:p>
        </w:tc>
        <w:tc>
          <w:tcPr>
            <w:tcW w:w="527"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Slovenia</w:t>
            </w:r>
          </w:p>
        </w:tc>
        <w:tc>
          <w:tcPr>
            <w:tcW w:w="495"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Sweden</w:t>
            </w:r>
          </w:p>
        </w:tc>
        <w:tc>
          <w:tcPr>
            <w:tcW w:w="384"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UK</w:t>
            </w:r>
          </w:p>
        </w:tc>
        <w:tc>
          <w:tcPr>
            <w:tcW w:w="384" w:type="pct"/>
            <w:tcBorders>
              <w:top w:val="single" w:sz="4" w:space="0" w:color="auto"/>
              <w:left w:val="nil"/>
              <w:bottom w:val="single" w:sz="4" w:space="0" w:color="auto"/>
              <w:right w:val="nil"/>
            </w:tcBorders>
            <w:shd w:val="clear" w:color="000000" w:fill="FFFFFF"/>
            <w:vAlign w:val="center"/>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Total</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com “hinterland”</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contentores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Movimento de contentores de transhipment</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3,72</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Produtividade</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5,17</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Eficiência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3,22</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dono da carga</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armador</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Satisfação do agente e transitário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4,98</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Contributo para a economia</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centro portuário da Europa</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porto mais próximo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2,96</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Mediterrâneo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2,87</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Proximidade da origem das cargas no “hinterland”</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GDP da região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3,74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Acesso marítimo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ferroviárias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4,48</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Acessibilidades rodoviárias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5,17</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dos cais do porto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2,25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3,13</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Áreas logísticas junto ao porto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terminais de contentores no porto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1,76</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Distância ao mar aberto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1,85</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Especialização do porto em contentores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5,43</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dos serviços de reboques e pilotagem</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5,61</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Dinamismo da Autoridade e Comunidade Portuária</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4,96</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Taxas portuárias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2,75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Profundidade do cais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Equipamento de cais e parque</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5,02</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Frente de cais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2,94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Comprimento de cais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2,46</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2,94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de cais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Número de pórticos por metros de cais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4,61</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Área do parque por metro de cais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4,67</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Largura do terrapleno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3,93</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Ddimensão dos navios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2,00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Ligações ferroviárias a terminais de 2ªlinha</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Agilidade face a alterações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5,24</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Fiabilidade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4,17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Flexibilidade operacional e comercial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5,15</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Imagem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4,91</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Integração do terminal nas cadeias logísticas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136906" w:rsidP="007F7964">
            <w:pPr>
              <w:rPr>
                <w:rFonts w:ascii="Cambria" w:hAnsi="Cambria" w:cs="Arial"/>
                <w:sz w:val="12"/>
                <w:szCs w:val="14"/>
              </w:rPr>
            </w:pPr>
            <w:r>
              <w:rPr>
                <w:rFonts w:ascii="Cambria" w:hAnsi="Cambria" w:cs="Arial"/>
                <w:sz w:val="12"/>
                <w:szCs w:val="14"/>
              </w:rPr>
              <w:t>Layout</w:t>
            </w:r>
            <w:r w:rsidR="00CD29DA" w:rsidRPr="004D55DA">
              <w:rPr>
                <w:rFonts w:ascii="Cambria" w:hAnsi="Cambria" w:cs="Arial"/>
                <w:sz w:val="12"/>
                <w:szCs w:val="14"/>
              </w:rPr>
              <w:t xml:space="preserve">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4,85</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Organização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3,65</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gerido por operador do Top10</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5,19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serviços marítimos SSS/feeder</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4,83</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Frequência de linhas Top10</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5,25</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5,09</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Qualidade geral dos serviços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espera dos navios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4,67</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4,72</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Serviços logísticos de valor acrescentado</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5,08</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4,93</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Sistema de informações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Tipo de gestor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1,00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4,31</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Tempo de operação dos navios</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7,00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4,42</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4,65</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Orientação do terminal para o cliente</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5,50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6,50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5,33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5,28</w:t>
            </w:r>
          </w:p>
        </w:tc>
      </w:tr>
      <w:tr w:rsidR="00CD29DA" w:rsidRPr="004D55DA" w:rsidTr="00CD29DA">
        <w:trPr>
          <w:trHeight w:val="156"/>
        </w:trPr>
        <w:tc>
          <w:tcPr>
            <w:tcW w:w="1216" w:type="pct"/>
            <w:tcBorders>
              <w:top w:val="nil"/>
              <w:left w:val="nil"/>
              <w:bottom w:val="nil"/>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Tarifa de handling do terminal</w:t>
            </w:r>
          </w:p>
        </w:tc>
        <w:tc>
          <w:tcPr>
            <w:tcW w:w="41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72"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90"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618"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527"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495"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5,00</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5,83</w:t>
            </w:r>
          </w:p>
        </w:tc>
        <w:tc>
          <w:tcPr>
            <w:tcW w:w="384" w:type="pct"/>
            <w:tcBorders>
              <w:top w:val="nil"/>
              <w:left w:val="nil"/>
              <w:bottom w:val="nil"/>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4,63</w:t>
            </w:r>
          </w:p>
        </w:tc>
      </w:tr>
      <w:tr w:rsidR="00CD29DA" w:rsidRPr="004D55DA" w:rsidTr="00CD29DA">
        <w:trPr>
          <w:trHeight w:val="156"/>
        </w:trPr>
        <w:tc>
          <w:tcPr>
            <w:tcW w:w="1216" w:type="pct"/>
            <w:tcBorders>
              <w:top w:val="nil"/>
              <w:left w:val="nil"/>
              <w:bottom w:val="single" w:sz="4" w:space="0" w:color="auto"/>
              <w:right w:val="nil"/>
            </w:tcBorders>
            <w:shd w:val="clear" w:color="000000" w:fill="FFFFFF"/>
            <w:vAlign w:val="bottom"/>
          </w:tcPr>
          <w:p w:rsidR="00CD29DA" w:rsidRPr="004D55DA" w:rsidRDefault="00CD29DA" w:rsidP="007F7964">
            <w:pPr>
              <w:rPr>
                <w:rFonts w:ascii="Cambria" w:hAnsi="Cambria" w:cs="Arial"/>
                <w:sz w:val="12"/>
                <w:szCs w:val="14"/>
              </w:rPr>
            </w:pPr>
            <w:r w:rsidRPr="004D55DA">
              <w:rPr>
                <w:rFonts w:ascii="Cambria" w:hAnsi="Cambria" w:cs="Arial"/>
                <w:sz w:val="12"/>
                <w:szCs w:val="14"/>
              </w:rPr>
              <w:t>Terminal com gestão privada</w:t>
            </w:r>
          </w:p>
        </w:tc>
        <w:tc>
          <w:tcPr>
            <w:tcW w:w="415"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72"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390"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618"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527"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3,00</w:t>
            </w:r>
          </w:p>
        </w:tc>
        <w:tc>
          <w:tcPr>
            <w:tcW w:w="495"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6,00</w:t>
            </w:r>
          </w:p>
        </w:tc>
        <w:tc>
          <w:tcPr>
            <w:tcW w:w="384"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3,25</w:t>
            </w:r>
          </w:p>
        </w:tc>
        <w:tc>
          <w:tcPr>
            <w:tcW w:w="384" w:type="pct"/>
            <w:tcBorders>
              <w:top w:val="nil"/>
              <w:left w:val="nil"/>
              <w:bottom w:val="single" w:sz="4" w:space="0" w:color="auto"/>
              <w:right w:val="nil"/>
            </w:tcBorders>
            <w:shd w:val="clear" w:color="000000" w:fill="FFFFFF"/>
            <w:noWrap/>
          </w:tcPr>
          <w:p w:rsidR="00CD29DA" w:rsidRPr="004D55DA" w:rsidRDefault="00CD29DA" w:rsidP="007F7964">
            <w:pPr>
              <w:jc w:val="right"/>
              <w:rPr>
                <w:rFonts w:ascii="Cambria" w:hAnsi="Cambria" w:cs="Calibri"/>
                <w:color w:val="000000"/>
                <w:sz w:val="12"/>
                <w:szCs w:val="12"/>
              </w:rPr>
            </w:pPr>
            <w:r w:rsidRPr="004D55DA">
              <w:rPr>
                <w:rFonts w:ascii="Cambria" w:hAnsi="Cambria" w:cs="Calibri"/>
                <w:color w:val="000000"/>
                <w:sz w:val="12"/>
                <w:szCs w:val="12"/>
              </w:rPr>
              <w:t>3,52</w:t>
            </w:r>
          </w:p>
        </w:tc>
      </w:tr>
    </w:tbl>
    <w:p w:rsidR="00104A12" w:rsidRPr="004D55DA" w:rsidRDefault="00104A12" w:rsidP="007F7964">
      <w:pPr>
        <w:spacing w:line="360" w:lineRule="auto"/>
        <w:jc w:val="both"/>
      </w:pPr>
    </w:p>
    <w:p w:rsidR="00104A12" w:rsidRPr="004D55DA" w:rsidRDefault="00104A12" w:rsidP="007F7964">
      <w:r w:rsidRPr="004D55DA">
        <w:br w:type="page"/>
      </w:r>
    </w:p>
    <w:p w:rsidR="00104A12" w:rsidRPr="00BF783B" w:rsidRDefault="00BF783B" w:rsidP="007F7964">
      <w:pPr>
        <w:pStyle w:val="Legenda"/>
      </w:pPr>
      <w:bookmarkStart w:id="233" w:name="_Toc395730323"/>
      <w:r w:rsidRPr="00BF783B">
        <w:lastRenderedPageBreak/>
        <w:t>Apêndice</w:t>
      </w:r>
      <w:r w:rsidR="00104A12" w:rsidRPr="00BF783B">
        <w:t xml:space="preserve"> </w:t>
      </w:r>
      <w:r w:rsidR="002D71B5" w:rsidRPr="004D55DA">
        <w:fldChar w:fldCharType="begin"/>
      </w:r>
      <w:r w:rsidR="002D71B5" w:rsidRPr="00BF783B">
        <w:instrText xml:space="preserve"> SEQ Anexo \* ARABIC </w:instrText>
      </w:r>
      <w:r w:rsidR="002D71B5" w:rsidRPr="004D55DA">
        <w:fldChar w:fldCharType="separate"/>
      </w:r>
      <w:r w:rsidR="008D1B65">
        <w:rPr>
          <w:noProof/>
        </w:rPr>
        <w:t>14</w:t>
      </w:r>
      <w:r w:rsidR="002D71B5" w:rsidRPr="004D55DA">
        <w:rPr>
          <w:noProof/>
        </w:rPr>
        <w:fldChar w:fldCharType="end"/>
      </w:r>
      <w:r w:rsidR="00104A12" w:rsidRPr="00BF783B">
        <w:t xml:space="preserve"> – Variância explicada, análise fact</w:t>
      </w:r>
      <w:r>
        <w:t>.PCA varimax, 2º</w:t>
      </w:r>
      <w:r w:rsidR="00104A12" w:rsidRPr="00BF783B">
        <w:t>inq</w:t>
      </w:r>
      <w:r w:rsidR="00EB43AA" w:rsidRPr="00BF783B">
        <w:t>.</w:t>
      </w:r>
      <w:r w:rsidR="00FC05CE" w:rsidRPr="00BF783B">
        <w:t>, Europa, var.</w:t>
      </w:r>
      <w:r w:rsidR="00104A12" w:rsidRPr="00BF783B">
        <w:t>end</w:t>
      </w:r>
      <w:r w:rsidR="00FC05CE" w:rsidRPr="00BF783B">
        <w:t>og.</w:t>
      </w:r>
      <w:bookmarkEnd w:id="233"/>
    </w:p>
    <w:p w:rsidR="00104A12" w:rsidRPr="00BF783B" w:rsidRDefault="00104A12" w:rsidP="007F7964"/>
    <w:tbl>
      <w:tblPr>
        <w:tblW w:w="8600" w:type="dxa"/>
        <w:tblInd w:w="55" w:type="dxa"/>
        <w:tblCellMar>
          <w:left w:w="70" w:type="dxa"/>
          <w:right w:w="70" w:type="dxa"/>
        </w:tblCellMar>
        <w:tblLook w:val="00A0" w:firstRow="1" w:lastRow="0" w:firstColumn="1" w:lastColumn="0" w:noHBand="0" w:noVBand="0"/>
      </w:tblPr>
      <w:tblGrid>
        <w:gridCol w:w="968"/>
        <w:gridCol w:w="860"/>
        <w:gridCol w:w="860"/>
        <w:gridCol w:w="941"/>
        <w:gridCol w:w="860"/>
        <w:gridCol w:w="860"/>
        <w:gridCol w:w="941"/>
        <w:gridCol w:w="860"/>
        <w:gridCol w:w="860"/>
        <w:gridCol w:w="941"/>
      </w:tblGrid>
      <w:tr w:rsidR="00104A12" w:rsidRPr="00537B64" w:rsidTr="005C64F9">
        <w:trPr>
          <w:trHeight w:val="570"/>
        </w:trPr>
        <w:tc>
          <w:tcPr>
            <w:tcW w:w="860" w:type="dxa"/>
            <w:tcBorders>
              <w:top w:val="single" w:sz="4" w:space="0" w:color="auto"/>
              <w:left w:val="nil"/>
              <w:bottom w:val="nil"/>
              <w:right w:val="nil"/>
            </w:tcBorders>
            <w:shd w:val="clear" w:color="000000" w:fill="FFFFFF"/>
          </w:tcPr>
          <w:p w:rsidR="00104A12" w:rsidRPr="004D55DA" w:rsidRDefault="00104A12" w:rsidP="007F7964">
            <w:pPr>
              <w:rPr>
                <w:rFonts w:ascii="Arial" w:hAnsi="Arial" w:cs="Arial"/>
                <w:color w:val="000000"/>
                <w:sz w:val="16"/>
                <w:szCs w:val="16"/>
                <w:lang w:val="en-US"/>
              </w:rPr>
            </w:pPr>
            <w:r w:rsidRPr="004D55DA">
              <w:rPr>
                <w:rFonts w:ascii="Arial" w:hAnsi="Arial" w:cs="Arial"/>
                <w:color w:val="000000"/>
                <w:sz w:val="16"/>
                <w:szCs w:val="16"/>
                <w:lang w:val="en-US"/>
              </w:rPr>
              <w:t>Component</w:t>
            </w:r>
          </w:p>
        </w:tc>
        <w:tc>
          <w:tcPr>
            <w:tcW w:w="2580"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Initial Eigenvalues</w:t>
            </w:r>
          </w:p>
        </w:tc>
        <w:tc>
          <w:tcPr>
            <w:tcW w:w="2580"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Extraction Sums of Squared Loadings</w:t>
            </w:r>
          </w:p>
        </w:tc>
        <w:tc>
          <w:tcPr>
            <w:tcW w:w="2580"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Rotation Sums of Squared Loadings</w:t>
            </w:r>
          </w:p>
        </w:tc>
      </w:tr>
      <w:tr w:rsidR="00104A12" w:rsidRPr="004D55DA" w:rsidTr="005C64F9">
        <w:trPr>
          <w:trHeight w:val="444"/>
        </w:trPr>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Total</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 of Variance</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lang w:val="en-US"/>
              </w:rPr>
              <w:t>Cum</w:t>
            </w:r>
            <w:r w:rsidRPr="004D55DA">
              <w:rPr>
                <w:rFonts w:ascii="Arial" w:hAnsi="Arial" w:cs="Arial"/>
                <w:color w:val="000000"/>
                <w:sz w:val="16"/>
                <w:szCs w:val="16"/>
              </w:rPr>
              <w:t>ulative %</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6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r>
      <w:tr w:rsidR="00104A12" w:rsidRPr="004D55DA" w:rsidTr="005C64F9">
        <w:trPr>
          <w:trHeight w:val="300"/>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1</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3,580</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39,773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39,773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3,580</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39,773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39,773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3,575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39,727</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39,727</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2</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1,983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22,038</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61,812</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1,983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22,038</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61,812</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1,988</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22,085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61,812</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3</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,991</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11,014</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72,826</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4</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,916</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10,180</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83,006</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,678</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7,535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90,542</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6</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,394</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4,381</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94,923</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7</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,234</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2,595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97,518</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288"/>
        </w:trPr>
        <w:tc>
          <w:tcPr>
            <w:tcW w:w="860"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8</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,125</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1,386</w:t>
            </w:r>
          </w:p>
        </w:tc>
        <w:tc>
          <w:tcPr>
            <w:tcW w:w="86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98,904</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nil"/>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r w:rsidR="00104A12" w:rsidRPr="004D55DA" w:rsidTr="005C64F9">
        <w:trPr>
          <w:trHeight w:val="300"/>
        </w:trPr>
        <w:tc>
          <w:tcPr>
            <w:tcW w:w="860"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9</w:t>
            </w:r>
          </w:p>
        </w:tc>
        <w:tc>
          <w:tcPr>
            <w:tcW w:w="8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,099</w:t>
            </w:r>
          </w:p>
        </w:tc>
        <w:tc>
          <w:tcPr>
            <w:tcW w:w="8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1,096</w:t>
            </w:r>
          </w:p>
        </w:tc>
        <w:tc>
          <w:tcPr>
            <w:tcW w:w="86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100,000</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c>
          <w:tcPr>
            <w:tcW w:w="860" w:type="dxa"/>
            <w:tcBorders>
              <w:top w:val="nil"/>
              <w:left w:val="nil"/>
              <w:bottom w:val="single" w:sz="4" w:space="0" w:color="auto"/>
              <w:right w:val="nil"/>
            </w:tcBorders>
            <w:shd w:val="clear" w:color="000000" w:fill="FFFFFF"/>
            <w:noWrap/>
            <w:vAlign w:val="center"/>
          </w:tcPr>
          <w:p w:rsidR="00104A12" w:rsidRPr="004D55DA" w:rsidRDefault="00104A12" w:rsidP="007F7964">
            <w:pPr>
              <w:jc w:val="center"/>
              <w:rPr>
                <w:rFonts w:ascii="Arial" w:hAnsi="Arial" w:cs="Arial"/>
                <w:sz w:val="16"/>
                <w:szCs w:val="16"/>
              </w:rPr>
            </w:pPr>
            <w:r w:rsidRPr="004D55DA">
              <w:rPr>
                <w:rFonts w:ascii="Arial" w:hAnsi="Arial" w:cs="Arial"/>
                <w:sz w:val="16"/>
                <w:szCs w:val="16"/>
              </w:rPr>
              <w:t> </w:t>
            </w:r>
          </w:p>
        </w:tc>
      </w:tr>
    </w:tbl>
    <w:p w:rsidR="00104A12" w:rsidRPr="004D55DA" w:rsidRDefault="00104A12" w:rsidP="007F7964"/>
    <w:p w:rsidR="00104A12" w:rsidRPr="004D55DA" w:rsidRDefault="00104A12" w:rsidP="007F7964"/>
    <w:p w:rsidR="00104A12" w:rsidRPr="004D55DA" w:rsidRDefault="00104A12" w:rsidP="007F7964">
      <w:r w:rsidRPr="004D55DA">
        <w:br w:type="page"/>
      </w:r>
    </w:p>
    <w:p w:rsidR="00104A12" w:rsidRPr="00BF783B" w:rsidRDefault="00BF783B" w:rsidP="007F7964">
      <w:pPr>
        <w:pStyle w:val="Legenda"/>
      </w:pPr>
      <w:bookmarkStart w:id="234" w:name="_Toc395730324"/>
      <w:r w:rsidRPr="00BF783B">
        <w:lastRenderedPageBreak/>
        <w:t>Apêndice</w:t>
      </w:r>
      <w:r w:rsidR="00104A12" w:rsidRPr="00BF783B">
        <w:t xml:space="preserve"> </w:t>
      </w:r>
      <w:r w:rsidR="002D71B5" w:rsidRPr="004D55DA">
        <w:fldChar w:fldCharType="begin"/>
      </w:r>
      <w:r w:rsidR="002D71B5" w:rsidRPr="00BF783B">
        <w:instrText xml:space="preserve"> SEQ Anexo \* ARABIC </w:instrText>
      </w:r>
      <w:r w:rsidR="002D71B5" w:rsidRPr="004D55DA">
        <w:fldChar w:fldCharType="separate"/>
      </w:r>
      <w:r w:rsidR="008D1B65">
        <w:rPr>
          <w:noProof/>
        </w:rPr>
        <w:t>15</w:t>
      </w:r>
      <w:r w:rsidR="002D71B5" w:rsidRPr="004D55DA">
        <w:rPr>
          <w:noProof/>
        </w:rPr>
        <w:fldChar w:fldCharType="end"/>
      </w:r>
      <w:r w:rsidR="00104A12" w:rsidRPr="00BF783B">
        <w:t xml:space="preserve"> - Variância explicada, análise fact</w:t>
      </w:r>
      <w:r w:rsidRPr="00BF783B">
        <w:t>.PCA varimax, 2º</w:t>
      </w:r>
      <w:r w:rsidR="00104A12" w:rsidRPr="00BF783B">
        <w:t>inq</w:t>
      </w:r>
      <w:r w:rsidR="00FC05CE" w:rsidRPr="00BF783B">
        <w:t>.</w:t>
      </w:r>
      <w:r w:rsidR="00104A12" w:rsidRPr="00BF783B">
        <w:t>, Europa, var</w:t>
      </w:r>
      <w:r w:rsidR="00FC05CE" w:rsidRPr="00BF783B">
        <w:t>.</w:t>
      </w:r>
      <w:r w:rsidR="00104A12" w:rsidRPr="00BF783B">
        <w:t>exóg</w:t>
      </w:r>
      <w:r w:rsidR="00FC05CE" w:rsidRPr="00BF783B">
        <w:t>.</w:t>
      </w:r>
      <w:bookmarkEnd w:id="234"/>
    </w:p>
    <w:p w:rsidR="00104A12" w:rsidRPr="00BF783B" w:rsidRDefault="00104A12" w:rsidP="007F7964"/>
    <w:tbl>
      <w:tblPr>
        <w:tblW w:w="8400" w:type="dxa"/>
        <w:tblInd w:w="55" w:type="dxa"/>
        <w:tblCellMar>
          <w:left w:w="70" w:type="dxa"/>
          <w:right w:w="70" w:type="dxa"/>
        </w:tblCellMar>
        <w:tblLook w:val="00A0" w:firstRow="1" w:lastRow="0" w:firstColumn="1" w:lastColumn="0" w:noHBand="0" w:noVBand="0"/>
      </w:tblPr>
      <w:tblGrid>
        <w:gridCol w:w="968"/>
        <w:gridCol w:w="630"/>
        <w:gridCol w:w="772"/>
        <w:gridCol w:w="941"/>
        <w:gridCol w:w="630"/>
        <w:gridCol w:w="772"/>
        <w:gridCol w:w="941"/>
        <w:gridCol w:w="580"/>
        <w:gridCol w:w="1593"/>
        <w:gridCol w:w="1075"/>
      </w:tblGrid>
      <w:tr w:rsidR="00104A12" w:rsidRPr="00537B64" w:rsidTr="005C64F9">
        <w:trPr>
          <w:trHeight w:val="585"/>
        </w:trPr>
        <w:tc>
          <w:tcPr>
            <w:tcW w:w="924" w:type="dxa"/>
            <w:tcBorders>
              <w:top w:val="single" w:sz="4" w:space="0" w:color="auto"/>
              <w:left w:val="nil"/>
              <w:bottom w:val="nil"/>
              <w:right w:val="nil"/>
            </w:tcBorders>
            <w:shd w:val="clear" w:color="000000" w:fill="FFFFFF"/>
          </w:tcPr>
          <w:p w:rsidR="00104A12" w:rsidRPr="00FC05CE" w:rsidRDefault="00104A12" w:rsidP="007F7964">
            <w:pPr>
              <w:rPr>
                <w:rFonts w:ascii="Arial" w:hAnsi="Arial" w:cs="Arial"/>
                <w:color w:val="000000"/>
                <w:sz w:val="16"/>
                <w:szCs w:val="16"/>
                <w:lang w:val="en-US"/>
              </w:rPr>
            </w:pPr>
            <w:r w:rsidRPr="00FC05CE">
              <w:rPr>
                <w:rFonts w:ascii="Arial" w:hAnsi="Arial" w:cs="Arial"/>
                <w:color w:val="000000"/>
                <w:sz w:val="16"/>
                <w:szCs w:val="16"/>
                <w:lang w:val="en-US"/>
              </w:rPr>
              <w:t>Component</w:t>
            </w:r>
          </w:p>
        </w:tc>
        <w:tc>
          <w:tcPr>
            <w:tcW w:w="2122" w:type="dxa"/>
            <w:gridSpan w:val="3"/>
            <w:tcBorders>
              <w:top w:val="single" w:sz="4" w:space="0" w:color="auto"/>
              <w:left w:val="nil"/>
              <w:bottom w:val="single" w:sz="4" w:space="0" w:color="auto"/>
              <w:right w:val="nil"/>
            </w:tcBorders>
            <w:shd w:val="clear" w:color="000000" w:fill="FFFFFF"/>
            <w:vAlign w:val="bottom"/>
          </w:tcPr>
          <w:p w:rsidR="00104A12" w:rsidRPr="00FC05CE" w:rsidRDefault="00104A12" w:rsidP="007F7964">
            <w:pPr>
              <w:jc w:val="center"/>
              <w:rPr>
                <w:rFonts w:ascii="Arial" w:hAnsi="Arial" w:cs="Arial"/>
                <w:color w:val="000000"/>
                <w:sz w:val="16"/>
                <w:szCs w:val="16"/>
                <w:lang w:val="en-US"/>
              </w:rPr>
            </w:pPr>
            <w:r w:rsidRPr="00FC05CE">
              <w:rPr>
                <w:rFonts w:ascii="Arial" w:hAnsi="Arial" w:cs="Arial"/>
                <w:color w:val="000000"/>
                <w:sz w:val="16"/>
                <w:szCs w:val="16"/>
                <w:lang w:val="en-US"/>
              </w:rPr>
              <w:t>Initial Eigenvalues</w:t>
            </w:r>
          </w:p>
        </w:tc>
        <w:tc>
          <w:tcPr>
            <w:tcW w:w="2106"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Extraction Sums of Squared Loadings</w:t>
            </w:r>
          </w:p>
        </w:tc>
        <w:tc>
          <w:tcPr>
            <w:tcW w:w="3248" w:type="dxa"/>
            <w:gridSpan w:val="3"/>
            <w:tcBorders>
              <w:top w:val="single" w:sz="4" w:space="0" w:color="auto"/>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lang w:val="en-US"/>
              </w:rPr>
            </w:pPr>
            <w:r w:rsidRPr="004D55DA">
              <w:rPr>
                <w:rFonts w:ascii="Arial" w:hAnsi="Arial" w:cs="Arial"/>
                <w:color w:val="000000"/>
                <w:sz w:val="16"/>
                <w:szCs w:val="16"/>
                <w:lang w:val="en-US"/>
              </w:rPr>
              <w:t>Rotation Sums of Squared Loadings</w:t>
            </w:r>
          </w:p>
        </w:tc>
      </w:tr>
      <w:tr w:rsidR="00104A12" w:rsidRPr="004D55DA" w:rsidTr="005C64F9">
        <w:trPr>
          <w:trHeight w:val="648"/>
        </w:trPr>
        <w:tc>
          <w:tcPr>
            <w:tcW w:w="924" w:type="dxa"/>
            <w:tcBorders>
              <w:top w:val="nil"/>
              <w:left w:val="nil"/>
              <w:bottom w:val="single" w:sz="4" w:space="0" w:color="auto"/>
              <w:right w:val="nil"/>
            </w:tcBorders>
            <w:shd w:val="clear" w:color="000000" w:fill="FFFFFF"/>
            <w:noWrap/>
            <w:vAlign w:val="center"/>
          </w:tcPr>
          <w:p w:rsidR="00104A12" w:rsidRPr="004D55DA" w:rsidRDefault="00104A12" w:rsidP="007F7964">
            <w:pPr>
              <w:rPr>
                <w:rFonts w:ascii="Arial" w:hAnsi="Arial" w:cs="Arial"/>
                <w:sz w:val="16"/>
                <w:szCs w:val="16"/>
                <w:lang w:val="en-US"/>
              </w:rPr>
            </w:pPr>
            <w:r w:rsidRPr="004D55DA">
              <w:rPr>
                <w:rFonts w:ascii="Arial" w:hAnsi="Arial" w:cs="Arial"/>
                <w:sz w:val="16"/>
                <w:szCs w:val="16"/>
                <w:lang w:val="en-US"/>
              </w:rPr>
              <w:t> </w:t>
            </w:r>
          </w:p>
        </w:tc>
        <w:tc>
          <w:tcPr>
            <w:tcW w:w="599" w:type="dxa"/>
            <w:tcBorders>
              <w:top w:val="nil"/>
              <w:left w:val="nil"/>
              <w:bottom w:val="single" w:sz="4" w:space="0" w:color="auto"/>
              <w:right w:val="nil"/>
            </w:tcBorders>
            <w:shd w:val="clear" w:color="000000" w:fill="FFFFFF"/>
            <w:vAlign w:val="bottom"/>
          </w:tcPr>
          <w:p w:rsidR="00104A12" w:rsidRPr="00FC05CE" w:rsidRDefault="00104A12" w:rsidP="007F7964">
            <w:pPr>
              <w:jc w:val="center"/>
              <w:rPr>
                <w:rFonts w:ascii="Arial" w:hAnsi="Arial" w:cs="Arial"/>
                <w:color w:val="000000"/>
                <w:sz w:val="16"/>
                <w:szCs w:val="16"/>
                <w:lang w:val="en-US"/>
              </w:rPr>
            </w:pPr>
            <w:r w:rsidRPr="00FC05CE">
              <w:rPr>
                <w:rFonts w:ascii="Arial" w:hAnsi="Arial" w:cs="Arial"/>
                <w:color w:val="000000"/>
                <w:sz w:val="16"/>
                <w:szCs w:val="16"/>
                <w:lang w:val="en-US"/>
              </w:rPr>
              <w:t>Total</w:t>
            </w:r>
          </w:p>
        </w:tc>
        <w:tc>
          <w:tcPr>
            <w:tcW w:w="692" w:type="dxa"/>
            <w:tcBorders>
              <w:top w:val="nil"/>
              <w:left w:val="nil"/>
              <w:bottom w:val="single" w:sz="4" w:space="0" w:color="auto"/>
              <w:right w:val="nil"/>
            </w:tcBorders>
            <w:shd w:val="clear" w:color="000000" w:fill="FFFFFF"/>
            <w:vAlign w:val="bottom"/>
          </w:tcPr>
          <w:p w:rsidR="00104A12" w:rsidRPr="00FC05CE" w:rsidRDefault="00104A12" w:rsidP="007F7964">
            <w:pPr>
              <w:jc w:val="center"/>
              <w:rPr>
                <w:rFonts w:ascii="Arial" w:hAnsi="Arial" w:cs="Arial"/>
                <w:color w:val="000000"/>
                <w:sz w:val="16"/>
                <w:szCs w:val="16"/>
                <w:lang w:val="en-US"/>
              </w:rPr>
            </w:pPr>
            <w:r w:rsidRPr="00FC05CE">
              <w:rPr>
                <w:rFonts w:ascii="Arial" w:hAnsi="Arial" w:cs="Arial"/>
                <w:color w:val="000000"/>
                <w:sz w:val="16"/>
                <w:szCs w:val="16"/>
                <w:lang w:val="en-US"/>
              </w:rPr>
              <w:t>% of Variance</w:t>
            </w:r>
          </w:p>
        </w:tc>
        <w:tc>
          <w:tcPr>
            <w:tcW w:w="83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FC05CE">
              <w:rPr>
                <w:rFonts w:ascii="Arial" w:hAnsi="Arial" w:cs="Arial"/>
                <w:color w:val="000000"/>
                <w:sz w:val="16"/>
                <w:szCs w:val="16"/>
                <w:lang w:val="en-US"/>
              </w:rPr>
              <w:t>Cum</w:t>
            </w:r>
            <w:r w:rsidRPr="004D55DA">
              <w:rPr>
                <w:rFonts w:ascii="Arial" w:hAnsi="Arial" w:cs="Arial"/>
                <w:color w:val="000000"/>
                <w:sz w:val="16"/>
                <w:szCs w:val="16"/>
              </w:rPr>
              <w:t>ulative %</w:t>
            </w:r>
          </w:p>
        </w:tc>
        <w:tc>
          <w:tcPr>
            <w:tcW w:w="599"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676"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831"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c>
          <w:tcPr>
            <w:tcW w:w="580"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Total</w:t>
            </w:r>
          </w:p>
        </w:tc>
        <w:tc>
          <w:tcPr>
            <w:tcW w:w="1593"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 of Variance</w:t>
            </w:r>
          </w:p>
        </w:tc>
        <w:tc>
          <w:tcPr>
            <w:tcW w:w="1075" w:type="dxa"/>
            <w:tcBorders>
              <w:top w:val="nil"/>
              <w:left w:val="nil"/>
              <w:bottom w:val="single" w:sz="4" w:space="0" w:color="auto"/>
              <w:right w:val="nil"/>
            </w:tcBorders>
            <w:shd w:val="clear" w:color="000000" w:fill="FFFFFF"/>
            <w:vAlign w:val="bottom"/>
          </w:tcPr>
          <w:p w:rsidR="00104A12" w:rsidRPr="004D55DA" w:rsidRDefault="00104A12" w:rsidP="007F7964">
            <w:pPr>
              <w:jc w:val="center"/>
              <w:rPr>
                <w:rFonts w:ascii="Arial" w:hAnsi="Arial" w:cs="Arial"/>
                <w:color w:val="000000"/>
                <w:sz w:val="16"/>
                <w:szCs w:val="16"/>
              </w:rPr>
            </w:pPr>
            <w:r w:rsidRPr="004D55DA">
              <w:rPr>
                <w:rFonts w:ascii="Arial" w:hAnsi="Arial" w:cs="Arial"/>
                <w:color w:val="000000"/>
                <w:sz w:val="16"/>
                <w:szCs w:val="16"/>
              </w:rPr>
              <w:t>Cumulative %</w:t>
            </w:r>
          </w:p>
        </w:tc>
      </w:tr>
      <w:tr w:rsidR="00104A12" w:rsidRPr="004D55DA" w:rsidTr="005C64F9">
        <w:trPr>
          <w:trHeight w:val="300"/>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1</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12,409</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35,454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35,454</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12,409</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35,454</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35,454</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9,274</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26,497</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26,497</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2</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4,241</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12,116</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47,570</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4,241</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12,116</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47,570</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3,586</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10,245</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36,742</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3</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2,557</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7,305</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54,876</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2,557</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7,305</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54,876</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3,559</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10,169</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46,910</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4</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2,358</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6,738</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61,613</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2,358</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6,738</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61,613</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2,778</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7,937</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54,847</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5</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1,900</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5,429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67,042</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1,900</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5,429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67,042</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2,622</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7,491</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62,339</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6</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1,761</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5,033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72,074</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1,761</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5,033</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72,074</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2,312</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6,607</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68,946</w:t>
            </w:r>
          </w:p>
        </w:tc>
      </w:tr>
      <w:tr w:rsidR="00104A12" w:rsidRPr="004D55DA" w:rsidTr="005C64F9">
        <w:trPr>
          <w:trHeight w:val="288"/>
        </w:trPr>
        <w:tc>
          <w:tcPr>
            <w:tcW w:w="924" w:type="dxa"/>
            <w:tcBorders>
              <w:top w:val="nil"/>
              <w:left w:val="nil"/>
              <w:bottom w:val="nil"/>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7</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1,505</w:t>
            </w:r>
          </w:p>
        </w:tc>
        <w:tc>
          <w:tcPr>
            <w:tcW w:w="692"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4,299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76,373</w:t>
            </w:r>
          </w:p>
        </w:tc>
        <w:tc>
          <w:tcPr>
            <w:tcW w:w="599"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1,505</w:t>
            </w:r>
          </w:p>
        </w:tc>
        <w:tc>
          <w:tcPr>
            <w:tcW w:w="676"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4,299</w:t>
            </w:r>
          </w:p>
        </w:tc>
        <w:tc>
          <w:tcPr>
            <w:tcW w:w="831"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76,373</w:t>
            </w:r>
          </w:p>
        </w:tc>
        <w:tc>
          <w:tcPr>
            <w:tcW w:w="580"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1,975</w:t>
            </w:r>
          </w:p>
        </w:tc>
        <w:tc>
          <w:tcPr>
            <w:tcW w:w="1593"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5,644</w:t>
            </w:r>
          </w:p>
        </w:tc>
        <w:tc>
          <w:tcPr>
            <w:tcW w:w="1075" w:type="dxa"/>
            <w:tcBorders>
              <w:top w:val="nil"/>
              <w:left w:val="nil"/>
              <w:bottom w:val="nil"/>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74,589</w:t>
            </w:r>
          </w:p>
        </w:tc>
      </w:tr>
      <w:tr w:rsidR="00104A12" w:rsidRPr="004D55DA" w:rsidTr="005C64F9">
        <w:trPr>
          <w:trHeight w:val="288"/>
        </w:trPr>
        <w:tc>
          <w:tcPr>
            <w:tcW w:w="924" w:type="dxa"/>
            <w:tcBorders>
              <w:top w:val="nil"/>
              <w:left w:val="nil"/>
              <w:bottom w:val="single" w:sz="4" w:space="0" w:color="auto"/>
              <w:right w:val="nil"/>
            </w:tcBorders>
            <w:shd w:val="clear" w:color="000000" w:fill="FFFFFF"/>
          </w:tcPr>
          <w:p w:rsidR="00104A12" w:rsidRPr="004D55DA" w:rsidRDefault="00104A12" w:rsidP="007F7964">
            <w:pPr>
              <w:rPr>
                <w:rFonts w:ascii="Arial" w:hAnsi="Arial" w:cs="Arial"/>
                <w:color w:val="000000"/>
                <w:sz w:val="16"/>
                <w:szCs w:val="16"/>
              </w:rPr>
            </w:pPr>
            <w:r w:rsidRPr="004D55DA">
              <w:rPr>
                <w:rFonts w:ascii="Arial" w:hAnsi="Arial" w:cs="Arial"/>
                <w:color w:val="000000"/>
                <w:sz w:val="16"/>
                <w:szCs w:val="16"/>
              </w:rPr>
              <w:t>8</w:t>
            </w:r>
          </w:p>
        </w:tc>
        <w:tc>
          <w:tcPr>
            <w:tcW w:w="59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1,227</w:t>
            </w:r>
          </w:p>
        </w:tc>
        <w:tc>
          <w:tcPr>
            <w:tcW w:w="692"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3,506</w:t>
            </w:r>
          </w:p>
        </w:tc>
        <w:tc>
          <w:tcPr>
            <w:tcW w:w="83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79,879</w:t>
            </w:r>
          </w:p>
        </w:tc>
        <w:tc>
          <w:tcPr>
            <w:tcW w:w="599"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1,227</w:t>
            </w:r>
          </w:p>
        </w:tc>
        <w:tc>
          <w:tcPr>
            <w:tcW w:w="676"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3,506</w:t>
            </w:r>
          </w:p>
        </w:tc>
        <w:tc>
          <w:tcPr>
            <w:tcW w:w="831"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79,879</w:t>
            </w:r>
          </w:p>
        </w:tc>
        <w:tc>
          <w:tcPr>
            <w:tcW w:w="580"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1,852</w:t>
            </w:r>
          </w:p>
        </w:tc>
        <w:tc>
          <w:tcPr>
            <w:tcW w:w="1593"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5,290</w:t>
            </w:r>
          </w:p>
        </w:tc>
        <w:tc>
          <w:tcPr>
            <w:tcW w:w="1075" w:type="dxa"/>
            <w:tcBorders>
              <w:top w:val="nil"/>
              <w:left w:val="nil"/>
              <w:bottom w:val="single" w:sz="4" w:space="0" w:color="auto"/>
              <w:right w:val="nil"/>
            </w:tcBorders>
            <w:shd w:val="clear" w:color="000000" w:fill="FFFFFF"/>
            <w:noWrap/>
          </w:tcPr>
          <w:p w:rsidR="00104A12" w:rsidRPr="004D55DA" w:rsidRDefault="00104A12" w:rsidP="007F7964">
            <w:pPr>
              <w:jc w:val="right"/>
              <w:rPr>
                <w:rFonts w:ascii="Arial" w:hAnsi="Arial" w:cs="Arial"/>
                <w:color w:val="000000"/>
                <w:sz w:val="16"/>
                <w:szCs w:val="16"/>
              </w:rPr>
            </w:pPr>
            <w:r w:rsidRPr="004D55DA">
              <w:rPr>
                <w:rFonts w:ascii="Arial" w:hAnsi="Arial" w:cs="Arial"/>
                <w:color w:val="000000"/>
                <w:sz w:val="16"/>
                <w:szCs w:val="16"/>
              </w:rPr>
              <w:t>79,879</w:t>
            </w:r>
          </w:p>
        </w:tc>
      </w:tr>
    </w:tbl>
    <w:p w:rsidR="00104A12" w:rsidRPr="004D55DA" w:rsidRDefault="00104A12" w:rsidP="007F7964">
      <w:pPr>
        <w:spacing w:line="360" w:lineRule="auto"/>
        <w:jc w:val="both"/>
      </w:pPr>
    </w:p>
    <w:p w:rsidR="00104A12" w:rsidRPr="004D55DA" w:rsidRDefault="00104A12" w:rsidP="007F7964">
      <w:pPr>
        <w:spacing w:line="360" w:lineRule="auto"/>
        <w:jc w:val="both"/>
      </w:pPr>
    </w:p>
    <w:p w:rsidR="00104A12" w:rsidRPr="004D55DA" w:rsidRDefault="00104A12" w:rsidP="007F7964">
      <w:r w:rsidRPr="004D55DA">
        <w:br w:type="page"/>
      </w:r>
    </w:p>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104A12" w:rsidRPr="004D55DA" w:rsidRDefault="00104A12" w:rsidP="007F7964"/>
    <w:p w:rsidR="005066E8" w:rsidRDefault="005066E8">
      <w:r>
        <w:br w:type="page"/>
      </w:r>
    </w:p>
    <w:p w:rsidR="005066E8" w:rsidRDefault="005066E8" w:rsidP="005066E8">
      <w:pPr>
        <w:jc w:val="right"/>
      </w:pPr>
      <w:r>
        <w:rPr>
          <w:noProof/>
        </w:rPr>
        <w:lastRenderedPageBreak/>
        <mc:AlternateContent>
          <mc:Choice Requires="wps">
            <w:drawing>
              <wp:anchor distT="0" distB="0" distL="114300" distR="114300" simplePos="0" relativeHeight="251683840" behindDoc="0" locked="0" layoutInCell="1" allowOverlap="1" wp14:anchorId="3A849471" wp14:editId="0B3F8327">
                <wp:simplePos x="0" y="0"/>
                <wp:positionH relativeFrom="column">
                  <wp:align>right</wp:align>
                </wp:positionH>
                <wp:positionV relativeFrom="topMargin">
                  <wp:posOffset>8630285</wp:posOffset>
                </wp:positionV>
                <wp:extent cx="6840220" cy="0"/>
                <wp:effectExtent l="8890" t="10795" r="8890" b="825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0220" cy="0"/>
                        </a:xfrm>
                        <a:prstGeom prst="straightConnector1">
                          <a:avLst/>
                        </a:prstGeom>
                        <a:noFill/>
                        <a:ln w="12700">
                          <a:solidFill>
                            <a:srgbClr val="99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487.4pt;margin-top:679.55pt;width:538.6pt;height:0;z-index:251683840;visibility:visible;mso-wrap-style:square;mso-width-percent:0;mso-height-percent:0;mso-wrap-distance-left:9pt;mso-wrap-distance-top:0;mso-wrap-distance-right:9pt;mso-wrap-distance-bottom:0;mso-position-horizontal:right;mso-position-horizontal-relative:text;mso-position-vertical:absolute;mso-position-vertical-relative:top-margin-area;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" strokecolor="#999" strokeweight="1pt">
                <w10:wrap anchory="margin"/>
              </v:shape>
            </w:pict>
          </mc:Fallback>
        </mc:AlternateContent>
      </w:r>
    </w:p>
    <w:p w:rsidR="00104A12" w:rsidRPr="004D55DA" w:rsidRDefault="005066E8" w:rsidP="005066E8">
      <w:r>
        <w:rPr>
          <w:noProof/>
        </w:rPr>
        <w:drawing>
          <wp:anchor distT="0" distB="0" distL="114300" distR="114300" simplePos="0" relativeHeight="251684864" behindDoc="1" locked="0" layoutInCell="1" allowOverlap="1" wp14:anchorId="1E972951" wp14:editId="2818BA1B">
            <wp:simplePos x="0" y="0"/>
            <wp:positionH relativeFrom="column">
              <wp:posOffset>2893695</wp:posOffset>
            </wp:positionH>
            <wp:positionV relativeFrom="paragraph">
              <wp:posOffset>6263005</wp:posOffset>
            </wp:positionV>
            <wp:extent cx="3026410" cy="1128395"/>
            <wp:effectExtent l="0" t="0" r="2540" b="0"/>
            <wp:wrapTight wrapText="bothSides">
              <wp:wrapPolygon edited="0">
                <wp:start x="0" y="0"/>
                <wp:lineTo x="0" y="21150"/>
                <wp:lineTo x="21482" y="21150"/>
                <wp:lineTo x="21482" y="0"/>
                <wp:lineTo x="0" y="0"/>
              </wp:wrapPolygon>
            </wp:wrapTight>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o_IIFA_PT.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26410" cy="11283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57A861B1" wp14:editId="71B8B2DE">
                <wp:simplePos x="0" y="0"/>
                <wp:positionH relativeFrom="column">
                  <wp:posOffset>-708660</wp:posOffset>
                </wp:positionH>
                <wp:positionV relativeFrom="paragraph">
                  <wp:posOffset>7658735</wp:posOffset>
                </wp:positionV>
                <wp:extent cx="6506210" cy="1630680"/>
                <wp:effectExtent l="0" t="0" r="8890" b="762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6210" cy="163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4221" w:rsidRPr="00F420A6" w:rsidRDefault="00BA4221" w:rsidP="005066E8">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BA4221" w:rsidRPr="00F420A6" w:rsidRDefault="00BA4221" w:rsidP="005066E8">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Fax: (+351) 266 744 677</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email: iifa@uevora.pt</w:t>
                            </w:r>
                          </w:p>
                        </w:txbxContent>
                      </wps:txbx>
                      <wps:bodyPr rot="0" vert="horz" wrap="square" lIns="9144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32" type="#_x0000_t202" style="position:absolute;margin-left:-55.8pt;margin-top:603.05pt;width:512.3pt;height:12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" stroked="f">
                <v:textbox inset=",,0">
                  <w:txbxContent>
                    <w:p w:rsidR="00BA4221" w:rsidRPr="00F420A6" w:rsidRDefault="00BA4221" w:rsidP="005066E8">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BA4221" w:rsidRPr="00F420A6" w:rsidRDefault="00BA4221" w:rsidP="005066E8">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Fax: (+351) 266 744 677</w:t>
                      </w:r>
                    </w:p>
                    <w:p w:rsidR="00BA4221" w:rsidRPr="00F420A6" w:rsidRDefault="00BA4221" w:rsidP="005066E8">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email: iifa@uevora.pt</w:t>
                      </w:r>
                    </w:p>
                  </w:txbxContent>
                </v:textbox>
              </v:shape>
            </w:pict>
          </mc:Fallback>
        </mc:AlternateContent>
      </w:r>
    </w:p>
    <w:sectPr w:rsidR="00104A12" w:rsidRPr="004D55DA" w:rsidSect="007F7964">
      <w:pgSz w:w="11906" w:h="16838" w:code="9"/>
      <w:pgMar w:top="1418" w:right="1133"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6916" w:rsidRDefault="00E56916" w:rsidP="00DA60F2">
      <w:r>
        <w:separator/>
      </w:r>
    </w:p>
  </w:endnote>
  <w:endnote w:type="continuationSeparator" w:id="0">
    <w:p w:rsidR="00E56916" w:rsidRDefault="00E56916" w:rsidP="00DA60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Sans Serif">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4221" w:rsidRPr="00466B3E" w:rsidRDefault="00BA4221" w:rsidP="005066E8">
    <w:pPr>
      <w:pStyle w:val="Rodap"/>
      <w:pBdr>
        <w:top w:val="single" w:sz="4" w:space="1" w:color="auto"/>
      </w:pBdr>
      <w:tabs>
        <w:tab w:val="clear" w:pos="4252"/>
      </w:tabs>
      <w:jc w:val="center"/>
      <w:rPr>
        <w:rFonts w:ascii="Cambria" w:hAnsi="Cambria"/>
        <w:sz w:val="28"/>
      </w:rPr>
    </w:pPr>
    <w:r>
      <w:rPr>
        <w:sz w:val="20"/>
      </w:rPr>
      <w:t>Influência</w:t>
    </w:r>
    <w:r w:rsidRPr="00466B3E">
      <w:rPr>
        <w:sz w:val="20"/>
      </w:rPr>
      <w:t xml:space="preserve"> das características do</w:t>
    </w:r>
    <w:r>
      <w:rPr>
        <w:sz w:val="20"/>
      </w:rPr>
      <w:t xml:space="preserve"> porto/</w:t>
    </w:r>
    <w:r w:rsidRPr="00466B3E">
      <w:rPr>
        <w:sz w:val="20"/>
      </w:rPr>
      <w:t>terminal de contentores no</w:t>
    </w:r>
    <w:r>
      <w:rPr>
        <w:sz w:val="20"/>
      </w:rPr>
      <w:t xml:space="preserve"> seu</w:t>
    </w:r>
    <w:r w:rsidRPr="00466B3E">
      <w:rPr>
        <w:sz w:val="20"/>
      </w:rPr>
      <w:t xml:space="preserve"> desempenho</w:t>
    </w:r>
  </w:p>
  <w:p w:rsidR="00BA4221" w:rsidRPr="00767978" w:rsidRDefault="00BA422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6916" w:rsidRDefault="00E56916" w:rsidP="00DA60F2">
      <w:r>
        <w:separator/>
      </w:r>
    </w:p>
  </w:footnote>
  <w:footnote w:type="continuationSeparator" w:id="0">
    <w:p w:rsidR="00E56916" w:rsidRDefault="00E56916" w:rsidP="00DA60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4221" w:rsidRDefault="00BA4221">
    <w:pPr>
      <w:pStyle w:val="Cabealho"/>
    </w:pPr>
    <w:r>
      <w:rPr>
        <w:noProof/>
      </w:rPr>
      <mc:AlternateContent>
        <mc:Choice Requires="wps">
          <w:drawing>
            <wp:anchor distT="0" distB="0" distL="114300" distR="114300" simplePos="0" relativeHeight="251658240" behindDoc="0" locked="0" layoutInCell="0" allowOverlap="1" wp14:anchorId="0BC5D7CB" wp14:editId="3FF445E9">
              <wp:simplePos x="0" y="0"/>
              <wp:positionH relativeFrom="margin">
                <wp:align>left</wp:align>
              </wp:positionH>
              <wp:positionV relativeFrom="page">
                <wp:posOffset>361950</wp:posOffset>
              </wp:positionV>
              <wp:extent cx="5400040" cy="175260"/>
              <wp:effectExtent l="0" t="0" r="0" b="15240"/>
              <wp:wrapNone/>
              <wp:docPr id="29" name="Caixa de Texto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221" w:rsidRPr="00C55F7C" w:rsidRDefault="00BA4221" w:rsidP="00466B3E">
                          <w:pPr>
                            <w:jc w:val="right"/>
                          </w:pPr>
                        </w:p>
                      </w:txbxContent>
                    </wps:txbx>
                    <wps:bodyPr rot="0" vert="horz" wrap="square" lIns="91440" tIns="0" rIns="9144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475" o:spid="_x0000_s1033" type="#_x0000_t202" style="position:absolute;margin-left:0;margin-top:28.5pt;width:425.2pt;height:1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" o:allowincell="f" filled="f" stroked="f">
              <v:textbox style="mso-fit-shape-to-text:t" inset=",0,,0">
                <w:txbxContent>
                  <w:p w:rsidR="00BA4221" w:rsidRPr="00C55F7C" w:rsidRDefault="00BA4221" w:rsidP="00466B3E">
                    <w:pPr>
                      <w:jc w:val="right"/>
                    </w:pPr>
                  </w:p>
                </w:txbxContent>
              </v:textbox>
              <w10:wrap anchorx="margin" anchory="page"/>
            </v:shape>
          </w:pict>
        </mc:Fallback>
      </mc:AlternateContent>
    </w:r>
    <w:r>
      <w:rPr>
        <w:noProof/>
      </w:rPr>
      <mc:AlternateContent>
        <mc:Choice Requires="wps">
          <w:drawing>
            <wp:anchor distT="0" distB="0" distL="114300" distR="114300" simplePos="0" relativeHeight="251657216" behindDoc="0" locked="0" layoutInCell="0" allowOverlap="1" wp14:anchorId="192ADA35" wp14:editId="1C01DF93">
              <wp:simplePos x="0" y="0"/>
              <wp:positionH relativeFrom="page">
                <wp:align>right</wp:align>
              </wp:positionH>
              <wp:positionV relativeFrom="page">
                <wp:posOffset>361950</wp:posOffset>
              </wp:positionV>
              <wp:extent cx="1080135" cy="175260"/>
              <wp:effectExtent l="0" t="0" r="5715" b="0"/>
              <wp:wrapNone/>
              <wp:docPr id="28" name="Caixa de Texto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5260"/>
                      </a:xfrm>
                      <a:prstGeom prst="rect">
                        <a:avLst/>
                      </a:prstGeom>
                      <a:solidFill>
                        <a:schemeClr val="accent2">
                          <a:lumMod val="75000"/>
                        </a:schemeClr>
                      </a:solidFill>
                      <a:ln>
                        <a:noFill/>
                      </a:ln>
                      <a:extLst/>
                    </wps:spPr>
                    <wps:txbx>
                      <w:txbxContent>
                        <w:p w:rsidR="00BA4221" w:rsidRPr="00A86464" w:rsidRDefault="00BA4221">
                          <w:pPr>
                            <w:rPr>
                              <w:color w:val="FFFFFF"/>
                            </w:rPr>
                          </w:pPr>
                          <w:r>
                            <w:fldChar w:fldCharType="begin"/>
                          </w:r>
                          <w:r>
                            <w:instrText>PAGE   \* MERGEFORMAT</w:instrText>
                          </w:r>
                          <w:r>
                            <w:fldChar w:fldCharType="separate"/>
                          </w:r>
                          <w:r w:rsidR="008D1B65" w:rsidRPr="008D1B65">
                            <w:rPr>
                              <w:noProof/>
                              <w:color w:val="FFFFFF"/>
                            </w:rPr>
                            <w:t>109</w:t>
                          </w:r>
                          <w:r>
                            <w:rPr>
                              <w:noProof/>
                              <w:color w:val="FFFFFF"/>
                            </w:rPr>
                            <w:fldChar w:fldCharType="end"/>
                          </w:r>
                        </w:p>
                      </w:txbxContent>
                    </wps:txbx>
                    <wps:bodyPr rot="0" vert="horz" wrap="square" lIns="91440" tIns="0" rIns="9144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476" o:spid="_x0000_s1034" type="#_x0000_t202" style="position:absolute;margin-left:33.85pt;margin-top:28.5pt;width:85.05pt;height:13.8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" o:allowincell="f" fillcolor="#943634 [2405]" stroked="f">
              <v:textbox style="mso-fit-shape-to-text:t" inset=",0,,0">
                <w:txbxContent>
                  <w:p w:rsidR="00BA4221" w:rsidRPr="00A86464" w:rsidRDefault="00BA4221">
                    <w:pPr>
                      <w:rPr>
                        <w:color w:val="FFFFFF"/>
                      </w:rPr>
                    </w:pPr>
                    <w:r>
                      <w:fldChar w:fldCharType="begin"/>
                    </w:r>
                    <w:r>
                      <w:instrText>PAGE   \* MERGEFORMAT</w:instrText>
                    </w:r>
                    <w:r>
                      <w:fldChar w:fldCharType="separate"/>
                    </w:r>
                    <w:r w:rsidR="008D1B65" w:rsidRPr="008D1B65">
                      <w:rPr>
                        <w:noProof/>
                        <w:color w:val="FFFFFF"/>
                      </w:rPr>
                      <w:t>109</w:t>
                    </w:r>
                    <w:r>
                      <w:rPr>
                        <w:noProof/>
                        <w:color w:val="FFFFFF"/>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4221" w:rsidRDefault="00BA4221">
    <w:pPr>
      <w:pStyle w:val="Cabealho"/>
    </w:pPr>
    <w:r w:rsidRPr="00840612">
      <w:rPr>
        <w:noProof/>
      </w:rPr>
      <mc:AlternateContent>
        <mc:Choice Requires="wps">
          <w:drawing>
            <wp:anchor distT="0" distB="0" distL="114300" distR="114300" simplePos="0" relativeHeight="251661312" behindDoc="0" locked="0" layoutInCell="0" allowOverlap="1" wp14:anchorId="0EEAC659" wp14:editId="5FC803CB">
              <wp:simplePos x="0" y="0"/>
              <wp:positionH relativeFrom="margin">
                <wp:posOffset>152400</wp:posOffset>
              </wp:positionH>
              <wp:positionV relativeFrom="page">
                <wp:posOffset>514350</wp:posOffset>
              </wp:positionV>
              <wp:extent cx="5400040" cy="175260"/>
              <wp:effectExtent l="0" t="0" r="0" b="15240"/>
              <wp:wrapNone/>
              <wp:docPr id="48" name="Caixa de Texto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4221" w:rsidRPr="00C55F7C" w:rsidRDefault="00BA4221" w:rsidP="00840612">
                          <w:pPr>
                            <w:jc w:val="right"/>
                          </w:pPr>
                        </w:p>
                      </w:txbxContent>
                    </wps:txbx>
                    <wps:bodyPr rot="0" vert="horz" wrap="square" lIns="91440" tIns="0" rIns="9144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12pt;margin-top:40.5pt;width:425.2pt;height:13.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" o:allowincell="f" filled="f" stroked="f">
              <v:textbox style="mso-fit-shape-to-text:t" inset=",0,,0">
                <w:txbxContent>
                  <w:p w:rsidR="00BA4221" w:rsidRPr="00C55F7C" w:rsidRDefault="00BA4221" w:rsidP="00840612">
                    <w:pPr>
                      <w:jc w:val="right"/>
                    </w:pPr>
                  </w:p>
                </w:txbxContent>
              </v:textbox>
              <w10:wrap anchorx="margin"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71742"/>
    <w:multiLevelType w:val="hybridMultilevel"/>
    <w:tmpl w:val="8B6C40C8"/>
    <w:lvl w:ilvl="0" w:tplc="0816000F">
      <w:start w:val="8"/>
      <w:numFmt w:val="decimal"/>
      <w:lvlText w:val="%1."/>
      <w:lvlJc w:val="left"/>
      <w:pPr>
        <w:ind w:left="360" w:hanging="360"/>
      </w:pPr>
      <w:rPr>
        <w:rFonts w:hint="default"/>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1">
    <w:nsid w:val="061B7C12"/>
    <w:multiLevelType w:val="hybridMultilevel"/>
    <w:tmpl w:val="1D907DE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0CDC77ED"/>
    <w:multiLevelType w:val="hybridMultilevel"/>
    <w:tmpl w:val="EF10ED5E"/>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3">
    <w:nsid w:val="0EA458E9"/>
    <w:multiLevelType w:val="hybridMultilevel"/>
    <w:tmpl w:val="6F8CC734"/>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4">
    <w:nsid w:val="127F4990"/>
    <w:multiLevelType w:val="hybridMultilevel"/>
    <w:tmpl w:val="AF1E836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nsid w:val="13AE3934"/>
    <w:multiLevelType w:val="hybridMultilevel"/>
    <w:tmpl w:val="F3D00B28"/>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6">
    <w:nsid w:val="170C53E5"/>
    <w:multiLevelType w:val="hybridMultilevel"/>
    <w:tmpl w:val="765E7B3C"/>
    <w:lvl w:ilvl="0" w:tplc="08160001">
      <w:start w:val="1"/>
      <w:numFmt w:val="bullet"/>
      <w:pStyle w:val="ImportWordListStyleDefinition0"/>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17346C0F"/>
    <w:multiLevelType w:val="hybridMultilevel"/>
    <w:tmpl w:val="8E54D332"/>
    <w:lvl w:ilvl="0" w:tplc="08160017">
      <w:start w:val="1"/>
      <w:numFmt w:val="lowerLetter"/>
      <w:pStyle w:val="ImportWordListStyleDefinition16"/>
      <w:lvlText w:val="%1)"/>
      <w:lvlJc w:val="left"/>
      <w:pPr>
        <w:ind w:left="720" w:hanging="360"/>
      </w:pPr>
      <w:rPr>
        <w:rFonts w:cs="Times New Roman" w:hint="default"/>
      </w:rPr>
    </w:lvl>
    <w:lvl w:ilvl="1" w:tplc="08160019">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8">
    <w:nsid w:val="191E45C4"/>
    <w:multiLevelType w:val="hybridMultilevel"/>
    <w:tmpl w:val="1CD8E6FA"/>
    <w:lvl w:ilvl="0" w:tplc="16867B1A">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9">
    <w:nsid w:val="26B06546"/>
    <w:multiLevelType w:val="hybridMultilevel"/>
    <w:tmpl w:val="6F8CC734"/>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10">
    <w:nsid w:val="2C5F723B"/>
    <w:multiLevelType w:val="hybridMultilevel"/>
    <w:tmpl w:val="B03466CC"/>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11">
    <w:nsid w:val="2D555EE9"/>
    <w:multiLevelType w:val="hybridMultilevel"/>
    <w:tmpl w:val="EF10ED5E"/>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12">
    <w:nsid w:val="2F52269D"/>
    <w:multiLevelType w:val="hybridMultilevel"/>
    <w:tmpl w:val="0E902D3A"/>
    <w:lvl w:ilvl="0" w:tplc="90B28480">
      <w:start w:val="1"/>
      <w:numFmt w:val="bullet"/>
      <w:lvlText w:val="•"/>
      <w:lvlJc w:val="left"/>
      <w:pPr>
        <w:tabs>
          <w:tab w:val="num" w:pos="720"/>
        </w:tabs>
        <w:ind w:left="720" w:hanging="360"/>
      </w:pPr>
      <w:rPr>
        <w:rFonts w:ascii="Arial" w:hAnsi="Arial" w:hint="default"/>
      </w:rPr>
    </w:lvl>
    <w:lvl w:ilvl="1" w:tplc="97285046" w:tentative="1">
      <w:start w:val="1"/>
      <w:numFmt w:val="bullet"/>
      <w:lvlText w:val="•"/>
      <w:lvlJc w:val="left"/>
      <w:pPr>
        <w:tabs>
          <w:tab w:val="num" w:pos="1440"/>
        </w:tabs>
        <w:ind w:left="1440" w:hanging="360"/>
      </w:pPr>
      <w:rPr>
        <w:rFonts w:ascii="Arial" w:hAnsi="Arial" w:hint="default"/>
      </w:rPr>
    </w:lvl>
    <w:lvl w:ilvl="2" w:tplc="FC3C1C1C" w:tentative="1">
      <w:start w:val="1"/>
      <w:numFmt w:val="bullet"/>
      <w:lvlText w:val="•"/>
      <w:lvlJc w:val="left"/>
      <w:pPr>
        <w:tabs>
          <w:tab w:val="num" w:pos="2160"/>
        </w:tabs>
        <w:ind w:left="2160" w:hanging="360"/>
      </w:pPr>
      <w:rPr>
        <w:rFonts w:ascii="Arial" w:hAnsi="Arial" w:hint="default"/>
      </w:rPr>
    </w:lvl>
    <w:lvl w:ilvl="3" w:tplc="C554B0FE" w:tentative="1">
      <w:start w:val="1"/>
      <w:numFmt w:val="bullet"/>
      <w:lvlText w:val="•"/>
      <w:lvlJc w:val="left"/>
      <w:pPr>
        <w:tabs>
          <w:tab w:val="num" w:pos="2880"/>
        </w:tabs>
        <w:ind w:left="2880" w:hanging="360"/>
      </w:pPr>
      <w:rPr>
        <w:rFonts w:ascii="Arial" w:hAnsi="Arial" w:hint="default"/>
      </w:rPr>
    </w:lvl>
    <w:lvl w:ilvl="4" w:tplc="93664BAA" w:tentative="1">
      <w:start w:val="1"/>
      <w:numFmt w:val="bullet"/>
      <w:lvlText w:val="•"/>
      <w:lvlJc w:val="left"/>
      <w:pPr>
        <w:tabs>
          <w:tab w:val="num" w:pos="3600"/>
        </w:tabs>
        <w:ind w:left="3600" w:hanging="360"/>
      </w:pPr>
      <w:rPr>
        <w:rFonts w:ascii="Arial" w:hAnsi="Arial" w:hint="default"/>
      </w:rPr>
    </w:lvl>
    <w:lvl w:ilvl="5" w:tplc="20F60076" w:tentative="1">
      <w:start w:val="1"/>
      <w:numFmt w:val="bullet"/>
      <w:lvlText w:val="•"/>
      <w:lvlJc w:val="left"/>
      <w:pPr>
        <w:tabs>
          <w:tab w:val="num" w:pos="4320"/>
        </w:tabs>
        <w:ind w:left="4320" w:hanging="360"/>
      </w:pPr>
      <w:rPr>
        <w:rFonts w:ascii="Arial" w:hAnsi="Arial" w:hint="default"/>
      </w:rPr>
    </w:lvl>
    <w:lvl w:ilvl="6" w:tplc="10EA68D6" w:tentative="1">
      <w:start w:val="1"/>
      <w:numFmt w:val="bullet"/>
      <w:lvlText w:val="•"/>
      <w:lvlJc w:val="left"/>
      <w:pPr>
        <w:tabs>
          <w:tab w:val="num" w:pos="5040"/>
        </w:tabs>
        <w:ind w:left="5040" w:hanging="360"/>
      </w:pPr>
      <w:rPr>
        <w:rFonts w:ascii="Arial" w:hAnsi="Arial" w:hint="default"/>
      </w:rPr>
    </w:lvl>
    <w:lvl w:ilvl="7" w:tplc="73A02A0A" w:tentative="1">
      <w:start w:val="1"/>
      <w:numFmt w:val="bullet"/>
      <w:lvlText w:val="•"/>
      <w:lvlJc w:val="left"/>
      <w:pPr>
        <w:tabs>
          <w:tab w:val="num" w:pos="5760"/>
        </w:tabs>
        <w:ind w:left="5760" w:hanging="360"/>
      </w:pPr>
      <w:rPr>
        <w:rFonts w:ascii="Arial" w:hAnsi="Arial" w:hint="default"/>
      </w:rPr>
    </w:lvl>
    <w:lvl w:ilvl="8" w:tplc="2D4C46DE" w:tentative="1">
      <w:start w:val="1"/>
      <w:numFmt w:val="bullet"/>
      <w:lvlText w:val="•"/>
      <w:lvlJc w:val="left"/>
      <w:pPr>
        <w:tabs>
          <w:tab w:val="num" w:pos="6480"/>
        </w:tabs>
        <w:ind w:left="6480" w:hanging="360"/>
      </w:pPr>
      <w:rPr>
        <w:rFonts w:ascii="Arial" w:hAnsi="Arial" w:hint="default"/>
      </w:rPr>
    </w:lvl>
  </w:abstractNum>
  <w:abstractNum w:abstractNumId="13">
    <w:nsid w:val="330A458E"/>
    <w:multiLevelType w:val="hybridMultilevel"/>
    <w:tmpl w:val="442A7546"/>
    <w:lvl w:ilvl="0" w:tplc="2BD010CA">
      <w:start w:val="6"/>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37B60625"/>
    <w:multiLevelType w:val="hybridMultilevel"/>
    <w:tmpl w:val="F414397A"/>
    <w:lvl w:ilvl="0" w:tplc="2BD010CA">
      <w:start w:val="6"/>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5">
    <w:nsid w:val="3C623491"/>
    <w:multiLevelType w:val="hybridMultilevel"/>
    <w:tmpl w:val="492C7DA2"/>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16">
    <w:nsid w:val="3C763C48"/>
    <w:multiLevelType w:val="hybridMultilevel"/>
    <w:tmpl w:val="B9267606"/>
    <w:lvl w:ilvl="0" w:tplc="0816000F">
      <w:start w:val="1"/>
      <w:numFmt w:val="decimal"/>
      <w:pStyle w:val="ImportWordListStyleDefinition15"/>
      <w:lvlText w:val="%1."/>
      <w:lvlJc w:val="left"/>
      <w:pPr>
        <w:ind w:left="720" w:hanging="360"/>
      </w:pPr>
      <w:rPr>
        <w:rFonts w:cs="Times New Roman"/>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17">
    <w:nsid w:val="3DDB35C7"/>
    <w:multiLevelType w:val="hybridMultilevel"/>
    <w:tmpl w:val="7FC66886"/>
    <w:lvl w:ilvl="0" w:tplc="33C0A50C">
      <w:start w:val="1"/>
      <w:numFmt w:val="bullet"/>
      <w:lvlText w:val="•"/>
      <w:lvlJc w:val="left"/>
      <w:pPr>
        <w:tabs>
          <w:tab w:val="num" w:pos="720"/>
        </w:tabs>
        <w:ind w:left="720" w:hanging="360"/>
      </w:pPr>
      <w:rPr>
        <w:rFonts w:ascii="Arial" w:hAnsi="Arial" w:hint="default"/>
      </w:rPr>
    </w:lvl>
    <w:lvl w:ilvl="1" w:tplc="5E5AF79C" w:tentative="1">
      <w:start w:val="1"/>
      <w:numFmt w:val="bullet"/>
      <w:lvlText w:val="•"/>
      <w:lvlJc w:val="left"/>
      <w:pPr>
        <w:tabs>
          <w:tab w:val="num" w:pos="1440"/>
        </w:tabs>
        <w:ind w:left="1440" w:hanging="360"/>
      </w:pPr>
      <w:rPr>
        <w:rFonts w:ascii="Arial" w:hAnsi="Arial" w:hint="default"/>
      </w:rPr>
    </w:lvl>
    <w:lvl w:ilvl="2" w:tplc="DFD2351A" w:tentative="1">
      <w:start w:val="1"/>
      <w:numFmt w:val="bullet"/>
      <w:lvlText w:val="•"/>
      <w:lvlJc w:val="left"/>
      <w:pPr>
        <w:tabs>
          <w:tab w:val="num" w:pos="2160"/>
        </w:tabs>
        <w:ind w:left="2160" w:hanging="360"/>
      </w:pPr>
      <w:rPr>
        <w:rFonts w:ascii="Arial" w:hAnsi="Arial" w:hint="default"/>
      </w:rPr>
    </w:lvl>
    <w:lvl w:ilvl="3" w:tplc="77A8D3B2" w:tentative="1">
      <w:start w:val="1"/>
      <w:numFmt w:val="bullet"/>
      <w:lvlText w:val="•"/>
      <w:lvlJc w:val="left"/>
      <w:pPr>
        <w:tabs>
          <w:tab w:val="num" w:pos="2880"/>
        </w:tabs>
        <w:ind w:left="2880" w:hanging="360"/>
      </w:pPr>
      <w:rPr>
        <w:rFonts w:ascii="Arial" w:hAnsi="Arial" w:hint="default"/>
      </w:rPr>
    </w:lvl>
    <w:lvl w:ilvl="4" w:tplc="D2F6A3D8" w:tentative="1">
      <w:start w:val="1"/>
      <w:numFmt w:val="bullet"/>
      <w:lvlText w:val="•"/>
      <w:lvlJc w:val="left"/>
      <w:pPr>
        <w:tabs>
          <w:tab w:val="num" w:pos="3600"/>
        </w:tabs>
        <w:ind w:left="3600" w:hanging="360"/>
      </w:pPr>
      <w:rPr>
        <w:rFonts w:ascii="Arial" w:hAnsi="Arial" w:hint="default"/>
      </w:rPr>
    </w:lvl>
    <w:lvl w:ilvl="5" w:tplc="FFB20FCE" w:tentative="1">
      <w:start w:val="1"/>
      <w:numFmt w:val="bullet"/>
      <w:lvlText w:val="•"/>
      <w:lvlJc w:val="left"/>
      <w:pPr>
        <w:tabs>
          <w:tab w:val="num" w:pos="4320"/>
        </w:tabs>
        <w:ind w:left="4320" w:hanging="360"/>
      </w:pPr>
      <w:rPr>
        <w:rFonts w:ascii="Arial" w:hAnsi="Arial" w:hint="default"/>
      </w:rPr>
    </w:lvl>
    <w:lvl w:ilvl="6" w:tplc="CE44A01C" w:tentative="1">
      <w:start w:val="1"/>
      <w:numFmt w:val="bullet"/>
      <w:lvlText w:val="•"/>
      <w:lvlJc w:val="left"/>
      <w:pPr>
        <w:tabs>
          <w:tab w:val="num" w:pos="5040"/>
        </w:tabs>
        <w:ind w:left="5040" w:hanging="360"/>
      </w:pPr>
      <w:rPr>
        <w:rFonts w:ascii="Arial" w:hAnsi="Arial" w:hint="default"/>
      </w:rPr>
    </w:lvl>
    <w:lvl w:ilvl="7" w:tplc="D29C4F2C" w:tentative="1">
      <w:start w:val="1"/>
      <w:numFmt w:val="bullet"/>
      <w:lvlText w:val="•"/>
      <w:lvlJc w:val="left"/>
      <w:pPr>
        <w:tabs>
          <w:tab w:val="num" w:pos="5760"/>
        </w:tabs>
        <w:ind w:left="5760" w:hanging="360"/>
      </w:pPr>
      <w:rPr>
        <w:rFonts w:ascii="Arial" w:hAnsi="Arial" w:hint="default"/>
      </w:rPr>
    </w:lvl>
    <w:lvl w:ilvl="8" w:tplc="D0666870" w:tentative="1">
      <w:start w:val="1"/>
      <w:numFmt w:val="bullet"/>
      <w:lvlText w:val="•"/>
      <w:lvlJc w:val="left"/>
      <w:pPr>
        <w:tabs>
          <w:tab w:val="num" w:pos="6480"/>
        </w:tabs>
        <w:ind w:left="6480" w:hanging="360"/>
      </w:pPr>
      <w:rPr>
        <w:rFonts w:ascii="Arial" w:hAnsi="Arial" w:hint="default"/>
      </w:rPr>
    </w:lvl>
  </w:abstractNum>
  <w:abstractNum w:abstractNumId="18">
    <w:nsid w:val="40B63D4F"/>
    <w:multiLevelType w:val="multilevel"/>
    <w:tmpl w:val="D78002EE"/>
    <w:lvl w:ilvl="0">
      <w:start w:val="1"/>
      <w:numFmt w:val="decimal"/>
      <w:lvlText w:val="%1"/>
      <w:lvlJc w:val="left"/>
      <w:pPr>
        <w:tabs>
          <w:tab w:val="num" w:pos="432"/>
        </w:tabs>
        <w:ind w:left="432" w:hanging="432"/>
      </w:pPr>
      <w:rPr>
        <w:rFonts w:cs="Times New Roman" w:hint="default"/>
      </w:rPr>
    </w:lvl>
    <w:lvl w:ilvl="1">
      <w:start w:val="1"/>
      <w:numFmt w:val="decimal"/>
      <w:pStyle w:val="Cabealho2"/>
      <w:lvlText w:val="%1.%2"/>
      <w:lvlJc w:val="left"/>
      <w:pPr>
        <w:tabs>
          <w:tab w:val="num" w:pos="576"/>
        </w:tabs>
        <w:ind w:left="576" w:hanging="576"/>
      </w:pPr>
      <w:rPr>
        <w:rFonts w:cs="Times New Roman" w:hint="default"/>
      </w:rPr>
    </w:lvl>
    <w:lvl w:ilvl="2">
      <w:start w:val="1"/>
      <w:numFmt w:val="decimal"/>
      <w:pStyle w:val="Cabealho3"/>
      <w:lvlText w:val="%1.%2.%3"/>
      <w:lvlJc w:val="left"/>
      <w:pPr>
        <w:tabs>
          <w:tab w:val="num" w:pos="720"/>
        </w:tabs>
        <w:ind w:left="720" w:hanging="720"/>
      </w:pPr>
      <w:rPr>
        <w:rFonts w:cs="Times New Roman" w:hint="default"/>
        <w:u w:val="none"/>
      </w:rPr>
    </w:lvl>
    <w:lvl w:ilvl="3">
      <w:start w:val="1"/>
      <w:numFmt w:val="decimal"/>
      <w:pStyle w:val="Cabealho4"/>
      <w:lvlText w:val="%1.%2.%3.%4"/>
      <w:lvlJc w:val="left"/>
      <w:pPr>
        <w:tabs>
          <w:tab w:val="num" w:pos="864"/>
        </w:tabs>
        <w:ind w:left="864" w:hanging="864"/>
      </w:pPr>
      <w:rPr>
        <w:rFonts w:cs="Times New Roman" w:hint="default"/>
      </w:rPr>
    </w:lvl>
    <w:lvl w:ilvl="4">
      <w:start w:val="1"/>
      <w:numFmt w:val="decimal"/>
      <w:pStyle w:val="Cabealho5"/>
      <w:lvlText w:val="%1.%2.%3.%4.%5"/>
      <w:lvlJc w:val="left"/>
      <w:pPr>
        <w:tabs>
          <w:tab w:val="num" w:pos="1008"/>
        </w:tabs>
        <w:ind w:left="1008" w:hanging="1008"/>
      </w:pPr>
      <w:rPr>
        <w:rFonts w:cs="Times New Roman" w:hint="default"/>
      </w:rPr>
    </w:lvl>
    <w:lvl w:ilvl="5">
      <w:start w:val="1"/>
      <w:numFmt w:val="decimal"/>
      <w:pStyle w:val="Cabealho6"/>
      <w:lvlText w:val="%1.%2.%3.%4.%5.%6"/>
      <w:lvlJc w:val="left"/>
      <w:pPr>
        <w:tabs>
          <w:tab w:val="num" w:pos="1152"/>
        </w:tabs>
        <w:ind w:left="1152" w:hanging="1152"/>
      </w:pPr>
      <w:rPr>
        <w:rFonts w:cs="Times New Roman" w:hint="default"/>
      </w:rPr>
    </w:lvl>
    <w:lvl w:ilvl="6">
      <w:start w:val="1"/>
      <w:numFmt w:val="decimal"/>
      <w:pStyle w:val="Cabealho7"/>
      <w:lvlText w:val="%1.%2.%3.%4.%5.%6.%7"/>
      <w:lvlJc w:val="left"/>
      <w:pPr>
        <w:tabs>
          <w:tab w:val="num" w:pos="1296"/>
        </w:tabs>
        <w:ind w:left="1296" w:hanging="1296"/>
      </w:pPr>
      <w:rPr>
        <w:rFonts w:cs="Times New Roman" w:hint="default"/>
      </w:rPr>
    </w:lvl>
    <w:lvl w:ilvl="7">
      <w:start w:val="1"/>
      <w:numFmt w:val="decimal"/>
      <w:pStyle w:val="Cabealho8"/>
      <w:lvlText w:val="%1.%2.%3.%4.%5.%6.%7.%8"/>
      <w:lvlJc w:val="left"/>
      <w:pPr>
        <w:tabs>
          <w:tab w:val="num" w:pos="1440"/>
        </w:tabs>
        <w:ind w:left="1440" w:hanging="1440"/>
      </w:pPr>
      <w:rPr>
        <w:rFonts w:cs="Times New Roman" w:hint="default"/>
      </w:rPr>
    </w:lvl>
    <w:lvl w:ilvl="8">
      <w:start w:val="1"/>
      <w:numFmt w:val="decimal"/>
      <w:pStyle w:val="Cabealho9"/>
      <w:lvlText w:val="%1.%2.%3.%4.%5.%6.%7.%8.%9"/>
      <w:lvlJc w:val="left"/>
      <w:pPr>
        <w:tabs>
          <w:tab w:val="num" w:pos="1584"/>
        </w:tabs>
        <w:ind w:left="1584" w:hanging="1584"/>
      </w:pPr>
      <w:rPr>
        <w:rFonts w:cs="Times New Roman" w:hint="default"/>
      </w:rPr>
    </w:lvl>
  </w:abstractNum>
  <w:abstractNum w:abstractNumId="19">
    <w:nsid w:val="41906CC5"/>
    <w:multiLevelType w:val="hybridMultilevel"/>
    <w:tmpl w:val="83D067D4"/>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0">
    <w:nsid w:val="4E0A09DE"/>
    <w:multiLevelType w:val="hybridMultilevel"/>
    <w:tmpl w:val="883005E6"/>
    <w:lvl w:ilvl="0" w:tplc="8D486418">
      <w:start w:val="1"/>
      <w:numFmt w:val="bullet"/>
      <w:lvlText w:val="•"/>
      <w:lvlJc w:val="left"/>
      <w:pPr>
        <w:tabs>
          <w:tab w:val="num" w:pos="720"/>
        </w:tabs>
        <w:ind w:left="720" w:hanging="360"/>
      </w:pPr>
      <w:rPr>
        <w:rFonts w:ascii="Arial" w:hAnsi="Arial" w:hint="default"/>
      </w:rPr>
    </w:lvl>
    <w:lvl w:ilvl="1" w:tplc="6C8A6632" w:tentative="1">
      <w:start w:val="1"/>
      <w:numFmt w:val="bullet"/>
      <w:lvlText w:val="•"/>
      <w:lvlJc w:val="left"/>
      <w:pPr>
        <w:tabs>
          <w:tab w:val="num" w:pos="1440"/>
        </w:tabs>
        <w:ind w:left="1440" w:hanging="360"/>
      </w:pPr>
      <w:rPr>
        <w:rFonts w:ascii="Arial" w:hAnsi="Arial" w:hint="default"/>
      </w:rPr>
    </w:lvl>
    <w:lvl w:ilvl="2" w:tplc="25C8C320" w:tentative="1">
      <w:start w:val="1"/>
      <w:numFmt w:val="bullet"/>
      <w:lvlText w:val="•"/>
      <w:lvlJc w:val="left"/>
      <w:pPr>
        <w:tabs>
          <w:tab w:val="num" w:pos="2160"/>
        </w:tabs>
        <w:ind w:left="2160" w:hanging="360"/>
      </w:pPr>
      <w:rPr>
        <w:rFonts w:ascii="Arial" w:hAnsi="Arial" w:hint="default"/>
      </w:rPr>
    </w:lvl>
    <w:lvl w:ilvl="3" w:tplc="529ECD56" w:tentative="1">
      <w:start w:val="1"/>
      <w:numFmt w:val="bullet"/>
      <w:lvlText w:val="•"/>
      <w:lvlJc w:val="left"/>
      <w:pPr>
        <w:tabs>
          <w:tab w:val="num" w:pos="2880"/>
        </w:tabs>
        <w:ind w:left="2880" w:hanging="360"/>
      </w:pPr>
      <w:rPr>
        <w:rFonts w:ascii="Arial" w:hAnsi="Arial" w:hint="default"/>
      </w:rPr>
    </w:lvl>
    <w:lvl w:ilvl="4" w:tplc="EBEC42C2" w:tentative="1">
      <w:start w:val="1"/>
      <w:numFmt w:val="bullet"/>
      <w:lvlText w:val="•"/>
      <w:lvlJc w:val="left"/>
      <w:pPr>
        <w:tabs>
          <w:tab w:val="num" w:pos="3600"/>
        </w:tabs>
        <w:ind w:left="3600" w:hanging="360"/>
      </w:pPr>
      <w:rPr>
        <w:rFonts w:ascii="Arial" w:hAnsi="Arial" w:hint="default"/>
      </w:rPr>
    </w:lvl>
    <w:lvl w:ilvl="5" w:tplc="6CF803F8" w:tentative="1">
      <w:start w:val="1"/>
      <w:numFmt w:val="bullet"/>
      <w:lvlText w:val="•"/>
      <w:lvlJc w:val="left"/>
      <w:pPr>
        <w:tabs>
          <w:tab w:val="num" w:pos="4320"/>
        </w:tabs>
        <w:ind w:left="4320" w:hanging="360"/>
      </w:pPr>
      <w:rPr>
        <w:rFonts w:ascii="Arial" w:hAnsi="Arial" w:hint="default"/>
      </w:rPr>
    </w:lvl>
    <w:lvl w:ilvl="6" w:tplc="9FAE7A1C" w:tentative="1">
      <w:start w:val="1"/>
      <w:numFmt w:val="bullet"/>
      <w:lvlText w:val="•"/>
      <w:lvlJc w:val="left"/>
      <w:pPr>
        <w:tabs>
          <w:tab w:val="num" w:pos="5040"/>
        </w:tabs>
        <w:ind w:left="5040" w:hanging="360"/>
      </w:pPr>
      <w:rPr>
        <w:rFonts w:ascii="Arial" w:hAnsi="Arial" w:hint="default"/>
      </w:rPr>
    </w:lvl>
    <w:lvl w:ilvl="7" w:tplc="1CDEB7C0" w:tentative="1">
      <w:start w:val="1"/>
      <w:numFmt w:val="bullet"/>
      <w:lvlText w:val="•"/>
      <w:lvlJc w:val="left"/>
      <w:pPr>
        <w:tabs>
          <w:tab w:val="num" w:pos="5760"/>
        </w:tabs>
        <w:ind w:left="5760" w:hanging="360"/>
      </w:pPr>
      <w:rPr>
        <w:rFonts w:ascii="Arial" w:hAnsi="Arial" w:hint="default"/>
      </w:rPr>
    </w:lvl>
    <w:lvl w:ilvl="8" w:tplc="B3CC2D44" w:tentative="1">
      <w:start w:val="1"/>
      <w:numFmt w:val="bullet"/>
      <w:lvlText w:val="•"/>
      <w:lvlJc w:val="left"/>
      <w:pPr>
        <w:tabs>
          <w:tab w:val="num" w:pos="6480"/>
        </w:tabs>
        <w:ind w:left="6480" w:hanging="360"/>
      </w:pPr>
      <w:rPr>
        <w:rFonts w:ascii="Arial" w:hAnsi="Arial" w:hint="default"/>
      </w:rPr>
    </w:lvl>
  </w:abstractNum>
  <w:abstractNum w:abstractNumId="21">
    <w:nsid w:val="52704EA0"/>
    <w:multiLevelType w:val="hybridMultilevel"/>
    <w:tmpl w:val="26502F52"/>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2">
    <w:nsid w:val="53786CD9"/>
    <w:multiLevelType w:val="hybridMultilevel"/>
    <w:tmpl w:val="FACAC498"/>
    <w:lvl w:ilvl="0" w:tplc="2BD010CA">
      <w:start w:val="6"/>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3">
    <w:nsid w:val="54AA39AE"/>
    <w:multiLevelType w:val="hybridMultilevel"/>
    <w:tmpl w:val="408A3D72"/>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4">
    <w:nsid w:val="59834949"/>
    <w:multiLevelType w:val="hybridMultilevel"/>
    <w:tmpl w:val="6FA23CCC"/>
    <w:lvl w:ilvl="0" w:tplc="CD8E42BC">
      <w:start w:val="2"/>
      <w:numFmt w:val="decimal"/>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5">
    <w:nsid w:val="5A3B490B"/>
    <w:multiLevelType w:val="hybridMultilevel"/>
    <w:tmpl w:val="C1DE061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6">
    <w:nsid w:val="60043906"/>
    <w:multiLevelType w:val="hybridMultilevel"/>
    <w:tmpl w:val="D3B66CDC"/>
    <w:lvl w:ilvl="0" w:tplc="2BD010CA">
      <w:start w:val="6"/>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7">
    <w:nsid w:val="62603B81"/>
    <w:multiLevelType w:val="hybridMultilevel"/>
    <w:tmpl w:val="1C62414C"/>
    <w:lvl w:ilvl="0" w:tplc="C360F66A">
      <w:start w:val="1"/>
      <w:numFmt w:val="decimal"/>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8">
    <w:nsid w:val="65036C87"/>
    <w:multiLevelType w:val="hybridMultilevel"/>
    <w:tmpl w:val="190678EA"/>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29">
    <w:nsid w:val="65647193"/>
    <w:multiLevelType w:val="hybridMultilevel"/>
    <w:tmpl w:val="1CD8E6FA"/>
    <w:lvl w:ilvl="0" w:tplc="16867B1A">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30">
    <w:nsid w:val="68764519"/>
    <w:multiLevelType w:val="hybridMultilevel"/>
    <w:tmpl w:val="7D9C44C6"/>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31">
    <w:nsid w:val="689026E9"/>
    <w:multiLevelType w:val="hybridMultilevel"/>
    <w:tmpl w:val="FEF225EA"/>
    <w:lvl w:ilvl="0" w:tplc="C8AE579A">
      <w:start w:val="1"/>
      <w:numFmt w:val="bullet"/>
      <w:lvlText w:val="•"/>
      <w:lvlJc w:val="left"/>
      <w:pPr>
        <w:tabs>
          <w:tab w:val="num" w:pos="720"/>
        </w:tabs>
        <w:ind w:left="720" w:hanging="360"/>
      </w:pPr>
      <w:rPr>
        <w:rFonts w:ascii="Arial" w:hAnsi="Arial" w:hint="default"/>
      </w:rPr>
    </w:lvl>
    <w:lvl w:ilvl="1" w:tplc="4314AC44" w:tentative="1">
      <w:start w:val="1"/>
      <w:numFmt w:val="bullet"/>
      <w:lvlText w:val="•"/>
      <w:lvlJc w:val="left"/>
      <w:pPr>
        <w:tabs>
          <w:tab w:val="num" w:pos="1440"/>
        </w:tabs>
        <w:ind w:left="1440" w:hanging="360"/>
      </w:pPr>
      <w:rPr>
        <w:rFonts w:ascii="Arial" w:hAnsi="Arial" w:hint="default"/>
      </w:rPr>
    </w:lvl>
    <w:lvl w:ilvl="2" w:tplc="47BA3EEE" w:tentative="1">
      <w:start w:val="1"/>
      <w:numFmt w:val="bullet"/>
      <w:lvlText w:val="•"/>
      <w:lvlJc w:val="left"/>
      <w:pPr>
        <w:tabs>
          <w:tab w:val="num" w:pos="2160"/>
        </w:tabs>
        <w:ind w:left="2160" w:hanging="360"/>
      </w:pPr>
      <w:rPr>
        <w:rFonts w:ascii="Arial" w:hAnsi="Arial" w:hint="default"/>
      </w:rPr>
    </w:lvl>
    <w:lvl w:ilvl="3" w:tplc="8042D5A0" w:tentative="1">
      <w:start w:val="1"/>
      <w:numFmt w:val="bullet"/>
      <w:lvlText w:val="•"/>
      <w:lvlJc w:val="left"/>
      <w:pPr>
        <w:tabs>
          <w:tab w:val="num" w:pos="2880"/>
        </w:tabs>
        <w:ind w:left="2880" w:hanging="360"/>
      </w:pPr>
      <w:rPr>
        <w:rFonts w:ascii="Arial" w:hAnsi="Arial" w:hint="default"/>
      </w:rPr>
    </w:lvl>
    <w:lvl w:ilvl="4" w:tplc="025CC588" w:tentative="1">
      <w:start w:val="1"/>
      <w:numFmt w:val="bullet"/>
      <w:lvlText w:val="•"/>
      <w:lvlJc w:val="left"/>
      <w:pPr>
        <w:tabs>
          <w:tab w:val="num" w:pos="3600"/>
        </w:tabs>
        <w:ind w:left="3600" w:hanging="360"/>
      </w:pPr>
      <w:rPr>
        <w:rFonts w:ascii="Arial" w:hAnsi="Arial" w:hint="default"/>
      </w:rPr>
    </w:lvl>
    <w:lvl w:ilvl="5" w:tplc="71C07136" w:tentative="1">
      <w:start w:val="1"/>
      <w:numFmt w:val="bullet"/>
      <w:lvlText w:val="•"/>
      <w:lvlJc w:val="left"/>
      <w:pPr>
        <w:tabs>
          <w:tab w:val="num" w:pos="4320"/>
        </w:tabs>
        <w:ind w:left="4320" w:hanging="360"/>
      </w:pPr>
      <w:rPr>
        <w:rFonts w:ascii="Arial" w:hAnsi="Arial" w:hint="default"/>
      </w:rPr>
    </w:lvl>
    <w:lvl w:ilvl="6" w:tplc="A5D09BC8" w:tentative="1">
      <w:start w:val="1"/>
      <w:numFmt w:val="bullet"/>
      <w:lvlText w:val="•"/>
      <w:lvlJc w:val="left"/>
      <w:pPr>
        <w:tabs>
          <w:tab w:val="num" w:pos="5040"/>
        </w:tabs>
        <w:ind w:left="5040" w:hanging="360"/>
      </w:pPr>
      <w:rPr>
        <w:rFonts w:ascii="Arial" w:hAnsi="Arial" w:hint="default"/>
      </w:rPr>
    </w:lvl>
    <w:lvl w:ilvl="7" w:tplc="B3880CD2" w:tentative="1">
      <w:start w:val="1"/>
      <w:numFmt w:val="bullet"/>
      <w:lvlText w:val="•"/>
      <w:lvlJc w:val="left"/>
      <w:pPr>
        <w:tabs>
          <w:tab w:val="num" w:pos="5760"/>
        </w:tabs>
        <w:ind w:left="5760" w:hanging="360"/>
      </w:pPr>
      <w:rPr>
        <w:rFonts w:ascii="Arial" w:hAnsi="Arial" w:hint="default"/>
      </w:rPr>
    </w:lvl>
    <w:lvl w:ilvl="8" w:tplc="4C06DB60" w:tentative="1">
      <w:start w:val="1"/>
      <w:numFmt w:val="bullet"/>
      <w:lvlText w:val="•"/>
      <w:lvlJc w:val="left"/>
      <w:pPr>
        <w:tabs>
          <w:tab w:val="num" w:pos="6480"/>
        </w:tabs>
        <w:ind w:left="6480" w:hanging="360"/>
      </w:pPr>
      <w:rPr>
        <w:rFonts w:ascii="Arial" w:hAnsi="Arial" w:hint="default"/>
      </w:rPr>
    </w:lvl>
  </w:abstractNum>
  <w:abstractNum w:abstractNumId="32">
    <w:nsid w:val="6BCD52E0"/>
    <w:multiLevelType w:val="hybridMultilevel"/>
    <w:tmpl w:val="4934B370"/>
    <w:lvl w:ilvl="0" w:tplc="46FCAD2E">
      <w:start w:val="1"/>
      <w:numFmt w:val="bullet"/>
      <w:lvlText w:val="•"/>
      <w:lvlJc w:val="left"/>
      <w:pPr>
        <w:tabs>
          <w:tab w:val="num" w:pos="720"/>
        </w:tabs>
        <w:ind w:left="720" w:hanging="360"/>
      </w:pPr>
      <w:rPr>
        <w:rFonts w:ascii="Arial" w:hAnsi="Arial" w:hint="default"/>
      </w:rPr>
    </w:lvl>
    <w:lvl w:ilvl="1" w:tplc="6FEAED8E" w:tentative="1">
      <w:start w:val="1"/>
      <w:numFmt w:val="bullet"/>
      <w:lvlText w:val="•"/>
      <w:lvlJc w:val="left"/>
      <w:pPr>
        <w:tabs>
          <w:tab w:val="num" w:pos="1440"/>
        </w:tabs>
        <w:ind w:left="1440" w:hanging="360"/>
      </w:pPr>
      <w:rPr>
        <w:rFonts w:ascii="Arial" w:hAnsi="Arial" w:hint="default"/>
      </w:rPr>
    </w:lvl>
    <w:lvl w:ilvl="2" w:tplc="E73CAA82" w:tentative="1">
      <w:start w:val="1"/>
      <w:numFmt w:val="bullet"/>
      <w:lvlText w:val="•"/>
      <w:lvlJc w:val="left"/>
      <w:pPr>
        <w:tabs>
          <w:tab w:val="num" w:pos="2160"/>
        </w:tabs>
        <w:ind w:left="2160" w:hanging="360"/>
      </w:pPr>
      <w:rPr>
        <w:rFonts w:ascii="Arial" w:hAnsi="Arial" w:hint="default"/>
      </w:rPr>
    </w:lvl>
    <w:lvl w:ilvl="3" w:tplc="BD087EDA" w:tentative="1">
      <w:start w:val="1"/>
      <w:numFmt w:val="bullet"/>
      <w:lvlText w:val="•"/>
      <w:lvlJc w:val="left"/>
      <w:pPr>
        <w:tabs>
          <w:tab w:val="num" w:pos="2880"/>
        </w:tabs>
        <w:ind w:left="2880" w:hanging="360"/>
      </w:pPr>
      <w:rPr>
        <w:rFonts w:ascii="Arial" w:hAnsi="Arial" w:hint="default"/>
      </w:rPr>
    </w:lvl>
    <w:lvl w:ilvl="4" w:tplc="D7346FDE" w:tentative="1">
      <w:start w:val="1"/>
      <w:numFmt w:val="bullet"/>
      <w:lvlText w:val="•"/>
      <w:lvlJc w:val="left"/>
      <w:pPr>
        <w:tabs>
          <w:tab w:val="num" w:pos="3600"/>
        </w:tabs>
        <w:ind w:left="3600" w:hanging="360"/>
      </w:pPr>
      <w:rPr>
        <w:rFonts w:ascii="Arial" w:hAnsi="Arial" w:hint="default"/>
      </w:rPr>
    </w:lvl>
    <w:lvl w:ilvl="5" w:tplc="27B8019E" w:tentative="1">
      <w:start w:val="1"/>
      <w:numFmt w:val="bullet"/>
      <w:lvlText w:val="•"/>
      <w:lvlJc w:val="left"/>
      <w:pPr>
        <w:tabs>
          <w:tab w:val="num" w:pos="4320"/>
        </w:tabs>
        <w:ind w:left="4320" w:hanging="360"/>
      </w:pPr>
      <w:rPr>
        <w:rFonts w:ascii="Arial" w:hAnsi="Arial" w:hint="default"/>
      </w:rPr>
    </w:lvl>
    <w:lvl w:ilvl="6" w:tplc="7982169C" w:tentative="1">
      <w:start w:val="1"/>
      <w:numFmt w:val="bullet"/>
      <w:lvlText w:val="•"/>
      <w:lvlJc w:val="left"/>
      <w:pPr>
        <w:tabs>
          <w:tab w:val="num" w:pos="5040"/>
        </w:tabs>
        <w:ind w:left="5040" w:hanging="360"/>
      </w:pPr>
      <w:rPr>
        <w:rFonts w:ascii="Arial" w:hAnsi="Arial" w:hint="default"/>
      </w:rPr>
    </w:lvl>
    <w:lvl w:ilvl="7" w:tplc="A7E239CC" w:tentative="1">
      <w:start w:val="1"/>
      <w:numFmt w:val="bullet"/>
      <w:lvlText w:val="•"/>
      <w:lvlJc w:val="left"/>
      <w:pPr>
        <w:tabs>
          <w:tab w:val="num" w:pos="5760"/>
        </w:tabs>
        <w:ind w:left="5760" w:hanging="360"/>
      </w:pPr>
      <w:rPr>
        <w:rFonts w:ascii="Arial" w:hAnsi="Arial" w:hint="default"/>
      </w:rPr>
    </w:lvl>
    <w:lvl w:ilvl="8" w:tplc="9F62F760" w:tentative="1">
      <w:start w:val="1"/>
      <w:numFmt w:val="bullet"/>
      <w:lvlText w:val="•"/>
      <w:lvlJc w:val="left"/>
      <w:pPr>
        <w:tabs>
          <w:tab w:val="num" w:pos="6480"/>
        </w:tabs>
        <w:ind w:left="6480" w:hanging="360"/>
      </w:pPr>
      <w:rPr>
        <w:rFonts w:ascii="Arial" w:hAnsi="Arial" w:hint="default"/>
      </w:rPr>
    </w:lvl>
  </w:abstractNum>
  <w:abstractNum w:abstractNumId="33">
    <w:nsid w:val="6C321042"/>
    <w:multiLevelType w:val="hybridMultilevel"/>
    <w:tmpl w:val="B6F0A24A"/>
    <w:lvl w:ilvl="0" w:tplc="8F5C4F0A">
      <w:start w:val="1"/>
      <w:numFmt w:val="bullet"/>
      <w:lvlText w:val="•"/>
      <w:lvlJc w:val="left"/>
      <w:pPr>
        <w:tabs>
          <w:tab w:val="num" w:pos="720"/>
        </w:tabs>
        <w:ind w:left="720" w:hanging="360"/>
      </w:pPr>
      <w:rPr>
        <w:rFonts w:ascii="Arial" w:hAnsi="Arial" w:hint="default"/>
      </w:rPr>
    </w:lvl>
    <w:lvl w:ilvl="1" w:tplc="B43CE8AA" w:tentative="1">
      <w:start w:val="1"/>
      <w:numFmt w:val="bullet"/>
      <w:lvlText w:val="•"/>
      <w:lvlJc w:val="left"/>
      <w:pPr>
        <w:tabs>
          <w:tab w:val="num" w:pos="1440"/>
        </w:tabs>
        <w:ind w:left="1440" w:hanging="360"/>
      </w:pPr>
      <w:rPr>
        <w:rFonts w:ascii="Arial" w:hAnsi="Arial" w:hint="default"/>
      </w:rPr>
    </w:lvl>
    <w:lvl w:ilvl="2" w:tplc="59D6F874" w:tentative="1">
      <w:start w:val="1"/>
      <w:numFmt w:val="bullet"/>
      <w:lvlText w:val="•"/>
      <w:lvlJc w:val="left"/>
      <w:pPr>
        <w:tabs>
          <w:tab w:val="num" w:pos="2160"/>
        </w:tabs>
        <w:ind w:left="2160" w:hanging="360"/>
      </w:pPr>
      <w:rPr>
        <w:rFonts w:ascii="Arial" w:hAnsi="Arial" w:hint="default"/>
      </w:rPr>
    </w:lvl>
    <w:lvl w:ilvl="3" w:tplc="04406406" w:tentative="1">
      <w:start w:val="1"/>
      <w:numFmt w:val="bullet"/>
      <w:lvlText w:val="•"/>
      <w:lvlJc w:val="left"/>
      <w:pPr>
        <w:tabs>
          <w:tab w:val="num" w:pos="2880"/>
        </w:tabs>
        <w:ind w:left="2880" w:hanging="360"/>
      </w:pPr>
      <w:rPr>
        <w:rFonts w:ascii="Arial" w:hAnsi="Arial" w:hint="default"/>
      </w:rPr>
    </w:lvl>
    <w:lvl w:ilvl="4" w:tplc="9CCA7F46" w:tentative="1">
      <w:start w:val="1"/>
      <w:numFmt w:val="bullet"/>
      <w:lvlText w:val="•"/>
      <w:lvlJc w:val="left"/>
      <w:pPr>
        <w:tabs>
          <w:tab w:val="num" w:pos="3600"/>
        </w:tabs>
        <w:ind w:left="3600" w:hanging="360"/>
      </w:pPr>
      <w:rPr>
        <w:rFonts w:ascii="Arial" w:hAnsi="Arial" w:hint="default"/>
      </w:rPr>
    </w:lvl>
    <w:lvl w:ilvl="5" w:tplc="185037C6" w:tentative="1">
      <w:start w:val="1"/>
      <w:numFmt w:val="bullet"/>
      <w:lvlText w:val="•"/>
      <w:lvlJc w:val="left"/>
      <w:pPr>
        <w:tabs>
          <w:tab w:val="num" w:pos="4320"/>
        </w:tabs>
        <w:ind w:left="4320" w:hanging="360"/>
      </w:pPr>
      <w:rPr>
        <w:rFonts w:ascii="Arial" w:hAnsi="Arial" w:hint="default"/>
      </w:rPr>
    </w:lvl>
    <w:lvl w:ilvl="6" w:tplc="2A6E11BA" w:tentative="1">
      <w:start w:val="1"/>
      <w:numFmt w:val="bullet"/>
      <w:lvlText w:val="•"/>
      <w:lvlJc w:val="left"/>
      <w:pPr>
        <w:tabs>
          <w:tab w:val="num" w:pos="5040"/>
        </w:tabs>
        <w:ind w:left="5040" w:hanging="360"/>
      </w:pPr>
      <w:rPr>
        <w:rFonts w:ascii="Arial" w:hAnsi="Arial" w:hint="default"/>
      </w:rPr>
    </w:lvl>
    <w:lvl w:ilvl="7" w:tplc="569C1C82" w:tentative="1">
      <w:start w:val="1"/>
      <w:numFmt w:val="bullet"/>
      <w:lvlText w:val="•"/>
      <w:lvlJc w:val="left"/>
      <w:pPr>
        <w:tabs>
          <w:tab w:val="num" w:pos="5760"/>
        </w:tabs>
        <w:ind w:left="5760" w:hanging="360"/>
      </w:pPr>
      <w:rPr>
        <w:rFonts w:ascii="Arial" w:hAnsi="Arial" w:hint="default"/>
      </w:rPr>
    </w:lvl>
    <w:lvl w:ilvl="8" w:tplc="17903F68" w:tentative="1">
      <w:start w:val="1"/>
      <w:numFmt w:val="bullet"/>
      <w:lvlText w:val="•"/>
      <w:lvlJc w:val="left"/>
      <w:pPr>
        <w:tabs>
          <w:tab w:val="num" w:pos="6480"/>
        </w:tabs>
        <w:ind w:left="6480" w:hanging="360"/>
      </w:pPr>
      <w:rPr>
        <w:rFonts w:ascii="Arial" w:hAnsi="Arial" w:hint="default"/>
      </w:rPr>
    </w:lvl>
  </w:abstractNum>
  <w:abstractNum w:abstractNumId="34">
    <w:nsid w:val="6E487F71"/>
    <w:multiLevelType w:val="hybridMultilevel"/>
    <w:tmpl w:val="F1DC4A6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5">
    <w:nsid w:val="7A2F394A"/>
    <w:multiLevelType w:val="hybridMultilevel"/>
    <w:tmpl w:val="2200CCDA"/>
    <w:lvl w:ilvl="0" w:tplc="4A368952">
      <w:start w:val="1"/>
      <w:numFmt w:val="bullet"/>
      <w:lvlText w:val="•"/>
      <w:lvlJc w:val="left"/>
      <w:pPr>
        <w:tabs>
          <w:tab w:val="num" w:pos="720"/>
        </w:tabs>
        <w:ind w:left="720" w:hanging="360"/>
      </w:pPr>
      <w:rPr>
        <w:rFonts w:ascii="Arial" w:hAnsi="Arial" w:hint="default"/>
      </w:rPr>
    </w:lvl>
    <w:lvl w:ilvl="1" w:tplc="8BB89126" w:tentative="1">
      <w:start w:val="1"/>
      <w:numFmt w:val="bullet"/>
      <w:lvlText w:val="•"/>
      <w:lvlJc w:val="left"/>
      <w:pPr>
        <w:tabs>
          <w:tab w:val="num" w:pos="1440"/>
        </w:tabs>
        <w:ind w:left="1440" w:hanging="360"/>
      </w:pPr>
      <w:rPr>
        <w:rFonts w:ascii="Arial" w:hAnsi="Arial" w:hint="default"/>
      </w:rPr>
    </w:lvl>
    <w:lvl w:ilvl="2" w:tplc="C25CD0EA" w:tentative="1">
      <w:start w:val="1"/>
      <w:numFmt w:val="bullet"/>
      <w:lvlText w:val="•"/>
      <w:lvlJc w:val="left"/>
      <w:pPr>
        <w:tabs>
          <w:tab w:val="num" w:pos="2160"/>
        </w:tabs>
        <w:ind w:left="2160" w:hanging="360"/>
      </w:pPr>
      <w:rPr>
        <w:rFonts w:ascii="Arial" w:hAnsi="Arial" w:hint="default"/>
      </w:rPr>
    </w:lvl>
    <w:lvl w:ilvl="3" w:tplc="28220ABE" w:tentative="1">
      <w:start w:val="1"/>
      <w:numFmt w:val="bullet"/>
      <w:lvlText w:val="•"/>
      <w:lvlJc w:val="left"/>
      <w:pPr>
        <w:tabs>
          <w:tab w:val="num" w:pos="2880"/>
        </w:tabs>
        <w:ind w:left="2880" w:hanging="360"/>
      </w:pPr>
      <w:rPr>
        <w:rFonts w:ascii="Arial" w:hAnsi="Arial" w:hint="default"/>
      </w:rPr>
    </w:lvl>
    <w:lvl w:ilvl="4" w:tplc="5BCC1D1A" w:tentative="1">
      <w:start w:val="1"/>
      <w:numFmt w:val="bullet"/>
      <w:lvlText w:val="•"/>
      <w:lvlJc w:val="left"/>
      <w:pPr>
        <w:tabs>
          <w:tab w:val="num" w:pos="3600"/>
        </w:tabs>
        <w:ind w:left="3600" w:hanging="360"/>
      </w:pPr>
      <w:rPr>
        <w:rFonts w:ascii="Arial" w:hAnsi="Arial" w:hint="default"/>
      </w:rPr>
    </w:lvl>
    <w:lvl w:ilvl="5" w:tplc="F77855AA" w:tentative="1">
      <w:start w:val="1"/>
      <w:numFmt w:val="bullet"/>
      <w:lvlText w:val="•"/>
      <w:lvlJc w:val="left"/>
      <w:pPr>
        <w:tabs>
          <w:tab w:val="num" w:pos="4320"/>
        </w:tabs>
        <w:ind w:left="4320" w:hanging="360"/>
      </w:pPr>
      <w:rPr>
        <w:rFonts w:ascii="Arial" w:hAnsi="Arial" w:hint="default"/>
      </w:rPr>
    </w:lvl>
    <w:lvl w:ilvl="6" w:tplc="E06C3688" w:tentative="1">
      <w:start w:val="1"/>
      <w:numFmt w:val="bullet"/>
      <w:lvlText w:val="•"/>
      <w:lvlJc w:val="left"/>
      <w:pPr>
        <w:tabs>
          <w:tab w:val="num" w:pos="5040"/>
        </w:tabs>
        <w:ind w:left="5040" w:hanging="360"/>
      </w:pPr>
      <w:rPr>
        <w:rFonts w:ascii="Arial" w:hAnsi="Arial" w:hint="default"/>
      </w:rPr>
    </w:lvl>
    <w:lvl w:ilvl="7" w:tplc="5E2E5DC2" w:tentative="1">
      <w:start w:val="1"/>
      <w:numFmt w:val="bullet"/>
      <w:lvlText w:val="•"/>
      <w:lvlJc w:val="left"/>
      <w:pPr>
        <w:tabs>
          <w:tab w:val="num" w:pos="5760"/>
        </w:tabs>
        <w:ind w:left="5760" w:hanging="360"/>
      </w:pPr>
      <w:rPr>
        <w:rFonts w:ascii="Arial" w:hAnsi="Arial" w:hint="default"/>
      </w:rPr>
    </w:lvl>
    <w:lvl w:ilvl="8" w:tplc="58ECF11C" w:tentative="1">
      <w:start w:val="1"/>
      <w:numFmt w:val="bullet"/>
      <w:lvlText w:val="•"/>
      <w:lvlJc w:val="left"/>
      <w:pPr>
        <w:tabs>
          <w:tab w:val="num" w:pos="6480"/>
        </w:tabs>
        <w:ind w:left="6480" w:hanging="360"/>
      </w:pPr>
      <w:rPr>
        <w:rFonts w:ascii="Arial" w:hAnsi="Arial" w:hint="default"/>
      </w:rPr>
    </w:lvl>
  </w:abstractNum>
  <w:abstractNum w:abstractNumId="36">
    <w:nsid w:val="7ECA5CB2"/>
    <w:multiLevelType w:val="hybridMultilevel"/>
    <w:tmpl w:val="BF246E84"/>
    <w:lvl w:ilvl="0" w:tplc="CE0EADC6">
      <w:start w:val="2"/>
      <w:numFmt w:val="decimal"/>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37">
    <w:nsid w:val="7F286810"/>
    <w:multiLevelType w:val="hybridMultilevel"/>
    <w:tmpl w:val="155851BA"/>
    <w:lvl w:ilvl="0" w:tplc="84228B56">
      <w:start w:val="1"/>
      <w:numFmt w:val="decimal"/>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num w:numId="1">
    <w:abstractNumId w:val="18"/>
  </w:num>
  <w:num w:numId="2">
    <w:abstractNumId w:val="7"/>
  </w:num>
  <w:num w:numId="3">
    <w:abstractNumId w:val="16"/>
  </w:num>
  <w:num w:numId="4">
    <w:abstractNumId w:val="6"/>
  </w:num>
  <w:num w:numId="5">
    <w:abstractNumId w:val="5"/>
  </w:num>
  <w:num w:numId="6">
    <w:abstractNumId w:val="28"/>
  </w:num>
  <w:num w:numId="7">
    <w:abstractNumId w:val="11"/>
  </w:num>
  <w:num w:numId="8">
    <w:abstractNumId w:val="2"/>
  </w:num>
  <w:num w:numId="9">
    <w:abstractNumId w:val="9"/>
  </w:num>
  <w:num w:numId="10">
    <w:abstractNumId w:val="27"/>
  </w:num>
  <w:num w:numId="11">
    <w:abstractNumId w:val="37"/>
  </w:num>
  <w:num w:numId="12">
    <w:abstractNumId w:val="36"/>
  </w:num>
  <w:num w:numId="13">
    <w:abstractNumId w:val="24"/>
  </w:num>
  <w:num w:numId="14">
    <w:abstractNumId w:val="18"/>
  </w:num>
  <w:num w:numId="15">
    <w:abstractNumId w:val="18"/>
  </w:num>
  <w:num w:numId="16">
    <w:abstractNumId w:val="17"/>
  </w:num>
  <w:num w:numId="17">
    <w:abstractNumId w:val="20"/>
  </w:num>
  <w:num w:numId="18">
    <w:abstractNumId w:val="12"/>
  </w:num>
  <w:num w:numId="19">
    <w:abstractNumId w:val="32"/>
  </w:num>
  <w:num w:numId="20">
    <w:abstractNumId w:val="35"/>
  </w:num>
  <w:num w:numId="21">
    <w:abstractNumId w:val="33"/>
  </w:num>
  <w:num w:numId="22">
    <w:abstractNumId w:val="31"/>
  </w:num>
  <w:num w:numId="23">
    <w:abstractNumId w:val="15"/>
  </w:num>
  <w:num w:numId="24">
    <w:abstractNumId w:val="23"/>
  </w:num>
  <w:num w:numId="25">
    <w:abstractNumId w:val="19"/>
  </w:num>
  <w:num w:numId="26">
    <w:abstractNumId w:val="21"/>
  </w:num>
  <w:num w:numId="27">
    <w:abstractNumId w:val="10"/>
  </w:num>
  <w:num w:numId="28">
    <w:abstractNumId w:val="8"/>
  </w:num>
  <w:num w:numId="29">
    <w:abstractNumId w:val="30"/>
  </w:num>
  <w:num w:numId="30">
    <w:abstractNumId w:val="3"/>
  </w:num>
  <w:num w:numId="31">
    <w:abstractNumId w:val="29"/>
  </w:num>
  <w:num w:numId="32">
    <w:abstractNumId w:val="0"/>
  </w:num>
  <w:num w:numId="33">
    <w:abstractNumId w:val="1"/>
  </w:num>
  <w:num w:numId="34">
    <w:abstractNumId w:val="25"/>
  </w:num>
  <w:num w:numId="35">
    <w:abstractNumId w:val="4"/>
  </w:num>
  <w:num w:numId="36">
    <w:abstractNumId w:val="34"/>
  </w:num>
  <w:num w:numId="37">
    <w:abstractNumId w:val="13"/>
  </w:num>
  <w:num w:numId="38">
    <w:abstractNumId w:val="22"/>
  </w:num>
  <w:num w:numId="39">
    <w:abstractNumId w:val="26"/>
  </w:num>
  <w:num w:numId="40">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9A4"/>
    <w:rsid w:val="000004F7"/>
    <w:rsid w:val="00001358"/>
    <w:rsid w:val="00001A20"/>
    <w:rsid w:val="00001C7C"/>
    <w:rsid w:val="00001F8C"/>
    <w:rsid w:val="000026EE"/>
    <w:rsid w:val="00005C2E"/>
    <w:rsid w:val="00005F46"/>
    <w:rsid w:val="000065B6"/>
    <w:rsid w:val="00010D36"/>
    <w:rsid w:val="00011A80"/>
    <w:rsid w:val="00011D4A"/>
    <w:rsid w:val="00011D62"/>
    <w:rsid w:val="000121A9"/>
    <w:rsid w:val="00012BE7"/>
    <w:rsid w:val="00012E3D"/>
    <w:rsid w:val="00013C41"/>
    <w:rsid w:val="00014C82"/>
    <w:rsid w:val="00014F67"/>
    <w:rsid w:val="00015396"/>
    <w:rsid w:val="000153D1"/>
    <w:rsid w:val="000157D3"/>
    <w:rsid w:val="00015B59"/>
    <w:rsid w:val="00015B88"/>
    <w:rsid w:val="00016970"/>
    <w:rsid w:val="00016C48"/>
    <w:rsid w:val="00017752"/>
    <w:rsid w:val="000205B5"/>
    <w:rsid w:val="0002091D"/>
    <w:rsid w:val="00020B3D"/>
    <w:rsid w:val="000216B1"/>
    <w:rsid w:val="00021DBF"/>
    <w:rsid w:val="0002240D"/>
    <w:rsid w:val="000224E3"/>
    <w:rsid w:val="000232F4"/>
    <w:rsid w:val="0002368C"/>
    <w:rsid w:val="00023D7D"/>
    <w:rsid w:val="00024652"/>
    <w:rsid w:val="00024A96"/>
    <w:rsid w:val="00024C42"/>
    <w:rsid w:val="000254ED"/>
    <w:rsid w:val="00025513"/>
    <w:rsid w:val="0002571D"/>
    <w:rsid w:val="0002645F"/>
    <w:rsid w:val="000266A9"/>
    <w:rsid w:val="00027183"/>
    <w:rsid w:val="0002792F"/>
    <w:rsid w:val="00027F27"/>
    <w:rsid w:val="0003034E"/>
    <w:rsid w:val="000308F8"/>
    <w:rsid w:val="00030B78"/>
    <w:rsid w:val="00030BFF"/>
    <w:rsid w:val="00030FC7"/>
    <w:rsid w:val="00030FD8"/>
    <w:rsid w:val="00031117"/>
    <w:rsid w:val="00031417"/>
    <w:rsid w:val="00031543"/>
    <w:rsid w:val="000326DE"/>
    <w:rsid w:val="000327E9"/>
    <w:rsid w:val="0003364E"/>
    <w:rsid w:val="000344F3"/>
    <w:rsid w:val="000349EC"/>
    <w:rsid w:val="000358DD"/>
    <w:rsid w:val="00035E81"/>
    <w:rsid w:val="00036CA4"/>
    <w:rsid w:val="000373C7"/>
    <w:rsid w:val="00037934"/>
    <w:rsid w:val="00037CE2"/>
    <w:rsid w:val="00037D20"/>
    <w:rsid w:val="00037D70"/>
    <w:rsid w:val="000403B4"/>
    <w:rsid w:val="00040896"/>
    <w:rsid w:val="00040B70"/>
    <w:rsid w:val="00040BE6"/>
    <w:rsid w:val="00040CB6"/>
    <w:rsid w:val="00040F73"/>
    <w:rsid w:val="000415C2"/>
    <w:rsid w:val="00042093"/>
    <w:rsid w:val="000428F9"/>
    <w:rsid w:val="00042AD1"/>
    <w:rsid w:val="00042BC7"/>
    <w:rsid w:val="00042F9E"/>
    <w:rsid w:val="000431B9"/>
    <w:rsid w:val="00043674"/>
    <w:rsid w:val="0004373D"/>
    <w:rsid w:val="00043B8E"/>
    <w:rsid w:val="00043D2E"/>
    <w:rsid w:val="0004458D"/>
    <w:rsid w:val="000445A1"/>
    <w:rsid w:val="00044777"/>
    <w:rsid w:val="000448E3"/>
    <w:rsid w:val="00044B71"/>
    <w:rsid w:val="00045516"/>
    <w:rsid w:val="00045CCD"/>
    <w:rsid w:val="0004624A"/>
    <w:rsid w:val="00046DA8"/>
    <w:rsid w:val="00047477"/>
    <w:rsid w:val="00047C15"/>
    <w:rsid w:val="000516AC"/>
    <w:rsid w:val="00051B2D"/>
    <w:rsid w:val="000524B1"/>
    <w:rsid w:val="000550DF"/>
    <w:rsid w:val="00055362"/>
    <w:rsid w:val="0005635B"/>
    <w:rsid w:val="000567EF"/>
    <w:rsid w:val="00056EAD"/>
    <w:rsid w:val="000572AA"/>
    <w:rsid w:val="000574BE"/>
    <w:rsid w:val="00057503"/>
    <w:rsid w:val="0005793F"/>
    <w:rsid w:val="00060281"/>
    <w:rsid w:val="00060EAC"/>
    <w:rsid w:val="00061052"/>
    <w:rsid w:val="0006169A"/>
    <w:rsid w:val="00061EB8"/>
    <w:rsid w:val="000620E8"/>
    <w:rsid w:val="00062F19"/>
    <w:rsid w:val="000631F2"/>
    <w:rsid w:val="0006360A"/>
    <w:rsid w:val="00063978"/>
    <w:rsid w:val="00063B73"/>
    <w:rsid w:val="00063EE2"/>
    <w:rsid w:val="00064283"/>
    <w:rsid w:val="00064DF3"/>
    <w:rsid w:val="000654E9"/>
    <w:rsid w:val="00066780"/>
    <w:rsid w:val="00066EDF"/>
    <w:rsid w:val="000670D9"/>
    <w:rsid w:val="00067236"/>
    <w:rsid w:val="000700D0"/>
    <w:rsid w:val="0007094F"/>
    <w:rsid w:val="000719C4"/>
    <w:rsid w:val="000729AF"/>
    <w:rsid w:val="000729B7"/>
    <w:rsid w:val="00073315"/>
    <w:rsid w:val="000737A3"/>
    <w:rsid w:val="0007394C"/>
    <w:rsid w:val="00073CA6"/>
    <w:rsid w:val="000742F3"/>
    <w:rsid w:val="0007465E"/>
    <w:rsid w:val="00074A4D"/>
    <w:rsid w:val="00074CA3"/>
    <w:rsid w:val="000759FA"/>
    <w:rsid w:val="0007640A"/>
    <w:rsid w:val="000765BC"/>
    <w:rsid w:val="00076ACB"/>
    <w:rsid w:val="00076AD9"/>
    <w:rsid w:val="00076DA7"/>
    <w:rsid w:val="00077916"/>
    <w:rsid w:val="00077FDD"/>
    <w:rsid w:val="000804E9"/>
    <w:rsid w:val="000808F0"/>
    <w:rsid w:val="0008125C"/>
    <w:rsid w:val="00081637"/>
    <w:rsid w:val="00081CF8"/>
    <w:rsid w:val="00081E8F"/>
    <w:rsid w:val="0008269A"/>
    <w:rsid w:val="00083266"/>
    <w:rsid w:val="00083D3E"/>
    <w:rsid w:val="00084123"/>
    <w:rsid w:val="00084694"/>
    <w:rsid w:val="00084859"/>
    <w:rsid w:val="000851E9"/>
    <w:rsid w:val="000857E6"/>
    <w:rsid w:val="00085DE5"/>
    <w:rsid w:val="000869E4"/>
    <w:rsid w:val="00086D89"/>
    <w:rsid w:val="00086FFB"/>
    <w:rsid w:val="000872B5"/>
    <w:rsid w:val="00090125"/>
    <w:rsid w:val="000902FD"/>
    <w:rsid w:val="0009036E"/>
    <w:rsid w:val="00090905"/>
    <w:rsid w:val="00090C8D"/>
    <w:rsid w:val="00091220"/>
    <w:rsid w:val="000913A5"/>
    <w:rsid w:val="000913E2"/>
    <w:rsid w:val="000918F8"/>
    <w:rsid w:val="00091FE4"/>
    <w:rsid w:val="00092B03"/>
    <w:rsid w:val="00092D8E"/>
    <w:rsid w:val="00092E61"/>
    <w:rsid w:val="00094080"/>
    <w:rsid w:val="00094420"/>
    <w:rsid w:val="000944E1"/>
    <w:rsid w:val="00094CCB"/>
    <w:rsid w:val="00094CD9"/>
    <w:rsid w:val="00095D43"/>
    <w:rsid w:val="00095FBF"/>
    <w:rsid w:val="00096368"/>
    <w:rsid w:val="0009660F"/>
    <w:rsid w:val="000967A0"/>
    <w:rsid w:val="0009687B"/>
    <w:rsid w:val="00097770"/>
    <w:rsid w:val="000A0529"/>
    <w:rsid w:val="000A0D30"/>
    <w:rsid w:val="000A0D48"/>
    <w:rsid w:val="000A1EE8"/>
    <w:rsid w:val="000A268D"/>
    <w:rsid w:val="000A2B3A"/>
    <w:rsid w:val="000A39C6"/>
    <w:rsid w:val="000A3F77"/>
    <w:rsid w:val="000A409F"/>
    <w:rsid w:val="000A4335"/>
    <w:rsid w:val="000A52DB"/>
    <w:rsid w:val="000A54F0"/>
    <w:rsid w:val="000A55D5"/>
    <w:rsid w:val="000A5DF3"/>
    <w:rsid w:val="000A6D7F"/>
    <w:rsid w:val="000A7951"/>
    <w:rsid w:val="000B0C76"/>
    <w:rsid w:val="000B1CF5"/>
    <w:rsid w:val="000B22C8"/>
    <w:rsid w:val="000B3072"/>
    <w:rsid w:val="000B44CA"/>
    <w:rsid w:val="000B49EE"/>
    <w:rsid w:val="000B5913"/>
    <w:rsid w:val="000B5CB1"/>
    <w:rsid w:val="000B6066"/>
    <w:rsid w:val="000B7DF0"/>
    <w:rsid w:val="000C0300"/>
    <w:rsid w:val="000C0804"/>
    <w:rsid w:val="000C1E32"/>
    <w:rsid w:val="000C2460"/>
    <w:rsid w:val="000C26CF"/>
    <w:rsid w:val="000C2D76"/>
    <w:rsid w:val="000C3C68"/>
    <w:rsid w:val="000C47F7"/>
    <w:rsid w:val="000C495B"/>
    <w:rsid w:val="000C4B90"/>
    <w:rsid w:val="000C5C3F"/>
    <w:rsid w:val="000C5E06"/>
    <w:rsid w:val="000C6FDA"/>
    <w:rsid w:val="000C78A4"/>
    <w:rsid w:val="000C7DF7"/>
    <w:rsid w:val="000D0229"/>
    <w:rsid w:val="000D0280"/>
    <w:rsid w:val="000D035D"/>
    <w:rsid w:val="000D04FE"/>
    <w:rsid w:val="000D088C"/>
    <w:rsid w:val="000D0AE7"/>
    <w:rsid w:val="000D0E7F"/>
    <w:rsid w:val="000D1724"/>
    <w:rsid w:val="000D1773"/>
    <w:rsid w:val="000D1829"/>
    <w:rsid w:val="000D23AC"/>
    <w:rsid w:val="000D250D"/>
    <w:rsid w:val="000D26D1"/>
    <w:rsid w:val="000D27CB"/>
    <w:rsid w:val="000D3149"/>
    <w:rsid w:val="000D3AC3"/>
    <w:rsid w:val="000D3B55"/>
    <w:rsid w:val="000D4338"/>
    <w:rsid w:val="000D47A1"/>
    <w:rsid w:val="000D49BA"/>
    <w:rsid w:val="000D501B"/>
    <w:rsid w:val="000D56E3"/>
    <w:rsid w:val="000D592D"/>
    <w:rsid w:val="000D61B4"/>
    <w:rsid w:val="000D632F"/>
    <w:rsid w:val="000D6B49"/>
    <w:rsid w:val="000D6DB1"/>
    <w:rsid w:val="000D6F65"/>
    <w:rsid w:val="000D7E20"/>
    <w:rsid w:val="000E076C"/>
    <w:rsid w:val="000E0872"/>
    <w:rsid w:val="000E0C78"/>
    <w:rsid w:val="000E0EBB"/>
    <w:rsid w:val="000E10A1"/>
    <w:rsid w:val="000E111E"/>
    <w:rsid w:val="000E1748"/>
    <w:rsid w:val="000E1761"/>
    <w:rsid w:val="000E1CB9"/>
    <w:rsid w:val="000E1E20"/>
    <w:rsid w:val="000E250D"/>
    <w:rsid w:val="000E2777"/>
    <w:rsid w:val="000E2DAC"/>
    <w:rsid w:val="000E36A2"/>
    <w:rsid w:val="000E4690"/>
    <w:rsid w:val="000E4C32"/>
    <w:rsid w:val="000E4D5B"/>
    <w:rsid w:val="000E5CC2"/>
    <w:rsid w:val="000E61DF"/>
    <w:rsid w:val="000E6828"/>
    <w:rsid w:val="000E6B30"/>
    <w:rsid w:val="000E6BC7"/>
    <w:rsid w:val="000E7475"/>
    <w:rsid w:val="000E7A09"/>
    <w:rsid w:val="000E7A8F"/>
    <w:rsid w:val="000E7D75"/>
    <w:rsid w:val="000F0082"/>
    <w:rsid w:val="000F0DD4"/>
    <w:rsid w:val="000F16B0"/>
    <w:rsid w:val="000F1CB8"/>
    <w:rsid w:val="000F381E"/>
    <w:rsid w:val="000F502D"/>
    <w:rsid w:val="000F595E"/>
    <w:rsid w:val="000F5E22"/>
    <w:rsid w:val="000F612E"/>
    <w:rsid w:val="000F7DEE"/>
    <w:rsid w:val="00100200"/>
    <w:rsid w:val="00100355"/>
    <w:rsid w:val="00102459"/>
    <w:rsid w:val="0010305A"/>
    <w:rsid w:val="001031C5"/>
    <w:rsid w:val="0010339C"/>
    <w:rsid w:val="00103736"/>
    <w:rsid w:val="00103776"/>
    <w:rsid w:val="00103FC7"/>
    <w:rsid w:val="0010407B"/>
    <w:rsid w:val="00104A12"/>
    <w:rsid w:val="00104FA7"/>
    <w:rsid w:val="001076A7"/>
    <w:rsid w:val="00110860"/>
    <w:rsid w:val="001109E8"/>
    <w:rsid w:val="00111324"/>
    <w:rsid w:val="001114AB"/>
    <w:rsid w:val="00111A9A"/>
    <w:rsid w:val="00112D16"/>
    <w:rsid w:val="0011481E"/>
    <w:rsid w:val="00114AA0"/>
    <w:rsid w:val="00114D97"/>
    <w:rsid w:val="00116E7C"/>
    <w:rsid w:val="0011726D"/>
    <w:rsid w:val="0011766F"/>
    <w:rsid w:val="00117817"/>
    <w:rsid w:val="00117D45"/>
    <w:rsid w:val="00120077"/>
    <w:rsid w:val="001204D2"/>
    <w:rsid w:val="0012094F"/>
    <w:rsid w:val="00120EC7"/>
    <w:rsid w:val="001212CE"/>
    <w:rsid w:val="00122028"/>
    <w:rsid w:val="00122730"/>
    <w:rsid w:val="00122769"/>
    <w:rsid w:val="001240DF"/>
    <w:rsid w:val="00124137"/>
    <w:rsid w:val="00124939"/>
    <w:rsid w:val="001269FE"/>
    <w:rsid w:val="00126BDF"/>
    <w:rsid w:val="001273CD"/>
    <w:rsid w:val="00127C8D"/>
    <w:rsid w:val="001303C8"/>
    <w:rsid w:val="0013092D"/>
    <w:rsid w:val="001309D3"/>
    <w:rsid w:val="00130BBE"/>
    <w:rsid w:val="00130F50"/>
    <w:rsid w:val="00131418"/>
    <w:rsid w:val="00132FBE"/>
    <w:rsid w:val="00133079"/>
    <w:rsid w:val="0013363B"/>
    <w:rsid w:val="00133D94"/>
    <w:rsid w:val="00133DEB"/>
    <w:rsid w:val="001340C6"/>
    <w:rsid w:val="0013435C"/>
    <w:rsid w:val="00135EB6"/>
    <w:rsid w:val="00135ED8"/>
    <w:rsid w:val="00136269"/>
    <w:rsid w:val="001365B8"/>
    <w:rsid w:val="00136774"/>
    <w:rsid w:val="00136906"/>
    <w:rsid w:val="00136F69"/>
    <w:rsid w:val="00137312"/>
    <w:rsid w:val="001376AF"/>
    <w:rsid w:val="0014161C"/>
    <w:rsid w:val="00142000"/>
    <w:rsid w:val="00142546"/>
    <w:rsid w:val="00142DD8"/>
    <w:rsid w:val="001433CE"/>
    <w:rsid w:val="00143455"/>
    <w:rsid w:val="00143F52"/>
    <w:rsid w:val="00144477"/>
    <w:rsid w:val="00144FB7"/>
    <w:rsid w:val="001453B7"/>
    <w:rsid w:val="00145515"/>
    <w:rsid w:val="001456DC"/>
    <w:rsid w:val="00145B83"/>
    <w:rsid w:val="00146E83"/>
    <w:rsid w:val="00146F22"/>
    <w:rsid w:val="00147068"/>
    <w:rsid w:val="0014795B"/>
    <w:rsid w:val="00147CBA"/>
    <w:rsid w:val="00150C1D"/>
    <w:rsid w:val="00150C7B"/>
    <w:rsid w:val="00150E5F"/>
    <w:rsid w:val="0015159F"/>
    <w:rsid w:val="001516E1"/>
    <w:rsid w:val="001516F1"/>
    <w:rsid w:val="00151A39"/>
    <w:rsid w:val="00151F51"/>
    <w:rsid w:val="001523A4"/>
    <w:rsid w:val="00152550"/>
    <w:rsid w:val="001526A1"/>
    <w:rsid w:val="001533CE"/>
    <w:rsid w:val="00153732"/>
    <w:rsid w:val="00155965"/>
    <w:rsid w:val="00155E65"/>
    <w:rsid w:val="001560B6"/>
    <w:rsid w:val="001565DF"/>
    <w:rsid w:val="00156C71"/>
    <w:rsid w:val="00156C74"/>
    <w:rsid w:val="00157604"/>
    <w:rsid w:val="001606DE"/>
    <w:rsid w:val="00160AE1"/>
    <w:rsid w:val="00160C65"/>
    <w:rsid w:val="00161206"/>
    <w:rsid w:val="001633BD"/>
    <w:rsid w:val="001636FA"/>
    <w:rsid w:val="00163B17"/>
    <w:rsid w:val="00163DB1"/>
    <w:rsid w:val="001641F1"/>
    <w:rsid w:val="00165930"/>
    <w:rsid w:val="0016601D"/>
    <w:rsid w:val="00166A9B"/>
    <w:rsid w:val="0016717E"/>
    <w:rsid w:val="00167894"/>
    <w:rsid w:val="00170493"/>
    <w:rsid w:val="00170682"/>
    <w:rsid w:val="0017167C"/>
    <w:rsid w:val="00171D1B"/>
    <w:rsid w:val="0017231C"/>
    <w:rsid w:val="00172E3F"/>
    <w:rsid w:val="00172F29"/>
    <w:rsid w:val="00174CB5"/>
    <w:rsid w:val="00174E3E"/>
    <w:rsid w:val="00174E94"/>
    <w:rsid w:val="001754C9"/>
    <w:rsid w:val="0017562E"/>
    <w:rsid w:val="00175B57"/>
    <w:rsid w:val="00176614"/>
    <w:rsid w:val="001766CA"/>
    <w:rsid w:val="00176EA2"/>
    <w:rsid w:val="00177CC3"/>
    <w:rsid w:val="001802E2"/>
    <w:rsid w:val="00180BF4"/>
    <w:rsid w:val="00181154"/>
    <w:rsid w:val="00181E55"/>
    <w:rsid w:val="00182294"/>
    <w:rsid w:val="001831E4"/>
    <w:rsid w:val="001838DD"/>
    <w:rsid w:val="00183D61"/>
    <w:rsid w:val="00184BC8"/>
    <w:rsid w:val="00184DCE"/>
    <w:rsid w:val="00184F06"/>
    <w:rsid w:val="0018522A"/>
    <w:rsid w:val="00185F43"/>
    <w:rsid w:val="00185F62"/>
    <w:rsid w:val="00186A20"/>
    <w:rsid w:val="001903E6"/>
    <w:rsid w:val="00191253"/>
    <w:rsid w:val="001921FA"/>
    <w:rsid w:val="001925DF"/>
    <w:rsid w:val="00192CBF"/>
    <w:rsid w:val="00192D14"/>
    <w:rsid w:val="00193123"/>
    <w:rsid w:val="00193E8E"/>
    <w:rsid w:val="00194016"/>
    <w:rsid w:val="001941D9"/>
    <w:rsid w:val="00194F08"/>
    <w:rsid w:val="00194FE6"/>
    <w:rsid w:val="001957AC"/>
    <w:rsid w:val="00195DB3"/>
    <w:rsid w:val="00196508"/>
    <w:rsid w:val="0019709D"/>
    <w:rsid w:val="00197BFB"/>
    <w:rsid w:val="001A0119"/>
    <w:rsid w:val="001A0B71"/>
    <w:rsid w:val="001A1132"/>
    <w:rsid w:val="001A1624"/>
    <w:rsid w:val="001A1BC1"/>
    <w:rsid w:val="001A1F3B"/>
    <w:rsid w:val="001A270C"/>
    <w:rsid w:val="001A283A"/>
    <w:rsid w:val="001A3408"/>
    <w:rsid w:val="001A3A3C"/>
    <w:rsid w:val="001A3E96"/>
    <w:rsid w:val="001A465F"/>
    <w:rsid w:val="001A49E1"/>
    <w:rsid w:val="001A614F"/>
    <w:rsid w:val="001A699D"/>
    <w:rsid w:val="001A75A0"/>
    <w:rsid w:val="001A77D2"/>
    <w:rsid w:val="001B0780"/>
    <w:rsid w:val="001B226A"/>
    <w:rsid w:val="001B28B2"/>
    <w:rsid w:val="001B2C90"/>
    <w:rsid w:val="001B309B"/>
    <w:rsid w:val="001B3795"/>
    <w:rsid w:val="001B3B9F"/>
    <w:rsid w:val="001B40E2"/>
    <w:rsid w:val="001B44D8"/>
    <w:rsid w:val="001B4FEC"/>
    <w:rsid w:val="001B563A"/>
    <w:rsid w:val="001B59B9"/>
    <w:rsid w:val="001B6124"/>
    <w:rsid w:val="001B6BB4"/>
    <w:rsid w:val="001B71E6"/>
    <w:rsid w:val="001C03C7"/>
    <w:rsid w:val="001C084C"/>
    <w:rsid w:val="001C0AA1"/>
    <w:rsid w:val="001C0B42"/>
    <w:rsid w:val="001C1092"/>
    <w:rsid w:val="001C2E51"/>
    <w:rsid w:val="001C37FE"/>
    <w:rsid w:val="001C4200"/>
    <w:rsid w:val="001C4347"/>
    <w:rsid w:val="001C44A0"/>
    <w:rsid w:val="001C4696"/>
    <w:rsid w:val="001C4823"/>
    <w:rsid w:val="001C5693"/>
    <w:rsid w:val="001C5D07"/>
    <w:rsid w:val="001C613F"/>
    <w:rsid w:val="001C6178"/>
    <w:rsid w:val="001C62BD"/>
    <w:rsid w:val="001C6615"/>
    <w:rsid w:val="001C69E2"/>
    <w:rsid w:val="001C6B5A"/>
    <w:rsid w:val="001C7398"/>
    <w:rsid w:val="001D0AE6"/>
    <w:rsid w:val="001D0EB2"/>
    <w:rsid w:val="001D1908"/>
    <w:rsid w:val="001D1A4E"/>
    <w:rsid w:val="001D1FAD"/>
    <w:rsid w:val="001D210A"/>
    <w:rsid w:val="001D2481"/>
    <w:rsid w:val="001D26A7"/>
    <w:rsid w:val="001D3016"/>
    <w:rsid w:val="001D35F1"/>
    <w:rsid w:val="001D40E2"/>
    <w:rsid w:val="001D49F5"/>
    <w:rsid w:val="001D4F41"/>
    <w:rsid w:val="001D5C34"/>
    <w:rsid w:val="001D617D"/>
    <w:rsid w:val="001D6331"/>
    <w:rsid w:val="001D74C7"/>
    <w:rsid w:val="001D78F5"/>
    <w:rsid w:val="001E063A"/>
    <w:rsid w:val="001E0665"/>
    <w:rsid w:val="001E0947"/>
    <w:rsid w:val="001E20E6"/>
    <w:rsid w:val="001E244B"/>
    <w:rsid w:val="001E24F5"/>
    <w:rsid w:val="001E261C"/>
    <w:rsid w:val="001E2CF7"/>
    <w:rsid w:val="001E3252"/>
    <w:rsid w:val="001E45E3"/>
    <w:rsid w:val="001E4A34"/>
    <w:rsid w:val="001E62A5"/>
    <w:rsid w:val="001E644E"/>
    <w:rsid w:val="001E69D5"/>
    <w:rsid w:val="001E6C63"/>
    <w:rsid w:val="001F0303"/>
    <w:rsid w:val="001F1467"/>
    <w:rsid w:val="001F1685"/>
    <w:rsid w:val="001F23F2"/>
    <w:rsid w:val="001F24A8"/>
    <w:rsid w:val="001F257D"/>
    <w:rsid w:val="001F295F"/>
    <w:rsid w:val="001F2C30"/>
    <w:rsid w:val="001F3184"/>
    <w:rsid w:val="001F4403"/>
    <w:rsid w:val="001F45E3"/>
    <w:rsid w:val="001F4BF0"/>
    <w:rsid w:val="001F50D3"/>
    <w:rsid w:val="001F68ED"/>
    <w:rsid w:val="001F6D8C"/>
    <w:rsid w:val="001F7878"/>
    <w:rsid w:val="002008E2"/>
    <w:rsid w:val="00200B26"/>
    <w:rsid w:val="00201043"/>
    <w:rsid w:val="00201529"/>
    <w:rsid w:val="00201D90"/>
    <w:rsid w:val="0020370C"/>
    <w:rsid w:val="00204480"/>
    <w:rsid w:val="00205796"/>
    <w:rsid w:val="002064FE"/>
    <w:rsid w:val="0020650B"/>
    <w:rsid w:val="00206DB5"/>
    <w:rsid w:val="00207723"/>
    <w:rsid w:val="002077A3"/>
    <w:rsid w:val="00207CCC"/>
    <w:rsid w:val="00207E86"/>
    <w:rsid w:val="00207EA9"/>
    <w:rsid w:val="00211084"/>
    <w:rsid w:val="0021114C"/>
    <w:rsid w:val="00211EB5"/>
    <w:rsid w:val="00212185"/>
    <w:rsid w:val="00213604"/>
    <w:rsid w:val="00213A02"/>
    <w:rsid w:val="00213ADF"/>
    <w:rsid w:val="002144D4"/>
    <w:rsid w:val="002151B5"/>
    <w:rsid w:val="002154BD"/>
    <w:rsid w:val="00215AB8"/>
    <w:rsid w:val="00216AE4"/>
    <w:rsid w:val="00216E3B"/>
    <w:rsid w:val="002172BC"/>
    <w:rsid w:val="00217772"/>
    <w:rsid w:val="00220DDF"/>
    <w:rsid w:val="00220FA7"/>
    <w:rsid w:val="0022278B"/>
    <w:rsid w:val="002227AB"/>
    <w:rsid w:val="002234D8"/>
    <w:rsid w:val="00223966"/>
    <w:rsid w:val="00223C7F"/>
    <w:rsid w:val="00223E73"/>
    <w:rsid w:val="00224313"/>
    <w:rsid w:val="002256DF"/>
    <w:rsid w:val="002264C2"/>
    <w:rsid w:val="00226CC6"/>
    <w:rsid w:val="00227060"/>
    <w:rsid w:val="0022708D"/>
    <w:rsid w:val="002270E1"/>
    <w:rsid w:val="002273F0"/>
    <w:rsid w:val="00227581"/>
    <w:rsid w:val="00227B07"/>
    <w:rsid w:val="00230360"/>
    <w:rsid w:val="00230DAA"/>
    <w:rsid w:val="00231682"/>
    <w:rsid w:val="00234096"/>
    <w:rsid w:val="002341D9"/>
    <w:rsid w:val="00234743"/>
    <w:rsid w:val="00234C30"/>
    <w:rsid w:val="00234FB3"/>
    <w:rsid w:val="00235313"/>
    <w:rsid w:val="002360B3"/>
    <w:rsid w:val="002363A7"/>
    <w:rsid w:val="002366BB"/>
    <w:rsid w:val="00236BD2"/>
    <w:rsid w:val="00237E38"/>
    <w:rsid w:val="00237F26"/>
    <w:rsid w:val="0024026C"/>
    <w:rsid w:val="0024028B"/>
    <w:rsid w:val="00240A2B"/>
    <w:rsid w:val="00241159"/>
    <w:rsid w:val="00241322"/>
    <w:rsid w:val="0024146B"/>
    <w:rsid w:val="0024288F"/>
    <w:rsid w:val="0024327A"/>
    <w:rsid w:val="00243D13"/>
    <w:rsid w:val="00244886"/>
    <w:rsid w:val="00244DED"/>
    <w:rsid w:val="00244FA4"/>
    <w:rsid w:val="0024544F"/>
    <w:rsid w:val="0024547B"/>
    <w:rsid w:val="00245F4C"/>
    <w:rsid w:val="00246BF2"/>
    <w:rsid w:val="00247371"/>
    <w:rsid w:val="00247D39"/>
    <w:rsid w:val="00247E06"/>
    <w:rsid w:val="0025065F"/>
    <w:rsid w:val="0025116A"/>
    <w:rsid w:val="00251B87"/>
    <w:rsid w:val="00252015"/>
    <w:rsid w:val="00252026"/>
    <w:rsid w:val="002539F9"/>
    <w:rsid w:val="00253BB2"/>
    <w:rsid w:val="00253BFB"/>
    <w:rsid w:val="00253DC0"/>
    <w:rsid w:val="00254195"/>
    <w:rsid w:val="0025485F"/>
    <w:rsid w:val="00254CDB"/>
    <w:rsid w:val="00255789"/>
    <w:rsid w:val="002566A8"/>
    <w:rsid w:val="002566FD"/>
    <w:rsid w:val="00256A91"/>
    <w:rsid w:val="00257127"/>
    <w:rsid w:val="002571C9"/>
    <w:rsid w:val="0025725E"/>
    <w:rsid w:val="0025794C"/>
    <w:rsid w:val="00260465"/>
    <w:rsid w:val="00260554"/>
    <w:rsid w:val="002605C2"/>
    <w:rsid w:val="00260A96"/>
    <w:rsid w:val="00260B8F"/>
    <w:rsid w:val="0026192A"/>
    <w:rsid w:val="00262302"/>
    <w:rsid w:val="00262B49"/>
    <w:rsid w:val="00262C13"/>
    <w:rsid w:val="002636A8"/>
    <w:rsid w:val="00263BFE"/>
    <w:rsid w:val="002644DD"/>
    <w:rsid w:val="002661F7"/>
    <w:rsid w:val="00267028"/>
    <w:rsid w:val="00267E56"/>
    <w:rsid w:val="0027018D"/>
    <w:rsid w:val="002709D2"/>
    <w:rsid w:val="002709F0"/>
    <w:rsid w:val="002711D4"/>
    <w:rsid w:val="00271459"/>
    <w:rsid w:val="002718A5"/>
    <w:rsid w:val="002725B0"/>
    <w:rsid w:val="00273D4D"/>
    <w:rsid w:val="00274245"/>
    <w:rsid w:val="00274374"/>
    <w:rsid w:val="002757CC"/>
    <w:rsid w:val="00275F12"/>
    <w:rsid w:val="00276319"/>
    <w:rsid w:val="0027683B"/>
    <w:rsid w:val="00277A95"/>
    <w:rsid w:val="00277EFF"/>
    <w:rsid w:val="0028010B"/>
    <w:rsid w:val="002801B1"/>
    <w:rsid w:val="00280F42"/>
    <w:rsid w:val="002814B9"/>
    <w:rsid w:val="00281565"/>
    <w:rsid w:val="00281D06"/>
    <w:rsid w:val="00284080"/>
    <w:rsid w:val="00284354"/>
    <w:rsid w:val="002844B1"/>
    <w:rsid w:val="00284755"/>
    <w:rsid w:val="002847FE"/>
    <w:rsid w:val="00284D21"/>
    <w:rsid w:val="00284D65"/>
    <w:rsid w:val="0028509F"/>
    <w:rsid w:val="0028538D"/>
    <w:rsid w:val="002856B2"/>
    <w:rsid w:val="00286295"/>
    <w:rsid w:val="002867F8"/>
    <w:rsid w:val="0028697F"/>
    <w:rsid w:val="00286BF9"/>
    <w:rsid w:val="00290AA4"/>
    <w:rsid w:val="00290AB4"/>
    <w:rsid w:val="00290C64"/>
    <w:rsid w:val="00290F00"/>
    <w:rsid w:val="002917DE"/>
    <w:rsid w:val="002918D8"/>
    <w:rsid w:val="002919B1"/>
    <w:rsid w:val="00291DD8"/>
    <w:rsid w:val="002921DE"/>
    <w:rsid w:val="0029265E"/>
    <w:rsid w:val="0029363A"/>
    <w:rsid w:val="002936C8"/>
    <w:rsid w:val="00294394"/>
    <w:rsid w:val="00295BBD"/>
    <w:rsid w:val="00296060"/>
    <w:rsid w:val="00296B86"/>
    <w:rsid w:val="00296F27"/>
    <w:rsid w:val="002A0A50"/>
    <w:rsid w:val="002A0CA5"/>
    <w:rsid w:val="002A0DB4"/>
    <w:rsid w:val="002A1F91"/>
    <w:rsid w:val="002A26F9"/>
    <w:rsid w:val="002A2CF8"/>
    <w:rsid w:val="002A2F7D"/>
    <w:rsid w:val="002A345F"/>
    <w:rsid w:val="002A39F7"/>
    <w:rsid w:val="002A3A8F"/>
    <w:rsid w:val="002A4334"/>
    <w:rsid w:val="002A4876"/>
    <w:rsid w:val="002A5975"/>
    <w:rsid w:val="002A5D3D"/>
    <w:rsid w:val="002A6FA8"/>
    <w:rsid w:val="002A7679"/>
    <w:rsid w:val="002A79C4"/>
    <w:rsid w:val="002B0B19"/>
    <w:rsid w:val="002B1C5F"/>
    <w:rsid w:val="002B1D12"/>
    <w:rsid w:val="002B23D0"/>
    <w:rsid w:val="002B2B41"/>
    <w:rsid w:val="002B307B"/>
    <w:rsid w:val="002B3AB5"/>
    <w:rsid w:val="002B3BAE"/>
    <w:rsid w:val="002B3F62"/>
    <w:rsid w:val="002B4C22"/>
    <w:rsid w:val="002B4CB5"/>
    <w:rsid w:val="002B4DBA"/>
    <w:rsid w:val="002B5A23"/>
    <w:rsid w:val="002B5B0C"/>
    <w:rsid w:val="002B6C96"/>
    <w:rsid w:val="002B734C"/>
    <w:rsid w:val="002B7E1D"/>
    <w:rsid w:val="002C0742"/>
    <w:rsid w:val="002C0CC0"/>
    <w:rsid w:val="002C122A"/>
    <w:rsid w:val="002C1E1C"/>
    <w:rsid w:val="002C1EC9"/>
    <w:rsid w:val="002C2798"/>
    <w:rsid w:val="002C30BB"/>
    <w:rsid w:val="002C3A87"/>
    <w:rsid w:val="002C4353"/>
    <w:rsid w:val="002C4483"/>
    <w:rsid w:val="002C44D6"/>
    <w:rsid w:val="002C477A"/>
    <w:rsid w:val="002C505F"/>
    <w:rsid w:val="002C5974"/>
    <w:rsid w:val="002C59C4"/>
    <w:rsid w:val="002C6059"/>
    <w:rsid w:val="002C6429"/>
    <w:rsid w:val="002C6B31"/>
    <w:rsid w:val="002C6D8F"/>
    <w:rsid w:val="002C750C"/>
    <w:rsid w:val="002C7608"/>
    <w:rsid w:val="002C7D51"/>
    <w:rsid w:val="002D03FF"/>
    <w:rsid w:val="002D1AF5"/>
    <w:rsid w:val="002D1BBE"/>
    <w:rsid w:val="002D1F94"/>
    <w:rsid w:val="002D23F3"/>
    <w:rsid w:val="002D3571"/>
    <w:rsid w:val="002D41E6"/>
    <w:rsid w:val="002D50D9"/>
    <w:rsid w:val="002D50F3"/>
    <w:rsid w:val="002D534A"/>
    <w:rsid w:val="002D5A95"/>
    <w:rsid w:val="002D5F27"/>
    <w:rsid w:val="002D5FB9"/>
    <w:rsid w:val="002D693E"/>
    <w:rsid w:val="002D71B5"/>
    <w:rsid w:val="002D727A"/>
    <w:rsid w:val="002D7832"/>
    <w:rsid w:val="002E05F1"/>
    <w:rsid w:val="002E096E"/>
    <w:rsid w:val="002E0DC6"/>
    <w:rsid w:val="002E0E64"/>
    <w:rsid w:val="002E0EE0"/>
    <w:rsid w:val="002E12D3"/>
    <w:rsid w:val="002E159D"/>
    <w:rsid w:val="002E33AB"/>
    <w:rsid w:val="002E3B27"/>
    <w:rsid w:val="002E3FD1"/>
    <w:rsid w:val="002E40C9"/>
    <w:rsid w:val="002E4AF8"/>
    <w:rsid w:val="002E4FF2"/>
    <w:rsid w:val="002E5012"/>
    <w:rsid w:val="002E53A5"/>
    <w:rsid w:val="002E54E0"/>
    <w:rsid w:val="002E55CC"/>
    <w:rsid w:val="002E59FA"/>
    <w:rsid w:val="002E5B7E"/>
    <w:rsid w:val="002E5F6A"/>
    <w:rsid w:val="002E6B0F"/>
    <w:rsid w:val="002F020D"/>
    <w:rsid w:val="002F0763"/>
    <w:rsid w:val="002F0B2D"/>
    <w:rsid w:val="002F1828"/>
    <w:rsid w:val="002F1BD1"/>
    <w:rsid w:val="002F1DF1"/>
    <w:rsid w:val="002F2001"/>
    <w:rsid w:val="002F366B"/>
    <w:rsid w:val="002F3ABD"/>
    <w:rsid w:val="002F3CD9"/>
    <w:rsid w:val="002F3EB0"/>
    <w:rsid w:val="002F45D6"/>
    <w:rsid w:val="002F6797"/>
    <w:rsid w:val="002F6B35"/>
    <w:rsid w:val="002F6F90"/>
    <w:rsid w:val="002F75DA"/>
    <w:rsid w:val="002F78A5"/>
    <w:rsid w:val="003008A1"/>
    <w:rsid w:val="00300C29"/>
    <w:rsid w:val="00301030"/>
    <w:rsid w:val="00301130"/>
    <w:rsid w:val="003013AA"/>
    <w:rsid w:val="00301779"/>
    <w:rsid w:val="00301D00"/>
    <w:rsid w:val="0030258F"/>
    <w:rsid w:val="003032CD"/>
    <w:rsid w:val="00303569"/>
    <w:rsid w:val="00303707"/>
    <w:rsid w:val="00303EC0"/>
    <w:rsid w:val="00303FFB"/>
    <w:rsid w:val="0030435E"/>
    <w:rsid w:val="00304985"/>
    <w:rsid w:val="00305223"/>
    <w:rsid w:val="00305378"/>
    <w:rsid w:val="0030566E"/>
    <w:rsid w:val="0030570B"/>
    <w:rsid w:val="003060EB"/>
    <w:rsid w:val="0030623D"/>
    <w:rsid w:val="00307054"/>
    <w:rsid w:val="00307EE2"/>
    <w:rsid w:val="00310EC6"/>
    <w:rsid w:val="00311EA1"/>
    <w:rsid w:val="00312100"/>
    <w:rsid w:val="003124AA"/>
    <w:rsid w:val="003124AC"/>
    <w:rsid w:val="00312A0B"/>
    <w:rsid w:val="00312B29"/>
    <w:rsid w:val="00312F84"/>
    <w:rsid w:val="00313052"/>
    <w:rsid w:val="00313852"/>
    <w:rsid w:val="003151A4"/>
    <w:rsid w:val="00315A69"/>
    <w:rsid w:val="00316704"/>
    <w:rsid w:val="00317748"/>
    <w:rsid w:val="00317D92"/>
    <w:rsid w:val="00320EF5"/>
    <w:rsid w:val="00321435"/>
    <w:rsid w:val="003217CF"/>
    <w:rsid w:val="00323004"/>
    <w:rsid w:val="00323512"/>
    <w:rsid w:val="003237A3"/>
    <w:rsid w:val="00323FC9"/>
    <w:rsid w:val="00324065"/>
    <w:rsid w:val="00324B79"/>
    <w:rsid w:val="00324D28"/>
    <w:rsid w:val="00324D76"/>
    <w:rsid w:val="0032606B"/>
    <w:rsid w:val="00326691"/>
    <w:rsid w:val="00326965"/>
    <w:rsid w:val="00326E23"/>
    <w:rsid w:val="00326F6A"/>
    <w:rsid w:val="00326F75"/>
    <w:rsid w:val="00327352"/>
    <w:rsid w:val="0032778B"/>
    <w:rsid w:val="00327DD6"/>
    <w:rsid w:val="0033009F"/>
    <w:rsid w:val="0033066C"/>
    <w:rsid w:val="003313D7"/>
    <w:rsid w:val="00332734"/>
    <w:rsid w:val="00333279"/>
    <w:rsid w:val="00333E0C"/>
    <w:rsid w:val="003347CB"/>
    <w:rsid w:val="00334A63"/>
    <w:rsid w:val="00334D96"/>
    <w:rsid w:val="00334ED0"/>
    <w:rsid w:val="0033512E"/>
    <w:rsid w:val="003358AE"/>
    <w:rsid w:val="00335992"/>
    <w:rsid w:val="00335AF7"/>
    <w:rsid w:val="0033632D"/>
    <w:rsid w:val="00336C05"/>
    <w:rsid w:val="00337E29"/>
    <w:rsid w:val="00340B8B"/>
    <w:rsid w:val="003419AD"/>
    <w:rsid w:val="00342A04"/>
    <w:rsid w:val="00344756"/>
    <w:rsid w:val="00344B05"/>
    <w:rsid w:val="003452A8"/>
    <w:rsid w:val="00345635"/>
    <w:rsid w:val="003464C3"/>
    <w:rsid w:val="00346EAD"/>
    <w:rsid w:val="00347153"/>
    <w:rsid w:val="00347A59"/>
    <w:rsid w:val="00350E4D"/>
    <w:rsid w:val="003519C8"/>
    <w:rsid w:val="00351D05"/>
    <w:rsid w:val="00351D30"/>
    <w:rsid w:val="00352327"/>
    <w:rsid w:val="003526CE"/>
    <w:rsid w:val="00352C7C"/>
    <w:rsid w:val="00352E43"/>
    <w:rsid w:val="0035327A"/>
    <w:rsid w:val="00353AE3"/>
    <w:rsid w:val="00353FF9"/>
    <w:rsid w:val="00355007"/>
    <w:rsid w:val="00355780"/>
    <w:rsid w:val="00355BA4"/>
    <w:rsid w:val="00355F53"/>
    <w:rsid w:val="00356A53"/>
    <w:rsid w:val="00356B75"/>
    <w:rsid w:val="00356D04"/>
    <w:rsid w:val="003575A1"/>
    <w:rsid w:val="003577CE"/>
    <w:rsid w:val="00357E0D"/>
    <w:rsid w:val="00357E14"/>
    <w:rsid w:val="00360040"/>
    <w:rsid w:val="00360EFE"/>
    <w:rsid w:val="00360F88"/>
    <w:rsid w:val="003619E9"/>
    <w:rsid w:val="00361F19"/>
    <w:rsid w:val="00362071"/>
    <w:rsid w:val="003623ED"/>
    <w:rsid w:val="003627AD"/>
    <w:rsid w:val="003643DA"/>
    <w:rsid w:val="00364C2B"/>
    <w:rsid w:val="0036554C"/>
    <w:rsid w:val="00365AE1"/>
    <w:rsid w:val="0036622B"/>
    <w:rsid w:val="00366445"/>
    <w:rsid w:val="003666B1"/>
    <w:rsid w:val="0036772D"/>
    <w:rsid w:val="00367976"/>
    <w:rsid w:val="00367D3D"/>
    <w:rsid w:val="003700BF"/>
    <w:rsid w:val="00370D9C"/>
    <w:rsid w:val="0037108C"/>
    <w:rsid w:val="00371E50"/>
    <w:rsid w:val="0037266E"/>
    <w:rsid w:val="00372F0E"/>
    <w:rsid w:val="0037304F"/>
    <w:rsid w:val="0037309B"/>
    <w:rsid w:val="003738CF"/>
    <w:rsid w:val="003739D8"/>
    <w:rsid w:val="003755B0"/>
    <w:rsid w:val="003763CA"/>
    <w:rsid w:val="00376413"/>
    <w:rsid w:val="003765EE"/>
    <w:rsid w:val="00376B6B"/>
    <w:rsid w:val="00376B78"/>
    <w:rsid w:val="003770C1"/>
    <w:rsid w:val="00380570"/>
    <w:rsid w:val="0038135D"/>
    <w:rsid w:val="00381C3B"/>
    <w:rsid w:val="00381F7B"/>
    <w:rsid w:val="0038296E"/>
    <w:rsid w:val="00382AC9"/>
    <w:rsid w:val="00383E48"/>
    <w:rsid w:val="00384F28"/>
    <w:rsid w:val="0038519E"/>
    <w:rsid w:val="00385891"/>
    <w:rsid w:val="0038696C"/>
    <w:rsid w:val="00387CB4"/>
    <w:rsid w:val="00387DA1"/>
    <w:rsid w:val="003903DF"/>
    <w:rsid w:val="003903EC"/>
    <w:rsid w:val="003904ED"/>
    <w:rsid w:val="00390F09"/>
    <w:rsid w:val="003910BA"/>
    <w:rsid w:val="0039112D"/>
    <w:rsid w:val="003916EB"/>
    <w:rsid w:val="003916ED"/>
    <w:rsid w:val="003930D7"/>
    <w:rsid w:val="003941E3"/>
    <w:rsid w:val="00394A86"/>
    <w:rsid w:val="00394CE1"/>
    <w:rsid w:val="00395353"/>
    <w:rsid w:val="00397404"/>
    <w:rsid w:val="003A12FD"/>
    <w:rsid w:val="003A2BD7"/>
    <w:rsid w:val="003A33E3"/>
    <w:rsid w:val="003A44B4"/>
    <w:rsid w:val="003A475C"/>
    <w:rsid w:val="003A4AC8"/>
    <w:rsid w:val="003A4C8E"/>
    <w:rsid w:val="003A4FC7"/>
    <w:rsid w:val="003A571F"/>
    <w:rsid w:val="003A5E3B"/>
    <w:rsid w:val="003A6246"/>
    <w:rsid w:val="003A652B"/>
    <w:rsid w:val="003A77D4"/>
    <w:rsid w:val="003B037D"/>
    <w:rsid w:val="003B0C82"/>
    <w:rsid w:val="003B0E44"/>
    <w:rsid w:val="003B1302"/>
    <w:rsid w:val="003B1D53"/>
    <w:rsid w:val="003B20E8"/>
    <w:rsid w:val="003B2544"/>
    <w:rsid w:val="003B301E"/>
    <w:rsid w:val="003B473E"/>
    <w:rsid w:val="003B4862"/>
    <w:rsid w:val="003B5A4F"/>
    <w:rsid w:val="003B5D70"/>
    <w:rsid w:val="003C0822"/>
    <w:rsid w:val="003C0CD6"/>
    <w:rsid w:val="003C0E24"/>
    <w:rsid w:val="003C1195"/>
    <w:rsid w:val="003C13D3"/>
    <w:rsid w:val="003C168B"/>
    <w:rsid w:val="003C18D0"/>
    <w:rsid w:val="003C262B"/>
    <w:rsid w:val="003C2E3D"/>
    <w:rsid w:val="003C319A"/>
    <w:rsid w:val="003C383E"/>
    <w:rsid w:val="003C389B"/>
    <w:rsid w:val="003C4400"/>
    <w:rsid w:val="003C44B4"/>
    <w:rsid w:val="003C472A"/>
    <w:rsid w:val="003C5683"/>
    <w:rsid w:val="003C67B9"/>
    <w:rsid w:val="003C6902"/>
    <w:rsid w:val="003C6C7E"/>
    <w:rsid w:val="003C718E"/>
    <w:rsid w:val="003D1985"/>
    <w:rsid w:val="003D1C50"/>
    <w:rsid w:val="003D1FFF"/>
    <w:rsid w:val="003D2298"/>
    <w:rsid w:val="003D2C17"/>
    <w:rsid w:val="003D2E51"/>
    <w:rsid w:val="003D5117"/>
    <w:rsid w:val="003D5766"/>
    <w:rsid w:val="003D5D7C"/>
    <w:rsid w:val="003D5E7A"/>
    <w:rsid w:val="003D66D7"/>
    <w:rsid w:val="003D6851"/>
    <w:rsid w:val="003D6CA8"/>
    <w:rsid w:val="003D7FA7"/>
    <w:rsid w:val="003E000D"/>
    <w:rsid w:val="003E10EB"/>
    <w:rsid w:val="003E1918"/>
    <w:rsid w:val="003E259E"/>
    <w:rsid w:val="003E25AC"/>
    <w:rsid w:val="003E2744"/>
    <w:rsid w:val="003E367B"/>
    <w:rsid w:val="003E3AA5"/>
    <w:rsid w:val="003E3BED"/>
    <w:rsid w:val="003E4C08"/>
    <w:rsid w:val="003E4E6E"/>
    <w:rsid w:val="003E557B"/>
    <w:rsid w:val="003E59C6"/>
    <w:rsid w:val="003E59FC"/>
    <w:rsid w:val="003E6896"/>
    <w:rsid w:val="003E6D1D"/>
    <w:rsid w:val="003E70AE"/>
    <w:rsid w:val="003E796D"/>
    <w:rsid w:val="003E7F84"/>
    <w:rsid w:val="003F153F"/>
    <w:rsid w:val="003F1661"/>
    <w:rsid w:val="003F1E20"/>
    <w:rsid w:val="003F2E57"/>
    <w:rsid w:val="003F39E3"/>
    <w:rsid w:val="003F3DB9"/>
    <w:rsid w:val="003F4EBC"/>
    <w:rsid w:val="003F5829"/>
    <w:rsid w:val="003F5E23"/>
    <w:rsid w:val="003F6253"/>
    <w:rsid w:val="003F6653"/>
    <w:rsid w:val="003F7271"/>
    <w:rsid w:val="003F78B2"/>
    <w:rsid w:val="003F79C1"/>
    <w:rsid w:val="003F7ACB"/>
    <w:rsid w:val="003F7BA3"/>
    <w:rsid w:val="00400283"/>
    <w:rsid w:val="00401941"/>
    <w:rsid w:val="00401B17"/>
    <w:rsid w:val="00401BCF"/>
    <w:rsid w:val="00402726"/>
    <w:rsid w:val="004033B6"/>
    <w:rsid w:val="004039EC"/>
    <w:rsid w:val="00404DB6"/>
    <w:rsid w:val="00405593"/>
    <w:rsid w:val="00405832"/>
    <w:rsid w:val="00405CB1"/>
    <w:rsid w:val="00405D37"/>
    <w:rsid w:val="0040719A"/>
    <w:rsid w:val="00407D6C"/>
    <w:rsid w:val="00410115"/>
    <w:rsid w:val="0041039E"/>
    <w:rsid w:val="00410D59"/>
    <w:rsid w:val="00411030"/>
    <w:rsid w:val="0041112C"/>
    <w:rsid w:val="00411784"/>
    <w:rsid w:val="00411857"/>
    <w:rsid w:val="00411B0B"/>
    <w:rsid w:val="00412F27"/>
    <w:rsid w:val="0041316D"/>
    <w:rsid w:val="004134F4"/>
    <w:rsid w:val="004135D4"/>
    <w:rsid w:val="004139DF"/>
    <w:rsid w:val="00414285"/>
    <w:rsid w:val="00414455"/>
    <w:rsid w:val="00415B6B"/>
    <w:rsid w:val="00415ECB"/>
    <w:rsid w:val="00416036"/>
    <w:rsid w:val="0041626D"/>
    <w:rsid w:val="004168DE"/>
    <w:rsid w:val="004169EC"/>
    <w:rsid w:val="0041707A"/>
    <w:rsid w:val="0041798B"/>
    <w:rsid w:val="004200F8"/>
    <w:rsid w:val="004203D5"/>
    <w:rsid w:val="00420FF1"/>
    <w:rsid w:val="00423231"/>
    <w:rsid w:val="00423C59"/>
    <w:rsid w:val="00424046"/>
    <w:rsid w:val="0042417B"/>
    <w:rsid w:val="00424F3A"/>
    <w:rsid w:val="00425352"/>
    <w:rsid w:val="0042597F"/>
    <w:rsid w:val="00425F36"/>
    <w:rsid w:val="00426364"/>
    <w:rsid w:val="00426370"/>
    <w:rsid w:val="004265F0"/>
    <w:rsid w:val="00426DD8"/>
    <w:rsid w:val="0042714C"/>
    <w:rsid w:val="0042767D"/>
    <w:rsid w:val="00427AB1"/>
    <w:rsid w:val="00427AE6"/>
    <w:rsid w:val="00427CF2"/>
    <w:rsid w:val="00430219"/>
    <w:rsid w:val="00430412"/>
    <w:rsid w:val="00431EA1"/>
    <w:rsid w:val="00432DD4"/>
    <w:rsid w:val="00433036"/>
    <w:rsid w:val="00433574"/>
    <w:rsid w:val="00433B0A"/>
    <w:rsid w:val="0043431A"/>
    <w:rsid w:val="0043465D"/>
    <w:rsid w:val="004346DF"/>
    <w:rsid w:val="00434B2A"/>
    <w:rsid w:val="00434E94"/>
    <w:rsid w:val="004353DA"/>
    <w:rsid w:val="00435679"/>
    <w:rsid w:val="0043582D"/>
    <w:rsid w:val="0043596C"/>
    <w:rsid w:val="00435AF2"/>
    <w:rsid w:val="004365E3"/>
    <w:rsid w:val="00437489"/>
    <w:rsid w:val="004375F8"/>
    <w:rsid w:val="00437980"/>
    <w:rsid w:val="00437B48"/>
    <w:rsid w:val="004404FC"/>
    <w:rsid w:val="00440ED1"/>
    <w:rsid w:val="00441DF7"/>
    <w:rsid w:val="00442036"/>
    <w:rsid w:val="004424DE"/>
    <w:rsid w:val="0044277C"/>
    <w:rsid w:val="00442E82"/>
    <w:rsid w:val="00442F8E"/>
    <w:rsid w:val="004438E0"/>
    <w:rsid w:val="00444572"/>
    <w:rsid w:val="00444B89"/>
    <w:rsid w:val="004451E4"/>
    <w:rsid w:val="004455AD"/>
    <w:rsid w:val="004457E1"/>
    <w:rsid w:val="0044586B"/>
    <w:rsid w:val="00445CB1"/>
    <w:rsid w:val="004468B5"/>
    <w:rsid w:val="00446B55"/>
    <w:rsid w:val="00447A30"/>
    <w:rsid w:val="00451A93"/>
    <w:rsid w:val="00452D69"/>
    <w:rsid w:val="00453262"/>
    <w:rsid w:val="004535F7"/>
    <w:rsid w:val="0045394A"/>
    <w:rsid w:val="00453968"/>
    <w:rsid w:val="0045580E"/>
    <w:rsid w:val="00455AAC"/>
    <w:rsid w:val="0045619B"/>
    <w:rsid w:val="00456AC9"/>
    <w:rsid w:val="00457CDD"/>
    <w:rsid w:val="00457DA1"/>
    <w:rsid w:val="00460159"/>
    <w:rsid w:val="0046018D"/>
    <w:rsid w:val="0046084C"/>
    <w:rsid w:val="00460FB5"/>
    <w:rsid w:val="00462FC1"/>
    <w:rsid w:val="004634BE"/>
    <w:rsid w:val="00463518"/>
    <w:rsid w:val="004635D5"/>
    <w:rsid w:val="00463DC3"/>
    <w:rsid w:val="00464072"/>
    <w:rsid w:val="00464165"/>
    <w:rsid w:val="00465397"/>
    <w:rsid w:val="004654EE"/>
    <w:rsid w:val="00465879"/>
    <w:rsid w:val="00465AF7"/>
    <w:rsid w:val="004663F3"/>
    <w:rsid w:val="00466B3E"/>
    <w:rsid w:val="00466BB9"/>
    <w:rsid w:val="00466CE4"/>
    <w:rsid w:val="0046767E"/>
    <w:rsid w:val="00467FD9"/>
    <w:rsid w:val="0047006F"/>
    <w:rsid w:val="004700F2"/>
    <w:rsid w:val="00470217"/>
    <w:rsid w:val="00470930"/>
    <w:rsid w:val="00470B88"/>
    <w:rsid w:val="00471079"/>
    <w:rsid w:val="004716B1"/>
    <w:rsid w:val="004716FE"/>
    <w:rsid w:val="0047207C"/>
    <w:rsid w:val="00473428"/>
    <w:rsid w:val="00473B62"/>
    <w:rsid w:val="00473BB0"/>
    <w:rsid w:val="00473D4C"/>
    <w:rsid w:val="00474157"/>
    <w:rsid w:val="004745C2"/>
    <w:rsid w:val="0047488A"/>
    <w:rsid w:val="00475214"/>
    <w:rsid w:val="0047602C"/>
    <w:rsid w:val="004769EE"/>
    <w:rsid w:val="004770F4"/>
    <w:rsid w:val="004779CD"/>
    <w:rsid w:val="00477ABE"/>
    <w:rsid w:val="0048059A"/>
    <w:rsid w:val="0048068D"/>
    <w:rsid w:val="00480E83"/>
    <w:rsid w:val="004817D6"/>
    <w:rsid w:val="004820BD"/>
    <w:rsid w:val="00482BB9"/>
    <w:rsid w:val="00482FA0"/>
    <w:rsid w:val="0048309C"/>
    <w:rsid w:val="00484E24"/>
    <w:rsid w:val="0048565F"/>
    <w:rsid w:val="00485BF7"/>
    <w:rsid w:val="00485D0C"/>
    <w:rsid w:val="0048633E"/>
    <w:rsid w:val="00486963"/>
    <w:rsid w:val="00486CCE"/>
    <w:rsid w:val="00487058"/>
    <w:rsid w:val="004873AA"/>
    <w:rsid w:val="00487619"/>
    <w:rsid w:val="00487CBB"/>
    <w:rsid w:val="00490BCB"/>
    <w:rsid w:val="00491996"/>
    <w:rsid w:val="00492068"/>
    <w:rsid w:val="00493FFB"/>
    <w:rsid w:val="0049480C"/>
    <w:rsid w:val="004949F5"/>
    <w:rsid w:val="00494C5D"/>
    <w:rsid w:val="00494DFC"/>
    <w:rsid w:val="00495A49"/>
    <w:rsid w:val="00496305"/>
    <w:rsid w:val="004970A5"/>
    <w:rsid w:val="00497DD1"/>
    <w:rsid w:val="004A0222"/>
    <w:rsid w:val="004A0449"/>
    <w:rsid w:val="004A0677"/>
    <w:rsid w:val="004A0895"/>
    <w:rsid w:val="004A0BD0"/>
    <w:rsid w:val="004A10E5"/>
    <w:rsid w:val="004A16A8"/>
    <w:rsid w:val="004A1DAA"/>
    <w:rsid w:val="004A2D16"/>
    <w:rsid w:val="004A2E07"/>
    <w:rsid w:val="004A325B"/>
    <w:rsid w:val="004A41B3"/>
    <w:rsid w:val="004A46F1"/>
    <w:rsid w:val="004A57AC"/>
    <w:rsid w:val="004A5EEE"/>
    <w:rsid w:val="004A67CE"/>
    <w:rsid w:val="004A6885"/>
    <w:rsid w:val="004A6D52"/>
    <w:rsid w:val="004A6EB2"/>
    <w:rsid w:val="004A6EBA"/>
    <w:rsid w:val="004A6F6C"/>
    <w:rsid w:val="004A78DE"/>
    <w:rsid w:val="004B0566"/>
    <w:rsid w:val="004B09DA"/>
    <w:rsid w:val="004B0B1C"/>
    <w:rsid w:val="004B0DFF"/>
    <w:rsid w:val="004B12B9"/>
    <w:rsid w:val="004B153E"/>
    <w:rsid w:val="004B1D2C"/>
    <w:rsid w:val="004B1E82"/>
    <w:rsid w:val="004B2EC7"/>
    <w:rsid w:val="004B3008"/>
    <w:rsid w:val="004B3149"/>
    <w:rsid w:val="004B3884"/>
    <w:rsid w:val="004B3970"/>
    <w:rsid w:val="004B5A04"/>
    <w:rsid w:val="004B5F5F"/>
    <w:rsid w:val="004B60C7"/>
    <w:rsid w:val="004B6E90"/>
    <w:rsid w:val="004B7545"/>
    <w:rsid w:val="004B793B"/>
    <w:rsid w:val="004B7D30"/>
    <w:rsid w:val="004C0C9A"/>
    <w:rsid w:val="004C1006"/>
    <w:rsid w:val="004C116C"/>
    <w:rsid w:val="004C18F3"/>
    <w:rsid w:val="004C19E9"/>
    <w:rsid w:val="004C231E"/>
    <w:rsid w:val="004C250D"/>
    <w:rsid w:val="004C2E2C"/>
    <w:rsid w:val="004C3134"/>
    <w:rsid w:val="004C452D"/>
    <w:rsid w:val="004C6A8D"/>
    <w:rsid w:val="004C6EC8"/>
    <w:rsid w:val="004C70DB"/>
    <w:rsid w:val="004C70F6"/>
    <w:rsid w:val="004C7176"/>
    <w:rsid w:val="004C772D"/>
    <w:rsid w:val="004C7908"/>
    <w:rsid w:val="004D0032"/>
    <w:rsid w:val="004D0073"/>
    <w:rsid w:val="004D07BF"/>
    <w:rsid w:val="004D0AD2"/>
    <w:rsid w:val="004D1482"/>
    <w:rsid w:val="004D1969"/>
    <w:rsid w:val="004D1E23"/>
    <w:rsid w:val="004D216F"/>
    <w:rsid w:val="004D291B"/>
    <w:rsid w:val="004D3398"/>
    <w:rsid w:val="004D3465"/>
    <w:rsid w:val="004D3A20"/>
    <w:rsid w:val="004D41CA"/>
    <w:rsid w:val="004D46C0"/>
    <w:rsid w:val="004D4EEC"/>
    <w:rsid w:val="004D55DA"/>
    <w:rsid w:val="004D5612"/>
    <w:rsid w:val="004D571B"/>
    <w:rsid w:val="004D5F39"/>
    <w:rsid w:val="004D6BB1"/>
    <w:rsid w:val="004D7411"/>
    <w:rsid w:val="004D7427"/>
    <w:rsid w:val="004D7438"/>
    <w:rsid w:val="004D76BE"/>
    <w:rsid w:val="004E04FA"/>
    <w:rsid w:val="004E0B17"/>
    <w:rsid w:val="004E302E"/>
    <w:rsid w:val="004E3448"/>
    <w:rsid w:val="004E39A2"/>
    <w:rsid w:val="004E39C3"/>
    <w:rsid w:val="004E3EDE"/>
    <w:rsid w:val="004E3FFF"/>
    <w:rsid w:val="004E450F"/>
    <w:rsid w:val="004E51C3"/>
    <w:rsid w:val="004E553B"/>
    <w:rsid w:val="004E6622"/>
    <w:rsid w:val="004E71D2"/>
    <w:rsid w:val="004E7242"/>
    <w:rsid w:val="004F063A"/>
    <w:rsid w:val="004F1268"/>
    <w:rsid w:val="004F1771"/>
    <w:rsid w:val="004F1C1B"/>
    <w:rsid w:val="004F321A"/>
    <w:rsid w:val="004F34EC"/>
    <w:rsid w:val="004F4DF2"/>
    <w:rsid w:val="004F53E4"/>
    <w:rsid w:val="004F6582"/>
    <w:rsid w:val="005005CC"/>
    <w:rsid w:val="00500BC4"/>
    <w:rsid w:val="00500CC1"/>
    <w:rsid w:val="0050104E"/>
    <w:rsid w:val="0050128A"/>
    <w:rsid w:val="0050181A"/>
    <w:rsid w:val="00502DF0"/>
    <w:rsid w:val="00502EC6"/>
    <w:rsid w:val="0050342C"/>
    <w:rsid w:val="0050397D"/>
    <w:rsid w:val="00504048"/>
    <w:rsid w:val="005051BC"/>
    <w:rsid w:val="00505381"/>
    <w:rsid w:val="00505A62"/>
    <w:rsid w:val="00505B97"/>
    <w:rsid w:val="00505BEF"/>
    <w:rsid w:val="00505C7D"/>
    <w:rsid w:val="00505CD1"/>
    <w:rsid w:val="005066E8"/>
    <w:rsid w:val="005069DA"/>
    <w:rsid w:val="00506BA8"/>
    <w:rsid w:val="00506D99"/>
    <w:rsid w:val="00507BCD"/>
    <w:rsid w:val="005105CF"/>
    <w:rsid w:val="00510D2E"/>
    <w:rsid w:val="0051283D"/>
    <w:rsid w:val="00512934"/>
    <w:rsid w:val="00512B76"/>
    <w:rsid w:val="005130CF"/>
    <w:rsid w:val="005131A0"/>
    <w:rsid w:val="00513839"/>
    <w:rsid w:val="005141E2"/>
    <w:rsid w:val="00515136"/>
    <w:rsid w:val="005157FC"/>
    <w:rsid w:val="00516520"/>
    <w:rsid w:val="0051719D"/>
    <w:rsid w:val="00517679"/>
    <w:rsid w:val="00517B2F"/>
    <w:rsid w:val="005200B7"/>
    <w:rsid w:val="005201C9"/>
    <w:rsid w:val="0052037B"/>
    <w:rsid w:val="00520509"/>
    <w:rsid w:val="005205CD"/>
    <w:rsid w:val="00520A30"/>
    <w:rsid w:val="0052167E"/>
    <w:rsid w:val="0052172E"/>
    <w:rsid w:val="00521A72"/>
    <w:rsid w:val="00522614"/>
    <w:rsid w:val="00522AB9"/>
    <w:rsid w:val="00524DE1"/>
    <w:rsid w:val="005251E9"/>
    <w:rsid w:val="0052580A"/>
    <w:rsid w:val="00525DB6"/>
    <w:rsid w:val="005260BC"/>
    <w:rsid w:val="00526486"/>
    <w:rsid w:val="005267E7"/>
    <w:rsid w:val="00526EF0"/>
    <w:rsid w:val="00527900"/>
    <w:rsid w:val="00527F3C"/>
    <w:rsid w:val="00530038"/>
    <w:rsid w:val="0053168F"/>
    <w:rsid w:val="00531C9B"/>
    <w:rsid w:val="00532565"/>
    <w:rsid w:val="00532861"/>
    <w:rsid w:val="00532C28"/>
    <w:rsid w:val="00532C71"/>
    <w:rsid w:val="00535292"/>
    <w:rsid w:val="00535C63"/>
    <w:rsid w:val="00536344"/>
    <w:rsid w:val="00536604"/>
    <w:rsid w:val="00536B32"/>
    <w:rsid w:val="00536B49"/>
    <w:rsid w:val="005371C3"/>
    <w:rsid w:val="005376C3"/>
    <w:rsid w:val="00537B64"/>
    <w:rsid w:val="00537F00"/>
    <w:rsid w:val="00540446"/>
    <w:rsid w:val="0054066A"/>
    <w:rsid w:val="0054087B"/>
    <w:rsid w:val="005411C2"/>
    <w:rsid w:val="00541273"/>
    <w:rsid w:val="0054248E"/>
    <w:rsid w:val="00542E2B"/>
    <w:rsid w:val="00543292"/>
    <w:rsid w:val="005436E3"/>
    <w:rsid w:val="005438D5"/>
    <w:rsid w:val="00543D51"/>
    <w:rsid w:val="005441E8"/>
    <w:rsid w:val="0054443A"/>
    <w:rsid w:val="005446EE"/>
    <w:rsid w:val="00544FCF"/>
    <w:rsid w:val="005452CC"/>
    <w:rsid w:val="00545A5C"/>
    <w:rsid w:val="005462AE"/>
    <w:rsid w:val="00546457"/>
    <w:rsid w:val="005469DB"/>
    <w:rsid w:val="00547657"/>
    <w:rsid w:val="005476D5"/>
    <w:rsid w:val="0054788E"/>
    <w:rsid w:val="00547D02"/>
    <w:rsid w:val="00547D15"/>
    <w:rsid w:val="00547E8F"/>
    <w:rsid w:val="005502CB"/>
    <w:rsid w:val="00551604"/>
    <w:rsid w:val="00551607"/>
    <w:rsid w:val="00551944"/>
    <w:rsid w:val="005520ED"/>
    <w:rsid w:val="005520F0"/>
    <w:rsid w:val="00552143"/>
    <w:rsid w:val="00552774"/>
    <w:rsid w:val="00552A94"/>
    <w:rsid w:val="00553062"/>
    <w:rsid w:val="00553161"/>
    <w:rsid w:val="00553A61"/>
    <w:rsid w:val="00553BFA"/>
    <w:rsid w:val="005541CB"/>
    <w:rsid w:val="005543D0"/>
    <w:rsid w:val="005544F6"/>
    <w:rsid w:val="005545E0"/>
    <w:rsid w:val="0055590D"/>
    <w:rsid w:val="00555C79"/>
    <w:rsid w:val="00555CFB"/>
    <w:rsid w:val="00555D24"/>
    <w:rsid w:val="00555F82"/>
    <w:rsid w:val="005564A5"/>
    <w:rsid w:val="005565AC"/>
    <w:rsid w:val="00556642"/>
    <w:rsid w:val="005603A2"/>
    <w:rsid w:val="005605A2"/>
    <w:rsid w:val="00560DF5"/>
    <w:rsid w:val="00560E01"/>
    <w:rsid w:val="00561239"/>
    <w:rsid w:val="005628E1"/>
    <w:rsid w:val="00563977"/>
    <w:rsid w:val="00563B77"/>
    <w:rsid w:val="00563CF1"/>
    <w:rsid w:val="00563DE6"/>
    <w:rsid w:val="00565872"/>
    <w:rsid w:val="00565B7C"/>
    <w:rsid w:val="005667B1"/>
    <w:rsid w:val="005675EA"/>
    <w:rsid w:val="00567839"/>
    <w:rsid w:val="00567DD4"/>
    <w:rsid w:val="00570A02"/>
    <w:rsid w:val="0057277A"/>
    <w:rsid w:val="00572D41"/>
    <w:rsid w:val="0057315D"/>
    <w:rsid w:val="00573C25"/>
    <w:rsid w:val="005742C8"/>
    <w:rsid w:val="0057463A"/>
    <w:rsid w:val="00574D22"/>
    <w:rsid w:val="00575100"/>
    <w:rsid w:val="00575CA5"/>
    <w:rsid w:val="00576187"/>
    <w:rsid w:val="00577437"/>
    <w:rsid w:val="005775C0"/>
    <w:rsid w:val="0057778B"/>
    <w:rsid w:val="00580372"/>
    <w:rsid w:val="00580A7A"/>
    <w:rsid w:val="00580FC3"/>
    <w:rsid w:val="00581C53"/>
    <w:rsid w:val="005823DA"/>
    <w:rsid w:val="0058282B"/>
    <w:rsid w:val="00582D67"/>
    <w:rsid w:val="005835B2"/>
    <w:rsid w:val="00583A92"/>
    <w:rsid w:val="005842CC"/>
    <w:rsid w:val="005849DC"/>
    <w:rsid w:val="00584EA2"/>
    <w:rsid w:val="00585478"/>
    <w:rsid w:val="005862C9"/>
    <w:rsid w:val="00586D2F"/>
    <w:rsid w:val="005871D5"/>
    <w:rsid w:val="005872B7"/>
    <w:rsid w:val="00587809"/>
    <w:rsid w:val="00587D7A"/>
    <w:rsid w:val="00587D81"/>
    <w:rsid w:val="00587F80"/>
    <w:rsid w:val="00590141"/>
    <w:rsid w:val="005901E5"/>
    <w:rsid w:val="00591AD2"/>
    <w:rsid w:val="005922FD"/>
    <w:rsid w:val="005940D0"/>
    <w:rsid w:val="00594200"/>
    <w:rsid w:val="00594448"/>
    <w:rsid w:val="005945A7"/>
    <w:rsid w:val="005945F0"/>
    <w:rsid w:val="005949B1"/>
    <w:rsid w:val="00595613"/>
    <w:rsid w:val="005958FF"/>
    <w:rsid w:val="00596562"/>
    <w:rsid w:val="00596581"/>
    <w:rsid w:val="005967AA"/>
    <w:rsid w:val="00596A11"/>
    <w:rsid w:val="0059746A"/>
    <w:rsid w:val="00597FEF"/>
    <w:rsid w:val="005A02FE"/>
    <w:rsid w:val="005A03CB"/>
    <w:rsid w:val="005A080B"/>
    <w:rsid w:val="005A0E20"/>
    <w:rsid w:val="005A18BB"/>
    <w:rsid w:val="005A2BDC"/>
    <w:rsid w:val="005A2BDE"/>
    <w:rsid w:val="005A34F1"/>
    <w:rsid w:val="005A3C50"/>
    <w:rsid w:val="005A3CB9"/>
    <w:rsid w:val="005A3E87"/>
    <w:rsid w:val="005A400E"/>
    <w:rsid w:val="005A42CA"/>
    <w:rsid w:val="005A4BC3"/>
    <w:rsid w:val="005A5C9A"/>
    <w:rsid w:val="005B0296"/>
    <w:rsid w:val="005B1EC4"/>
    <w:rsid w:val="005B1F40"/>
    <w:rsid w:val="005B20DA"/>
    <w:rsid w:val="005B2572"/>
    <w:rsid w:val="005B3269"/>
    <w:rsid w:val="005B3394"/>
    <w:rsid w:val="005B3530"/>
    <w:rsid w:val="005B3712"/>
    <w:rsid w:val="005B3FC9"/>
    <w:rsid w:val="005B40E2"/>
    <w:rsid w:val="005B4909"/>
    <w:rsid w:val="005B4F00"/>
    <w:rsid w:val="005B593C"/>
    <w:rsid w:val="005B5AD5"/>
    <w:rsid w:val="005B5EC0"/>
    <w:rsid w:val="005B6548"/>
    <w:rsid w:val="005B6692"/>
    <w:rsid w:val="005B66C1"/>
    <w:rsid w:val="005B6977"/>
    <w:rsid w:val="005B6A9A"/>
    <w:rsid w:val="005B7F6E"/>
    <w:rsid w:val="005C08A5"/>
    <w:rsid w:val="005C10E9"/>
    <w:rsid w:val="005C1218"/>
    <w:rsid w:val="005C1524"/>
    <w:rsid w:val="005C278D"/>
    <w:rsid w:val="005C2C0F"/>
    <w:rsid w:val="005C2D0E"/>
    <w:rsid w:val="005C32B8"/>
    <w:rsid w:val="005C32C6"/>
    <w:rsid w:val="005C3715"/>
    <w:rsid w:val="005C48C2"/>
    <w:rsid w:val="005C5ACE"/>
    <w:rsid w:val="005C5B20"/>
    <w:rsid w:val="005C64F9"/>
    <w:rsid w:val="005C687E"/>
    <w:rsid w:val="005C7001"/>
    <w:rsid w:val="005C70A3"/>
    <w:rsid w:val="005C727B"/>
    <w:rsid w:val="005C737E"/>
    <w:rsid w:val="005C7C4F"/>
    <w:rsid w:val="005D063F"/>
    <w:rsid w:val="005D0FDE"/>
    <w:rsid w:val="005D1708"/>
    <w:rsid w:val="005D1E2C"/>
    <w:rsid w:val="005D2335"/>
    <w:rsid w:val="005D24EF"/>
    <w:rsid w:val="005D29BE"/>
    <w:rsid w:val="005D2A2A"/>
    <w:rsid w:val="005D31C1"/>
    <w:rsid w:val="005D34CB"/>
    <w:rsid w:val="005D577A"/>
    <w:rsid w:val="005D6CA0"/>
    <w:rsid w:val="005D6CAC"/>
    <w:rsid w:val="005D70C9"/>
    <w:rsid w:val="005D7520"/>
    <w:rsid w:val="005D7986"/>
    <w:rsid w:val="005E06AA"/>
    <w:rsid w:val="005E0A6D"/>
    <w:rsid w:val="005E1CBD"/>
    <w:rsid w:val="005E229D"/>
    <w:rsid w:val="005E37C7"/>
    <w:rsid w:val="005E3AD2"/>
    <w:rsid w:val="005E3BC2"/>
    <w:rsid w:val="005E3DBF"/>
    <w:rsid w:val="005E4210"/>
    <w:rsid w:val="005E4CD0"/>
    <w:rsid w:val="005E4DEC"/>
    <w:rsid w:val="005E5559"/>
    <w:rsid w:val="005E5BA9"/>
    <w:rsid w:val="005E6B8B"/>
    <w:rsid w:val="005E719C"/>
    <w:rsid w:val="005E7A12"/>
    <w:rsid w:val="005F0090"/>
    <w:rsid w:val="005F0912"/>
    <w:rsid w:val="005F09F0"/>
    <w:rsid w:val="005F0D4E"/>
    <w:rsid w:val="005F1B8C"/>
    <w:rsid w:val="005F1EBE"/>
    <w:rsid w:val="005F22A0"/>
    <w:rsid w:val="005F2B22"/>
    <w:rsid w:val="005F2CB3"/>
    <w:rsid w:val="005F35CE"/>
    <w:rsid w:val="005F4C8B"/>
    <w:rsid w:val="005F5440"/>
    <w:rsid w:val="005F66D1"/>
    <w:rsid w:val="005F6A9E"/>
    <w:rsid w:val="005F7209"/>
    <w:rsid w:val="005F7B98"/>
    <w:rsid w:val="00600FFB"/>
    <w:rsid w:val="00601301"/>
    <w:rsid w:val="006013A7"/>
    <w:rsid w:val="0060153B"/>
    <w:rsid w:val="00601A91"/>
    <w:rsid w:val="006032B6"/>
    <w:rsid w:val="00603472"/>
    <w:rsid w:val="00603D36"/>
    <w:rsid w:val="00604B3C"/>
    <w:rsid w:val="00604BA5"/>
    <w:rsid w:val="00605A3A"/>
    <w:rsid w:val="006068CD"/>
    <w:rsid w:val="00606A59"/>
    <w:rsid w:val="006070EE"/>
    <w:rsid w:val="00607E3F"/>
    <w:rsid w:val="006120BE"/>
    <w:rsid w:val="00612297"/>
    <w:rsid w:val="00612AF0"/>
    <w:rsid w:val="00612EE1"/>
    <w:rsid w:val="006131A0"/>
    <w:rsid w:val="006142C8"/>
    <w:rsid w:val="00614F4F"/>
    <w:rsid w:val="006150D5"/>
    <w:rsid w:val="006156C0"/>
    <w:rsid w:val="00615AAB"/>
    <w:rsid w:val="00616170"/>
    <w:rsid w:val="006168DC"/>
    <w:rsid w:val="00616F0D"/>
    <w:rsid w:val="0061765D"/>
    <w:rsid w:val="00620449"/>
    <w:rsid w:val="00620F9B"/>
    <w:rsid w:val="00621C12"/>
    <w:rsid w:val="00621DE7"/>
    <w:rsid w:val="0062276E"/>
    <w:rsid w:val="00622CED"/>
    <w:rsid w:val="00622F47"/>
    <w:rsid w:val="006231B0"/>
    <w:rsid w:val="00623D21"/>
    <w:rsid w:val="00623E45"/>
    <w:rsid w:val="00624030"/>
    <w:rsid w:val="006245E8"/>
    <w:rsid w:val="00625A4A"/>
    <w:rsid w:val="00625B19"/>
    <w:rsid w:val="00625CCA"/>
    <w:rsid w:val="00626993"/>
    <w:rsid w:val="00626EDC"/>
    <w:rsid w:val="006277EF"/>
    <w:rsid w:val="00630045"/>
    <w:rsid w:val="00630909"/>
    <w:rsid w:val="00630C03"/>
    <w:rsid w:val="00630C20"/>
    <w:rsid w:val="00630CFE"/>
    <w:rsid w:val="00630D6D"/>
    <w:rsid w:val="0063119B"/>
    <w:rsid w:val="006318B9"/>
    <w:rsid w:val="0063201E"/>
    <w:rsid w:val="006321C2"/>
    <w:rsid w:val="00632A36"/>
    <w:rsid w:val="00633763"/>
    <w:rsid w:val="00633C34"/>
    <w:rsid w:val="006347BF"/>
    <w:rsid w:val="00634C37"/>
    <w:rsid w:val="00634F15"/>
    <w:rsid w:val="0063576A"/>
    <w:rsid w:val="00635C77"/>
    <w:rsid w:val="00635D0B"/>
    <w:rsid w:val="00636CC5"/>
    <w:rsid w:val="00636DDA"/>
    <w:rsid w:val="00640161"/>
    <w:rsid w:val="0064075F"/>
    <w:rsid w:val="00641911"/>
    <w:rsid w:val="00642649"/>
    <w:rsid w:val="006430C1"/>
    <w:rsid w:val="006430FA"/>
    <w:rsid w:val="00643850"/>
    <w:rsid w:val="00643BEB"/>
    <w:rsid w:val="0064420B"/>
    <w:rsid w:val="006442BE"/>
    <w:rsid w:val="006445B7"/>
    <w:rsid w:val="00645CC0"/>
    <w:rsid w:val="00645F48"/>
    <w:rsid w:val="00647791"/>
    <w:rsid w:val="00647E36"/>
    <w:rsid w:val="00650070"/>
    <w:rsid w:val="006501C5"/>
    <w:rsid w:val="006506A4"/>
    <w:rsid w:val="00650A84"/>
    <w:rsid w:val="006515D9"/>
    <w:rsid w:val="0065165F"/>
    <w:rsid w:val="00651B15"/>
    <w:rsid w:val="00651B1A"/>
    <w:rsid w:val="00651C49"/>
    <w:rsid w:val="006520D0"/>
    <w:rsid w:val="00652498"/>
    <w:rsid w:val="00652B5D"/>
    <w:rsid w:val="006532D4"/>
    <w:rsid w:val="00653362"/>
    <w:rsid w:val="00653565"/>
    <w:rsid w:val="00653DC6"/>
    <w:rsid w:val="00654270"/>
    <w:rsid w:val="0065595D"/>
    <w:rsid w:val="00655F98"/>
    <w:rsid w:val="006560F0"/>
    <w:rsid w:val="0065620A"/>
    <w:rsid w:val="00657456"/>
    <w:rsid w:val="00657FD8"/>
    <w:rsid w:val="00660BEA"/>
    <w:rsid w:val="00661096"/>
    <w:rsid w:val="006610A1"/>
    <w:rsid w:val="006610D1"/>
    <w:rsid w:val="006616E5"/>
    <w:rsid w:val="00661A42"/>
    <w:rsid w:val="006625BB"/>
    <w:rsid w:val="00662844"/>
    <w:rsid w:val="00664B74"/>
    <w:rsid w:val="0066569C"/>
    <w:rsid w:val="006664F3"/>
    <w:rsid w:val="0066733D"/>
    <w:rsid w:val="006673EE"/>
    <w:rsid w:val="00667D87"/>
    <w:rsid w:val="00667DB0"/>
    <w:rsid w:val="00667E0D"/>
    <w:rsid w:val="00670023"/>
    <w:rsid w:val="006700E1"/>
    <w:rsid w:val="0067092F"/>
    <w:rsid w:val="00671136"/>
    <w:rsid w:val="00671478"/>
    <w:rsid w:val="00671993"/>
    <w:rsid w:val="00671AC4"/>
    <w:rsid w:val="0067216D"/>
    <w:rsid w:val="00672189"/>
    <w:rsid w:val="006722E1"/>
    <w:rsid w:val="00672317"/>
    <w:rsid w:val="0067269D"/>
    <w:rsid w:val="006732D2"/>
    <w:rsid w:val="00673366"/>
    <w:rsid w:val="0067353B"/>
    <w:rsid w:val="0067365C"/>
    <w:rsid w:val="00673BA3"/>
    <w:rsid w:val="00674FFC"/>
    <w:rsid w:val="00675DCB"/>
    <w:rsid w:val="0067741F"/>
    <w:rsid w:val="00680196"/>
    <w:rsid w:val="00680886"/>
    <w:rsid w:val="006808DA"/>
    <w:rsid w:val="00680B0E"/>
    <w:rsid w:val="0068125B"/>
    <w:rsid w:val="0068298D"/>
    <w:rsid w:val="00682A25"/>
    <w:rsid w:val="00682A3E"/>
    <w:rsid w:val="00682FAF"/>
    <w:rsid w:val="00683130"/>
    <w:rsid w:val="006836C0"/>
    <w:rsid w:val="006839DB"/>
    <w:rsid w:val="00683A0A"/>
    <w:rsid w:val="00683B86"/>
    <w:rsid w:val="00685541"/>
    <w:rsid w:val="006865B5"/>
    <w:rsid w:val="00686ED5"/>
    <w:rsid w:val="006903A0"/>
    <w:rsid w:val="00690A38"/>
    <w:rsid w:val="00690FFC"/>
    <w:rsid w:val="00692639"/>
    <w:rsid w:val="00692692"/>
    <w:rsid w:val="00692DDE"/>
    <w:rsid w:val="00692EA5"/>
    <w:rsid w:val="00693646"/>
    <w:rsid w:val="00693DED"/>
    <w:rsid w:val="006941A8"/>
    <w:rsid w:val="00694278"/>
    <w:rsid w:val="00694FD5"/>
    <w:rsid w:val="00695656"/>
    <w:rsid w:val="00695909"/>
    <w:rsid w:val="00695D5F"/>
    <w:rsid w:val="00696E1F"/>
    <w:rsid w:val="00696FED"/>
    <w:rsid w:val="00697653"/>
    <w:rsid w:val="006979A6"/>
    <w:rsid w:val="00697A58"/>
    <w:rsid w:val="006A096C"/>
    <w:rsid w:val="006A09EA"/>
    <w:rsid w:val="006A0DFC"/>
    <w:rsid w:val="006A17DB"/>
    <w:rsid w:val="006A1DA2"/>
    <w:rsid w:val="006A40A6"/>
    <w:rsid w:val="006A56EE"/>
    <w:rsid w:val="006A56F1"/>
    <w:rsid w:val="006A5850"/>
    <w:rsid w:val="006A5AB8"/>
    <w:rsid w:val="006A6A30"/>
    <w:rsid w:val="006A7B3C"/>
    <w:rsid w:val="006A7FAA"/>
    <w:rsid w:val="006B14CF"/>
    <w:rsid w:val="006B1C10"/>
    <w:rsid w:val="006B2524"/>
    <w:rsid w:val="006B2D47"/>
    <w:rsid w:val="006B2DC5"/>
    <w:rsid w:val="006B3180"/>
    <w:rsid w:val="006B37C8"/>
    <w:rsid w:val="006B4102"/>
    <w:rsid w:val="006B4715"/>
    <w:rsid w:val="006B50EF"/>
    <w:rsid w:val="006B5154"/>
    <w:rsid w:val="006B5E04"/>
    <w:rsid w:val="006B6D13"/>
    <w:rsid w:val="006B6D8A"/>
    <w:rsid w:val="006B6EE9"/>
    <w:rsid w:val="006B7687"/>
    <w:rsid w:val="006C074A"/>
    <w:rsid w:val="006C0DE6"/>
    <w:rsid w:val="006C0E52"/>
    <w:rsid w:val="006C1D21"/>
    <w:rsid w:val="006C1D98"/>
    <w:rsid w:val="006C1FB1"/>
    <w:rsid w:val="006C251C"/>
    <w:rsid w:val="006C3CD7"/>
    <w:rsid w:val="006C42AD"/>
    <w:rsid w:val="006C437E"/>
    <w:rsid w:val="006C4C6E"/>
    <w:rsid w:val="006C5601"/>
    <w:rsid w:val="006C5A8A"/>
    <w:rsid w:val="006C5FE3"/>
    <w:rsid w:val="006C6AD0"/>
    <w:rsid w:val="006D0287"/>
    <w:rsid w:val="006D03FA"/>
    <w:rsid w:val="006D12BB"/>
    <w:rsid w:val="006D13CD"/>
    <w:rsid w:val="006D1415"/>
    <w:rsid w:val="006D1A95"/>
    <w:rsid w:val="006D293F"/>
    <w:rsid w:val="006D350E"/>
    <w:rsid w:val="006D3580"/>
    <w:rsid w:val="006D3FA0"/>
    <w:rsid w:val="006D4085"/>
    <w:rsid w:val="006D4DB7"/>
    <w:rsid w:val="006D53DF"/>
    <w:rsid w:val="006D6105"/>
    <w:rsid w:val="006D6154"/>
    <w:rsid w:val="006D717E"/>
    <w:rsid w:val="006E122B"/>
    <w:rsid w:val="006E12D4"/>
    <w:rsid w:val="006E1DB3"/>
    <w:rsid w:val="006E2433"/>
    <w:rsid w:val="006E2625"/>
    <w:rsid w:val="006E3248"/>
    <w:rsid w:val="006E375F"/>
    <w:rsid w:val="006E4285"/>
    <w:rsid w:val="006E4FCE"/>
    <w:rsid w:val="006E56E3"/>
    <w:rsid w:val="006E5B3F"/>
    <w:rsid w:val="006E5EF5"/>
    <w:rsid w:val="006E65BA"/>
    <w:rsid w:val="006E69E8"/>
    <w:rsid w:val="006E75D7"/>
    <w:rsid w:val="006E79CE"/>
    <w:rsid w:val="006E7F3F"/>
    <w:rsid w:val="006F0001"/>
    <w:rsid w:val="006F03F4"/>
    <w:rsid w:val="006F0FA9"/>
    <w:rsid w:val="006F1C53"/>
    <w:rsid w:val="006F1C98"/>
    <w:rsid w:val="006F1CB6"/>
    <w:rsid w:val="006F23DF"/>
    <w:rsid w:val="006F29C3"/>
    <w:rsid w:val="006F2D88"/>
    <w:rsid w:val="006F3AE1"/>
    <w:rsid w:val="006F4736"/>
    <w:rsid w:val="006F4D5A"/>
    <w:rsid w:val="006F5033"/>
    <w:rsid w:val="006F541C"/>
    <w:rsid w:val="006F61F4"/>
    <w:rsid w:val="006F65A6"/>
    <w:rsid w:val="006F6690"/>
    <w:rsid w:val="006F760A"/>
    <w:rsid w:val="006F7C4A"/>
    <w:rsid w:val="006F7C53"/>
    <w:rsid w:val="00700370"/>
    <w:rsid w:val="007003CE"/>
    <w:rsid w:val="0070052A"/>
    <w:rsid w:val="00700634"/>
    <w:rsid w:val="00700F77"/>
    <w:rsid w:val="00700FF7"/>
    <w:rsid w:val="00702431"/>
    <w:rsid w:val="00702727"/>
    <w:rsid w:val="00702D2C"/>
    <w:rsid w:val="007036C7"/>
    <w:rsid w:val="00704283"/>
    <w:rsid w:val="00704FEC"/>
    <w:rsid w:val="007052C6"/>
    <w:rsid w:val="00705EC7"/>
    <w:rsid w:val="007061C5"/>
    <w:rsid w:val="0070715F"/>
    <w:rsid w:val="007073E9"/>
    <w:rsid w:val="00707671"/>
    <w:rsid w:val="0070778D"/>
    <w:rsid w:val="00707EBA"/>
    <w:rsid w:val="0071161F"/>
    <w:rsid w:val="00711949"/>
    <w:rsid w:val="00712A78"/>
    <w:rsid w:val="00713B5B"/>
    <w:rsid w:val="00713EDB"/>
    <w:rsid w:val="007141AC"/>
    <w:rsid w:val="00714C81"/>
    <w:rsid w:val="00715439"/>
    <w:rsid w:val="007158D8"/>
    <w:rsid w:val="00715A30"/>
    <w:rsid w:val="007204CA"/>
    <w:rsid w:val="0072087B"/>
    <w:rsid w:val="007214A2"/>
    <w:rsid w:val="00721C0D"/>
    <w:rsid w:val="0072307D"/>
    <w:rsid w:val="00723609"/>
    <w:rsid w:val="00723955"/>
    <w:rsid w:val="007239DF"/>
    <w:rsid w:val="00723D50"/>
    <w:rsid w:val="0072518E"/>
    <w:rsid w:val="00725D27"/>
    <w:rsid w:val="007273F2"/>
    <w:rsid w:val="00727AA2"/>
    <w:rsid w:val="00727B90"/>
    <w:rsid w:val="00730C71"/>
    <w:rsid w:val="00730DAC"/>
    <w:rsid w:val="0073107E"/>
    <w:rsid w:val="00732572"/>
    <w:rsid w:val="00732955"/>
    <w:rsid w:val="00732CB6"/>
    <w:rsid w:val="00732E07"/>
    <w:rsid w:val="00732E14"/>
    <w:rsid w:val="007338D4"/>
    <w:rsid w:val="00733C3B"/>
    <w:rsid w:val="0073466F"/>
    <w:rsid w:val="00734DAE"/>
    <w:rsid w:val="007358C4"/>
    <w:rsid w:val="00735CA1"/>
    <w:rsid w:val="00736172"/>
    <w:rsid w:val="00736ED3"/>
    <w:rsid w:val="007370AE"/>
    <w:rsid w:val="00737E6A"/>
    <w:rsid w:val="00740BE3"/>
    <w:rsid w:val="00740F85"/>
    <w:rsid w:val="00741193"/>
    <w:rsid w:val="00741273"/>
    <w:rsid w:val="00741C49"/>
    <w:rsid w:val="007429A1"/>
    <w:rsid w:val="00742E6D"/>
    <w:rsid w:val="007430C9"/>
    <w:rsid w:val="0074317F"/>
    <w:rsid w:val="00743A40"/>
    <w:rsid w:val="00743F8E"/>
    <w:rsid w:val="007446D6"/>
    <w:rsid w:val="00744B46"/>
    <w:rsid w:val="00745039"/>
    <w:rsid w:val="00745DBF"/>
    <w:rsid w:val="0074706B"/>
    <w:rsid w:val="007470FA"/>
    <w:rsid w:val="007474FE"/>
    <w:rsid w:val="007476B5"/>
    <w:rsid w:val="00750473"/>
    <w:rsid w:val="00750603"/>
    <w:rsid w:val="00750790"/>
    <w:rsid w:val="00751551"/>
    <w:rsid w:val="00751BE0"/>
    <w:rsid w:val="00752ABE"/>
    <w:rsid w:val="00753B95"/>
    <w:rsid w:val="007568F6"/>
    <w:rsid w:val="00757438"/>
    <w:rsid w:val="007576BA"/>
    <w:rsid w:val="00757E7F"/>
    <w:rsid w:val="0076002F"/>
    <w:rsid w:val="00760ACC"/>
    <w:rsid w:val="00762190"/>
    <w:rsid w:val="0076227F"/>
    <w:rsid w:val="007631AD"/>
    <w:rsid w:val="00763433"/>
    <w:rsid w:val="00763771"/>
    <w:rsid w:val="007642C2"/>
    <w:rsid w:val="00765A3E"/>
    <w:rsid w:val="0076752A"/>
    <w:rsid w:val="0076765C"/>
    <w:rsid w:val="00767978"/>
    <w:rsid w:val="00770197"/>
    <w:rsid w:val="00770282"/>
    <w:rsid w:val="007705C0"/>
    <w:rsid w:val="00771A9D"/>
    <w:rsid w:val="007720A4"/>
    <w:rsid w:val="0077262F"/>
    <w:rsid w:val="00773010"/>
    <w:rsid w:val="00773149"/>
    <w:rsid w:val="00773513"/>
    <w:rsid w:val="007748A7"/>
    <w:rsid w:val="007750E6"/>
    <w:rsid w:val="007759A0"/>
    <w:rsid w:val="007759DF"/>
    <w:rsid w:val="00775A33"/>
    <w:rsid w:val="00775A34"/>
    <w:rsid w:val="0077608C"/>
    <w:rsid w:val="007764E7"/>
    <w:rsid w:val="00777033"/>
    <w:rsid w:val="00777DE5"/>
    <w:rsid w:val="00780322"/>
    <w:rsid w:val="00780BF7"/>
    <w:rsid w:val="00780CA6"/>
    <w:rsid w:val="00781403"/>
    <w:rsid w:val="007816DD"/>
    <w:rsid w:val="00781718"/>
    <w:rsid w:val="00782A03"/>
    <w:rsid w:val="00783171"/>
    <w:rsid w:val="007832F2"/>
    <w:rsid w:val="00783540"/>
    <w:rsid w:val="0078358A"/>
    <w:rsid w:val="0078416F"/>
    <w:rsid w:val="0078435D"/>
    <w:rsid w:val="007847F5"/>
    <w:rsid w:val="00784BB8"/>
    <w:rsid w:val="00784CE9"/>
    <w:rsid w:val="007855C4"/>
    <w:rsid w:val="007856D4"/>
    <w:rsid w:val="007859B2"/>
    <w:rsid w:val="00785A3A"/>
    <w:rsid w:val="00786529"/>
    <w:rsid w:val="0078672A"/>
    <w:rsid w:val="00786B5A"/>
    <w:rsid w:val="0078780E"/>
    <w:rsid w:val="00787F89"/>
    <w:rsid w:val="00790F16"/>
    <w:rsid w:val="00791098"/>
    <w:rsid w:val="007912CD"/>
    <w:rsid w:val="007912E0"/>
    <w:rsid w:val="0079132A"/>
    <w:rsid w:val="00791522"/>
    <w:rsid w:val="00791E83"/>
    <w:rsid w:val="00791FB5"/>
    <w:rsid w:val="00793526"/>
    <w:rsid w:val="00793A37"/>
    <w:rsid w:val="0079407C"/>
    <w:rsid w:val="00794BF9"/>
    <w:rsid w:val="00794DA1"/>
    <w:rsid w:val="00795F60"/>
    <w:rsid w:val="00796641"/>
    <w:rsid w:val="007A0727"/>
    <w:rsid w:val="007A0EBB"/>
    <w:rsid w:val="007A1C4A"/>
    <w:rsid w:val="007A1FE9"/>
    <w:rsid w:val="007A29F1"/>
    <w:rsid w:val="007A2BBF"/>
    <w:rsid w:val="007A3A0B"/>
    <w:rsid w:val="007A3BAB"/>
    <w:rsid w:val="007A4310"/>
    <w:rsid w:val="007A4AAB"/>
    <w:rsid w:val="007A4C51"/>
    <w:rsid w:val="007A4C81"/>
    <w:rsid w:val="007A5161"/>
    <w:rsid w:val="007A53AE"/>
    <w:rsid w:val="007A5982"/>
    <w:rsid w:val="007A5BDD"/>
    <w:rsid w:val="007A650B"/>
    <w:rsid w:val="007A7626"/>
    <w:rsid w:val="007A7B85"/>
    <w:rsid w:val="007B0BC6"/>
    <w:rsid w:val="007B1679"/>
    <w:rsid w:val="007B1B7F"/>
    <w:rsid w:val="007B236D"/>
    <w:rsid w:val="007B23AB"/>
    <w:rsid w:val="007B246F"/>
    <w:rsid w:val="007B34E4"/>
    <w:rsid w:val="007B3A62"/>
    <w:rsid w:val="007B3BB7"/>
    <w:rsid w:val="007B4CC4"/>
    <w:rsid w:val="007B4D5E"/>
    <w:rsid w:val="007B4F17"/>
    <w:rsid w:val="007B5281"/>
    <w:rsid w:val="007B54D9"/>
    <w:rsid w:val="007B5508"/>
    <w:rsid w:val="007B66D0"/>
    <w:rsid w:val="007C0300"/>
    <w:rsid w:val="007C0871"/>
    <w:rsid w:val="007C08E0"/>
    <w:rsid w:val="007C08EA"/>
    <w:rsid w:val="007C13C2"/>
    <w:rsid w:val="007C16A7"/>
    <w:rsid w:val="007C1ED2"/>
    <w:rsid w:val="007C200C"/>
    <w:rsid w:val="007C264C"/>
    <w:rsid w:val="007C2808"/>
    <w:rsid w:val="007C2E42"/>
    <w:rsid w:val="007C454A"/>
    <w:rsid w:val="007C53C6"/>
    <w:rsid w:val="007C5739"/>
    <w:rsid w:val="007C5E52"/>
    <w:rsid w:val="007C6665"/>
    <w:rsid w:val="007C680F"/>
    <w:rsid w:val="007C688B"/>
    <w:rsid w:val="007C712E"/>
    <w:rsid w:val="007C771C"/>
    <w:rsid w:val="007C77F0"/>
    <w:rsid w:val="007C7B0A"/>
    <w:rsid w:val="007C7C65"/>
    <w:rsid w:val="007C7EA0"/>
    <w:rsid w:val="007D0114"/>
    <w:rsid w:val="007D0333"/>
    <w:rsid w:val="007D052B"/>
    <w:rsid w:val="007D07C1"/>
    <w:rsid w:val="007D0AFC"/>
    <w:rsid w:val="007D1879"/>
    <w:rsid w:val="007D18F8"/>
    <w:rsid w:val="007D2CDA"/>
    <w:rsid w:val="007D2F4B"/>
    <w:rsid w:val="007D2FFA"/>
    <w:rsid w:val="007D31EF"/>
    <w:rsid w:val="007D350E"/>
    <w:rsid w:val="007D36E6"/>
    <w:rsid w:val="007D3719"/>
    <w:rsid w:val="007D372D"/>
    <w:rsid w:val="007D3804"/>
    <w:rsid w:val="007D3F5E"/>
    <w:rsid w:val="007D4953"/>
    <w:rsid w:val="007D625B"/>
    <w:rsid w:val="007D6513"/>
    <w:rsid w:val="007D6C2F"/>
    <w:rsid w:val="007D7026"/>
    <w:rsid w:val="007D704E"/>
    <w:rsid w:val="007D7B6A"/>
    <w:rsid w:val="007E1AD9"/>
    <w:rsid w:val="007E1C7A"/>
    <w:rsid w:val="007E25E4"/>
    <w:rsid w:val="007E2ECA"/>
    <w:rsid w:val="007E31C6"/>
    <w:rsid w:val="007E34BD"/>
    <w:rsid w:val="007E34E0"/>
    <w:rsid w:val="007E3635"/>
    <w:rsid w:val="007E3908"/>
    <w:rsid w:val="007E460C"/>
    <w:rsid w:val="007E4D3B"/>
    <w:rsid w:val="007E573C"/>
    <w:rsid w:val="007E5AD6"/>
    <w:rsid w:val="007E6212"/>
    <w:rsid w:val="007E6316"/>
    <w:rsid w:val="007E7462"/>
    <w:rsid w:val="007F094D"/>
    <w:rsid w:val="007F0E32"/>
    <w:rsid w:val="007F10FA"/>
    <w:rsid w:val="007F142D"/>
    <w:rsid w:val="007F1C39"/>
    <w:rsid w:val="007F22DA"/>
    <w:rsid w:val="007F273C"/>
    <w:rsid w:val="007F3A19"/>
    <w:rsid w:val="007F3C87"/>
    <w:rsid w:val="007F3F57"/>
    <w:rsid w:val="007F4AD5"/>
    <w:rsid w:val="007F5402"/>
    <w:rsid w:val="007F5C8F"/>
    <w:rsid w:val="007F6C16"/>
    <w:rsid w:val="007F70E9"/>
    <w:rsid w:val="007F7330"/>
    <w:rsid w:val="007F7752"/>
    <w:rsid w:val="007F7964"/>
    <w:rsid w:val="007F7D59"/>
    <w:rsid w:val="00800827"/>
    <w:rsid w:val="0080092D"/>
    <w:rsid w:val="00800985"/>
    <w:rsid w:val="008013E1"/>
    <w:rsid w:val="008017F9"/>
    <w:rsid w:val="00801991"/>
    <w:rsid w:val="00801CBA"/>
    <w:rsid w:val="00802663"/>
    <w:rsid w:val="00802825"/>
    <w:rsid w:val="008028B5"/>
    <w:rsid w:val="00802A08"/>
    <w:rsid w:val="00803D90"/>
    <w:rsid w:val="00804D75"/>
    <w:rsid w:val="0080503B"/>
    <w:rsid w:val="0080511E"/>
    <w:rsid w:val="008051A0"/>
    <w:rsid w:val="00805E0F"/>
    <w:rsid w:val="008061D8"/>
    <w:rsid w:val="0080649E"/>
    <w:rsid w:val="00806A3A"/>
    <w:rsid w:val="008070F0"/>
    <w:rsid w:val="0080733F"/>
    <w:rsid w:val="00807B7F"/>
    <w:rsid w:val="00807CCF"/>
    <w:rsid w:val="0081068D"/>
    <w:rsid w:val="00810D69"/>
    <w:rsid w:val="00810EC8"/>
    <w:rsid w:val="00811C63"/>
    <w:rsid w:val="00812B16"/>
    <w:rsid w:val="00812B72"/>
    <w:rsid w:val="00812C0B"/>
    <w:rsid w:val="00812EF9"/>
    <w:rsid w:val="008130E6"/>
    <w:rsid w:val="00813839"/>
    <w:rsid w:val="00814298"/>
    <w:rsid w:val="00814954"/>
    <w:rsid w:val="00815301"/>
    <w:rsid w:val="008159AD"/>
    <w:rsid w:val="00815CFD"/>
    <w:rsid w:val="00816028"/>
    <w:rsid w:val="0081627C"/>
    <w:rsid w:val="00816A98"/>
    <w:rsid w:val="00816B4C"/>
    <w:rsid w:val="008170B2"/>
    <w:rsid w:val="00817180"/>
    <w:rsid w:val="008174D0"/>
    <w:rsid w:val="00817F12"/>
    <w:rsid w:val="008205C7"/>
    <w:rsid w:val="008206EF"/>
    <w:rsid w:val="00821726"/>
    <w:rsid w:val="00821A05"/>
    <w:rsid w:val="00821D40"/>
    <w:rsid w:val="008221D1"/>
    <w:rsid w:val="0082242B"/>
    <w:rsid w:val="008225E1"/>
    <w:rsid w:val="00822D9C"/>
    <w:rsid w:val="00822F09"/>
    <w:rsid w:val="00824856"/>
    <w:rsid w:val="008260D8"/>
    <w:rsid w:val="008271B0"/>
    <w:rsid w:val="008309CF"/>
    <w:rsid w:val="0083152B"/>
    <w:rsid w:val="00831AFE"/>
    <w:rsid w:val="00831E73"/>
    <w:rsid w:val="008324D9"/>
    <w:rsid w:val="008327AF"/>
    <w:rsid w:val="00832B71"/>
    <w:rsid w:val="00832C64"/>
    <w:rsid w:val="00832F58"/>
    <w:rsid w:val="0083314D"/>
    <w:rsid w:val="0083341E"/>
    <w:rsid w:val="00833551"/>
    <w:rsid w:val="00833733"/>
    <w:rsid w:val="00833862"/>
    <w:rsid w:val="00833AE3"/>
    <w:rsid w:val="00834420"/>
    <w:rsid w:val="008355B9"/>
    <w:rsid w:val="00835A10"/>
    <w:rsid w:val="00835DA0"/>
    <w:rsid w:val="0083677B"/>
    <w:rsid w:val="00837CCF"/>
    <w:rsid w:val="008405E8"/>
    <w:rsid w:val="00840612"/>
    <w:rsid w:val="008418F5"/>
    <w:rsid w:val="008421BF"/>
    <w:rsid w:val="008425E6"/>
    <w:rsid w:val="008430F7"/>
    <w:rsid w:val="00843485"/>
    <w:rsid w:val="008436C6"/>
    <w:rsid w:val="00843710"/>
    <w:rsid w:val="008437CD"/>
    <w:rsid w:val="008437DE"/>
    <w:rsid w:val="00844251"/>
    <w:rsid w:val="00844CCB"/>
    <w:rsid w:val="0084532E"/>
    <w:rsid w:val="008454A1"/>
    <w:rsid w:val="00845886"/>
    <w:rsid w:val="00845F56"/>
    <w:rsid w:val="00846453"/>
    <w:rsid w:val="008468DE"/>
    <w:rsid w:val="00846BEF"/>
    <w:rsid w:val="00846DB1"/>
    <w:rsid w:val="00846F33"/>
    <w:rsid w:val="00847407"/>
    <w:rsid w:val="0084744A"/>
    <w:rsid w:val="008474F9"/>
    <w:rsid w:val="00850021"/>
    <w:rsid w:val="0085028C"/>
    <w:rsid w:val="00851B0E"/>
    <w:rsid w:val="0085251B"/>
    <w:rsid w:val="008535C6"/>
    <w:rsid w:val="008555BF"/>
    <w:rsid w:val="0085705E"/>
    <w:rsid w:val="008572F2"/>
    <w:rsid w:val="00857711"/>
    <w:rsid w:val="00857A79"/>
    <w:rsid w:val="00857B36"/>
    <w:rsid w:val="00860062"/>
    <w:rsid w:val="00860172"/>
    <w:rsid w:val="00861B4C"/>
    <w:rsid w:val="00862243"/>
    <w:rsid w:val="00863214"/>
    <w:rsid w:val="008637A4"/>
    <w:rsid w:val="00865038"/>
    <w:rsid w:val="00866084"/>
    <w:rsid w:val="0086624A"/>
    <w:rsid w:val="00866CFD"/>
    <w:rsid w:val="008675C9"/>
    <w:rsid w:val="00870C09"/>
    <w:rsid w:val="00870E11"/>
    <w:rsid w:val="0087111A"/>
    <w:rsid w:val="008718E6"/>
    <w:rsid w:val="00872417"/>
    <w:rsid w:val="00872936"/>
    <w:rsid w:val="0087293D"/>
    <w:rsid w:val="00872A78"/>
    <w:rsid w:val="00872B79"/>
    <w:rsid w:val="0087342E"/>
    <w:rsid w:val="00873C42"/>
    <w:rsid w:val="00873EA2"/>
    <w:rsid w:val="008744BE"/>
    <w:rsid w:val="0087508B"/>
    <w:rsid w:val="00875DE3"/>
    <w:rsid w:val="00875F82"/>
    <w:rsid w:val="00876582"/>
    <w:rsid w:val="00877EE6"/>
    <w:rsid w:val="00877F1A"/>
    <w:rsid w:val="008803F3"/>
    <w:rsid w:val="00880654"/>
    <w:rsid w:val="0088126A"/>
    <w:rsid w:val="00881806"/>
    <w:rsid w:val="008818D1"/>
    <w:rsid w:val="00881FFF"/>
    <w:rsid w:val="0088380C"/>
    <w:rsid w:val="008843EB"/>
    <w:rsid w:val="0088478A"/>
    <w:rsid w:val="008851E2"/>
    <w:rsid w:val="00885476"/>
    <w:rsid w:val="00885B13"/>
    <w:rsid w:val="008864B0"/>
    <w:rsid w:val="00886A51"/>
    <w:rsid w:val="00886A81"/>
    <w:rsid w:val="00886B98"/>
    <w:rsid w:val="00887F23"/>
    <w:rsid w:val="008905B0"/>
    <w:rsid w:val="00891532"/>
    <w:rsid w:val="00891798"/>
    <w:rsid w:val="00891863"/>
    <w:rsid w:val="008925DE"/>
    <w:rsid w:val="00892E5F"/>
    <w:rsid w:val="00892ED3"/>
    <w:rsid w:val="00892FFC"/>
    <w:rsid w:val="00893018"/>
    <w:rsid w:val="008935C2"/>
    <w:rsid w:val="00893F11"/>
    <w:rsid w:val="00894470"/>
    <w:rsid w:val="008944C5"/>
    <w:rsid w:val="0089497F"/>
    <w:rsid w:val="00895D0D"/>
    <w:rsid w:val="00896077"/>
    <w:rsid w:val="00896662"/>
    <w:rsid w:val="0089667D"/>
    <w:rsid w:val="00896A18"/>
    <w:rsid w:val="00896A73"/>
    <w:rsid w:val="00896C4F"/>
    <w:rsid w:val="0089763A"/>
    <w:rsid w:val="00897D8D"/>
    <w:rsid w:val="008A003F"/>
    <w:rsid w:val="008A07EC"/>
    <w:rsid w:val="008A1444"/>
    <w:rsid w:val="008A16D4"/>
    <w:rsid w:val="008A24FE"/>
    <w:rsid w:val="008A26CD"/>
    <w:rsid w:val="008A34C6"/>
    <w:rsid w:val="008A3E93"/>
    <w:rsid w:val="008A4E27"/>
    <w:rsid w:val="008A548B"/>
    <w:rsid w:val="008A5AA1"/>
    <w:rsid w:val="008A5AC1"/>
    <w:rsid w:val="008A7295"/>
    <w:rsid w:val="008A78B0"/>
    <w:rsid w:val="008B045E"/>
    <w:rsid w:val="008B07BF"/>
    <w:rsid w:val="008B1147"/>
    <w:rsid w:val="008B11F8"/>
    <w:rsid w:val="008B22EC"/>
    <w:rsid w:val="008B27A6"/>
    <w:rsid w:val="008B28F4"/>
    <w:rsid w:val="008B2E07"/>
    <w:rsid w:val="008B2E2A"/>
    <w:rsid w:val="008B4A8B"/>
    <w:rsid w:val="008B4A9A"/>
    <w:rsid w:val="008B562A"/>
    <w:rsid w:val="008B5701"/>
    <w:rsid w:val="008B5787"/>
    <w:rsid w:val="008B58E5"/>
    <w:rsid w:val="008B5BA4"/>
    <w:rsid w:val="008B61EF"/>
    <w:rsid w:val="008B642D"/>
    <w:rsid w:val="008B6810"/>
    <w:rsid w:val="008B7B7A"/>
    <w:rsid w:val="008B7D52"/>
    <w:rsid w:val="008B7D76"/>
    <w:rsid w:val="008C00B3"/>
    <w:rsid w:val="008C0AA4"/>
    <w:rsid w:val="008C0C24"/>
    <w:rsid w:val="008C0DF4"/>
    <w:rsid w:val="008C1101"/>
    <w:rsid w:val="008C222D"/>
    <w:rsid w:val="008C22F4"/>
    <w:rsid w:val="008C24DF"/>
    <w:rsid w:val="008C2701"/>
    <w:rsid w:val="008C2C9A"/>
    <w:rsid w:val="008C3228"/>
    <w:rsid w:val="008C36E1"/>
    <w:rsid w:val="008C412A"/>
    <w:rsid w:val="008C46DC"/>
    <w:rsid w:val="008C530B"/>
    <w:rsid w:val="008C5580"/>
    <w:rsid w:val="008C59FC"/>
    <w:rsid w:val="008C6623"/>
    <w:rsid w:val="008C6A3F"/>
    <w:rsid w:val="008C6D33"/>
    <w:rsid w:val="008C6E1F"/>
    <w:rsid w:val="008C764D"/>
    <w:rsid w:val="008D00AA"/>
    <w:rsid w:val="008D073D"/>
    <w:rsid w:val="008D09ED"/>
    <w:rsid w:val="008D0A3B"/>
    <w:rsid w:val="008D0EA0"/>
    <w:rsid w:val="008D135C"/>
    <w:rsid w:val="008D1B65"/>
    <w:rsid w:val="008D1F73"/>
    <w:rsid w:val="008D2212"/>
    <w:rsid w:val="008D24CE"/>
    <w:rsid w:val="008D276D"/>
    <w:rsid w:val="008D2A0B"/>
    <w:rsid w:val="008D2FC3"/>
    <w:rsid w:val="008D3C7B"/>
    <w:rsid w:val="008D3FBF"/>
    <w:rsid w:val="008D4266"/>
    <w:rsid w:val="008D4541"/>
    <w:rsid w:val="008D45B6"/>
    <w:rsid w:val="008D51E2"/>
    <w:rsid w:val="008D6A70"/>
    <w:rsid w:val="008D6B1B"/>
    <w:rsid w:val="008D7ADD"/>
    <w:rsid w:val="008E10CC"/>
    <w:rsid w:val="008E1179"/>
    <w:rsid w:val="008E15A2"/>
    <w:rsid w:val="008E16C7"/>
    <w:rsid w:val="008E188F"/>
    <w:rsid w:val="008E198C"/>
    <w:rsid w:val="008E2CE7"/>
    <w:rsid w:val="008E2ED2"/>
    <w:rsid w:val="008E32C2"/>
    <w:rsid w:val="008E3FB4"/>
    <w:rsid w:val="008E41FE"/>
    <w:rsid w:val="008E43D4"/>
    <w:rsid w:val="008E47D1"/>
    <w:rsid w:val="008E4927"/>
    <w:rsid w:val="008E4B02"/>
    <w:rsid w:val="008E51D7"/>
    <w:rsid w:val="008E5BE6"/>
    <w:rsid w:val="008E653B"/>
    <w:rsid w:val="008E68D7"/>
    <w:rsid w:val="008E6D6E"/>
    <w:rsid w:val="008E6FF4"/>
    <w:rsid w:val="008E7136"/>
    <w:rsid w:val="008E71E9"/>
    <w:rsid w:val="008F04C2"/>
    <w:rsid w:val="008F08B4"/>
    <w:rsid w:val="008F10FA"/>
    <w:rsid w:val="008F14D0"/>
    <w:rsid w:val="008F1896"/>
    <w:rsid w:val="008F1A59"/>
    <w:rsid w:val="008F1BF9"/>
    <w:rsid w:val="008F2345"/>
    <w:rsid w:val="008F38AB"/>
    <w:rsid w:val="008F4027"/>
    <w:rsid w:val="008F51A0"/>
    <w:rsid w:val="008F56F8"/>
    <w:rsid w:val="008F620D"/>
    <w:rsid w:val="008F62FC"/>
    <w:rsid w:val="008F68B6"/>
    <w:rsid w:val="008F6B38"/>
    <w:rsid w:val="008F6C89"/>
    <w:rsid w:val="008F723C"/>
    <w:rsid w:val="008F74A8"/>
    <w:rsid w:val="008F74E4"/>
    <w:rsid w:val="008F77E2"/>
    <w:rsid w:val="009003FC"/>
    <w:rsid w:val="00900454"/>
    <w:rsid w:val="009011D5"/>
    <w:rsid w:val="009013EC"/>
    <w:rsid w:val="00901BE9"/>
    <w:rsid w:val="00901C5A"/>
    <w:rsid w:val="009021E9"/>
    <w:rsid w:val="0090270D"/>
    <w:rsid w:val="00903B1A"/>
    <w:rsid w:val="0090499D"/>
    <w:rsid w:val="00904A0C"/>
    <w:rsid w:val="009054B0"/>
    <w:rsid w:val="009054D8"/>
    <w:rsid w:val="009062C4"/>
    <w:rsid w:val="00906D04"/>
    <w:rsid w:val="00906D5A"/>
    <w:rsid w:val="00907454"/>
    <w:rsid w:val="00907EF4"/>
    <w:rsid w:val="00907F49"/>
    <w:rsid w:val="009106C5"/>
    <w:rsid w:val="0091080B"/>
    <w:rsid w:val="00910BAF"/>
    <w:rsid w:val="00910E6F"/>
    <w:rsid w:val="00911B7D"/>
    <w:rsid w:val="00912070"/>
    <w:rsid w:val="009125CA"/>
    <w:rsid w:val="00912675"/>
    <w:rsid w:val="009138A3"/>
    <w:rsid w:val="00913A11"/>
    <w:rsid w:val="00914090"/>
    <w:rsid w:val="009150AD"/>
    <w:rsid w:val="0091567B"/>
    <w:rsid w:val="00915EAD"/>
    <w:rsid w:val="00916B66"/>
    <w:rsid w:val="00916D54"/>
    <w:rsid w:val="00916FE5"/>
    <w:rsid w:val="0091792C"/>
    <w:rsid w:val="00917985"/>
    <w:rsid w:val="00920018"/>
    <w:rsid w:val="00920B0B"/>
    <w:rsid w:val="009211FF"/>
    <w:rsid w:val="009219F8"/>
    <w:rsid w:val="00922CA9"/>
    <w:rsid w:val="00922FE5"/>
    <w:rsid w:val="009231D7"/>
    <w:rsid w:val="009233AF"/>
    <w:rsid w:val="00923B70"/>
    <w:rsid w:val="00923D7C"/>
    <w:rsid w:val="00924A2F"/>
    <w:rsid w:val="00925338"/>
    <w:rsid w:val="009255BD"/>
    <w:rsid w:val="00925E97"/>
    <w:rsid w:val="00927120"/>
    <w:rsid w:val="00930105"/>
    <w:rsid w:val="00930648"/>
    <w:rsid w:val="0093067A"/>
    <w:rsid w:val="0093084D"/>
    <w:rsid w:val="00931062"/>
    <w:rsid w:val="00931B1B"/>
    <w:rsid w:val="00932997"/>
    <w:rsid w:val="00932BDD"/>
    <w:rsid w:val="0093301A"/>
    <w:rsid w:val="0093349E"/>
    <w:rsid w:val="00933881"/>
    <w:rsid w:val="00933CB4"/>
    <w:rsid w:val="00933DCE"/>
    <w:rsid w:val="00933DE3"/>
    <w:rsid w:val="00934707"/>
    <w:rsid w:val="0093647C"/>
    <w:rsid w:val="0093682C"/>
    <w:rsid w:val="009373AF"/>
    <w:rsid w:val="00937C51"/>
    <w:rsid w:val="00940D4E"/>
    <w:rsid w:val="0094158B"/>
    <w:rsid w:val="00941AB4"/>
    <w:rsid w:val="0094230C"/>
    <w:rsid w:val="00942BBE"/>
    <w:rsid w:val="009432C3"/>
    <w:rsid w:val="0094378D"/>
    <w:rsid w:val="00943E7F"/>
    <w:rsid w:val="0094428C"/>
    <w:rsid w:val="00944AB3"/>
    <w:rsid w:val="0094549A"/>
    <w:rsid w:val="009462F7"/>
    <w:rsid w:val="009464D9"/>
    <w:rsid w:val="009466AE"/>
    <w:rsid w:val="009469A1"/>
    <w:rsid w:val="00950158"/>
    <w:rsid w:val="009501B5"/>
    <w:rsid w:val="009505E0"/>
    <w:rsid w:val="009506BC"/>
    <w:rsid w:val="00950A79"/>
    <w:rsid w:val="00950EFD"/>
    <w:rsid w:val="00951E6E"/>
    <w:rsid w:val="0095217B"/>
    <w:rsid w:val="00953058"/>
    <w:rsid w:val="00953632"/>
    <w:rsid w:val="00954813"/>
    <w:rsid w:val="00955861"/>
    <w:rsid w:val="00955EA4"/>
    <w:rsid w:val="00956DFD"/>
    <w:rsid w:val="00957AA8"/>
    <w:rsid w:val="00957B49"/>
    <w:rsid w:val="00957DC5"/>
    <w:rsid w:val="00960510"/>
    <w:rsid w:val="009610CC"/>
    <w:rsid w:val="00962788"/>
    <w:rsid w:val="0096297D"/>
    <w:rsid w:val="009631B9"/>
    <w:rsid w:val="00963B00"/>
    <w:rsid w:val="00963C3C"/>
    <w:rsid w:val="00963CCB"/>
    <w:rsid w:val="00964F17"/>
    <w:rsid w:val="009651C5"/>
    <w:rsid w:val="00965CB0"/>
    <w:rsid w:val="009660D9"/>
    <w:rsid w:val="00966314"/>
    <w:rsid w:val="00966D63"/>
    <w:rsid w:val="009674ED"/>
    <w:rsid w:val="00967E2B"/>
    <w:rsid w:val="00970C8C"/>
    <w:rsid w:val="0097149A"/>
    <w:rsid w:val="00971A29"/>
    <w:rsid w:val="009722C1"/>
    <w:rsid w:val="00972629"/>
    <w:rsid w:val="00972EF9"/>
    <w:rsid w:val="00973AA5"/>
    <w:rsid w:val="00973F39"/>
    <w:rsid w:val="0097509C"/>
    <w:rsid w:val="00975EDF"/>
    <w:rsid w:val="0097691C"/>
    <w:rsid w:val="0097709B"/>
    <w:rsid w:val="009775AB"/>
    <w:rsid w:val="00977EC5"/>
    <w:rsid w:val="009800D0"/>
    <w:rsid w:val="00980109"/>
    <w:rsid w:val="009807AF"/>
    <w:rsid w:val="009812A8"/>
    <w:rsid w:val="00982127"/>
    <w:rsid w:val="00982A08"/>
    <w:rsid w:val="0098342A"/>
    <w:rsid w:val="009843A7"/>
    <w:rsid w:val="009846DA"/>
    <w:rsid w:val="00984CAF"/>
    <w:rsid w:val="009850B9"/>
    <w:rsid w:val="0098629A"/>
    <w:rsid w:val="0098640B"/>
    <w:rsid w:val="009865B9"/>
    <w:rsid w:val="00987D60"/>
    <w:rsid w:val="0099022D"/>
    <w:rsid w:val="00990DB3"/>
    <w:rsid w:val="00991214"/>
    <w:rsid w:val="00991D03"/>
    <w:rsid w:val="00992875"/>
    <w:rsid w:val="00993315"/>
    <w:rsid w:val="00994ABE"/>
    <w:rsid w:val="00994D59"/>
    <w:rsid w:val="0099503A"/>
    <w:rsid w:val="00995947"/>
    <w:rsid w:val="009977B8"/>
    <w:rsid w:val="009977B9"/>
    <w:rsid w:val="009979C2"/>
    <w:rsid w:val="009A04DC"/>
    <w:rsid w:val="009A07A4"/>
    <w:rsid w:val="009A10BB"/>
    <w:rsid w:val="009A1B1A"/>
    <w:rsid w:val="009A1B66"/>
    <w:rsid w:val="009A1FC6"/>
    <w:rsid w:val="009A1FEF"/>
    <w:rsid w:val="009A253F"/>
    <w:rsid w:val="009A34CE"/>
    <w:rsid w:val="009A3A19"/>
    <w:rsid w:val="009A4DED"/>
    <w:rsid w:val="009A4FAB"/>
    <w:rsid w:val="009A5989"/>
    <w:rsid w:val="009A5F29"/>
    <w:rsid w:val="009A6786"/>
    <w:rsid w:val="009A6819"/>
    <w:rsid w:val="009A7C0F"/>
    <w:rsid w:val="009A7EC7"/>
    <w:rsid w:val="009B09A4"/>
    <w:rsid w:val="009B0BE6"/>
    <w:rsid w:val="009B1151"/>
    <w:rsid w:val="009B168C"/>
    <w:rsid w:val="009B1F3D"/>
    <w:rsid w:val="009B2C0D"/>
    <w:rsid w:val="009B397B"/>
    <w:rsid w:val="009B3B79"/>
    <w:rsid w:val="009B4408"/>
    <w:rsid w:val="009B5A66"/>
    <w:rsid w:val="009B638A"/>
    <w:rsid w:val="009B6EC4"/>
    <w:rsid w:val="009B7521"/>
    <w:rsid w:val="009B7880"/>
    <w:rsid w:val="009B7A64"/>
    <w:rsid w:val="009C093F"/>
    <w:rsid w:val="009C0FBC"/>
    <w:rsid w:val="009C10BA"/>
    <w:rsid w:val="009C1F01"/>
    <w:rsid w:val="009C2100"/>
    <w:rsid w:val="009C2524"/>
    <w:rsid w:val="009C3740"/>
    <w:rsid w:val="009C4E69"/>
    <w:rsid w:val="009C4ED1"/>
    <w:rsid w:val="009C635E"/>
    <w:rsid w:val="009C6ACE"/>
    <w:rsid w:val="009C6E95"/>
    <w:rsid w:val="009C735C"/>
    <w:rsid w:val="009C78D5"/>
    <w:rsid w:val="009C78F0"/>
    <w:rsid w:val="009C79EB"/>
    <w:rsid w:val="009C7B4C"/>
    <w:rsid w:val="009D032C"/>
    <w:rsid w:val="009D03E4"/>
    <w:rsid w:val="009D070A"/>
    <w:rsid w:val="009D10C3"/>
    <w:rsid w:val="009D18DE"/>
    <w:rsid w:val="009D195F"/>
    <w:rsid w:val="009D1CAF"/>
    <w:rsid w:val="009D2816"/>
    <w:rsid w:val="009D2FED"/>
    <w:rsid w:val="009D305B"/>
    <w:rsid w:val="009D33DB"/>
    <w:rsid w:val="009D37F9"/>
    <w:rsid w:val="009D3B7C"/>
    <w:rsid w:val="009D4C8E"/>
    <w:rsid w:val="009D542C"/>
    <w:rsid w:val="009D64FA"/>
    <w:rsid w:val="009D65DF"/>
    <w:rsid w:val="009D6E5E"/>
    <w:rsid w:val="009D71FD"/>
    <w:rsid w:val="009D7412"/>
    <w:rsid w:val="009D7A5C"/>
    <w:rsid w:val="009D7C52"/>
    <w:rsid w:val="009D7CFD"/>
    <w:rsid w:val="009E0259"/>
    <w:rsid w:val="009E051E"/>
    <w:rsid w:val="009E0926"/>
    <w:rsid w:val="009E0D0A"/>
    <w:rsid w:val="009E2367"/>
    <w:rsid w:val="009E2D7C"/>
    <w:rsid w:val="009E2DCB"/>
    <w:rsid w:val="009E2F01"/>
    <w:rsid w:val="009E2F41"/>
    <w:rsid w:val="009E3463"/>
    <w:rsid w:val="009E36E2"/>
    <w:rsid w:val="009E3EB3"/>
    <w:rsid w:val="009E417D"/>
    <w:rsid w:val="009E422D"/>
    <w:rsid w:val="009E4EE3"/>
    <w:rsid w:val="009E5ED2"/>
    <w:rsid w:val="009E64E8"/>
    <w:rsid w:val="009E6565"/>
    <w:rsid w:val="009E6C35"/>
    <w:rsid w:val="009F0B86"/>
    <w:rsid w:val="009F2194"/>
    <w:rsid w:val="009F25CE"/>
    <w:rsid w:val="009F2777"/>
    <w:rsid w:val="009F2A8A"/>
    <w:rsid w:val="009F34B4"/>
    <w:rsid w:val="009F34DE"/>
    <w:rsid w:val="009F35F3"/>
    <w:rsid w:val="009F3996"/>
    <w:rsid w:val="009F3B63"/>
    <w:rsid w:val="009F3DDC"/>
    <w:rsid w:val="009F42DF"/>
    <w:rsid w:val="009F5A58"/>
    <w:rsid w:val="009F5ACD"/>
    <w:rsid w:val="009F6607"/>
    <w:rsid w:val="009F6AF6"/>
    <w:rsid w:val="009F77B9"/>
    <w:rsid w:val="009F785B"/>
    <w:rsid w:val="009F7BE3"/>
    <w:rsid w:val="009F7F24"/>
    <w:rsid w:val="00A01134"/>
    <w:rsid w:val="00A01333"/>
    <w:rsid w:val="00A01ACB"/>
    <w:rsid w:val="00A01ACD"/>
    <w:rsid w:val="00A01D7C"/>
    <w:rsid w:val="00A02372"/>
    <w:rsid w:val="00A02B1F"/>
    <w:rsid w:val="00A03671"/>
    <w:rsid w:val="00A03805"/>
    <w:rsid w:val="00A04443"/>
    <w:rsid w:val="00A04893"/>
    <w:rsid w:val="00A04F77"/>
    <w:rsid w:val="00A05877"/>
    <w:rsid w:val="00A05A11"/>
    <w:rsid w:val="00A064E9"/>
    <w:rsid w:val="00A06715"/>
    <w:rsid w:val="00A069FF"/>
    <w:rsid w:val="00A06C2D"/>
    <w:rsid w:val="00A07280"/>
    <w:rsid w:val="00A07E02"/>
    <w:rsid w:val="00A10100"/>
    <w:rsid w:val="00A10607"/>
    <w:rsid w:val="00A1066A"/>
    <w:rsid w:val="00A10CF9"/>
    <w:rsid w:val="00A10F6D"/>
    <w:rsid w:val="00A10FDA"/>
    <w:rsid w:val="00A11C1F"/>
    <w:rsid w:val="00A11F80"/>
    <w:rsid w:val="00A12637"/>
    <w:rsid w:val="00A136CF"/>
    <w:rsid w:val="00A13762"/>
    <w:rsid w:val="00A150BE"/>
    <w:rsid w:val="00A1524A"/>
    <w:rsid w:val="00A156F1"/>
    <w:rsid w:val="00A15C6A"/>
    <w:rsid w:val="00A1611C"/>
    <w:rsid w:val="00A16EBA"/>
    <w:rsid w:val="00A174B2"/>
    <w:rsid w:val="00A20331"/>
    <w:rsid w:val="00A20B6E"/>
    <w:rsid w:val="00A20C3A"/>
    <w:rsid w:val="00A21009"/>
    <w:rsid w:val="00A218CC"/>
    <w:rsid w:val="00A23CB4"/>
    <w:rsid w:val="00A24472"/>
    <w:rsid w:val="00A2466E"/>
    <w:rsid w:val="00A2521E"/>
    <w:rsid w:val="00A25877"/>
    <w:rsid w:val="00A25CE9"/>
    <w:rsid w:val="00A25FEF"/>
    <w:rsid w:val="00A267FA"/>
    <w:rsid w:val="00A2716B"/>
    <w:rsid w:val="00A273C6"/>
    <w:rsid w:val="00A27ABA"/>
    <w:rsid w:val="00A27FED"/>
    <w:rsid w:val="00A30300"/>
    <w:rsid w:val="00A308C7"/>
    <w:rsid w:val="00A313E8"/>
    <w:rsid w:val="00A313FA"/>
    <w:rsid w:val="00A31711"/>
    <w:rsid w:val="00A3180B"/>
    <w:rsid w:val="00A31B89"/>
    <w:rsid w:val="00A31C30"/>
    <w:rsid w:val="00A323A0"/>
    <w:rsid w:val="00A32785"/>
    <w:rsid w:val="00A32B61"/>
    <w:rsid w:val="00A33F3C"/>
    <w:rsid w:val="00A343D6"/>
    <w:rsid w:val="00A348E9"/>
    <w:rsid w:val="00A34A87"/>
    <w:rsid w:val="00A356B2"/>
    <w:rsid w:val="00A3592D"/>
    <w:rsid w:val="00A35E32"/>
    <w:rsid w:val="00A3603C"/>
    <w:rsid w:val="00A3615D"/>
    <w:rsid w:val="00A36290"/>
    <w:rsid w:val="00A363C5"/>
    <w:rsid w:val="00A36A06"/>
    <w:rsid w:val="00A408BD"/>
    <w:rsid w:val="00A413FB"/>
    <w:rsid w:val="00A41A9C"/>
    <w:rsid w:val="00A41D37"/>
    <w:rsid w:val="00A42616"/>
    <w:rsid w:val="00A42A52"/>
    <w:rsid w:val="00A42D17"/>
    <w:rsid w:val="00A43273"/>
    <w:rsid w:val="00A43414"/>
    <w:rsid w:val="00A43624"/>
    <w:rsid w:val="00A437E8"/>
    <w:rsid w:val="00A4434A"/>
    <w:rsid w:val="00A446EC"/>
    <w:rsid w:val="00A45380"/>
    <w:rsid w:val="00A459C1"/>
    <w:rsid w:val="00A46619"/>
    <w:rsid w:val="00A50457"/>
    <w:rsid w:val="00A50526"/>
    <w:rsid w:val="00A50C87"/>
    <w:rsid w:val="00A50DC1"/>
    <w:rsid w:val="00A511DD"/>
    <w:rsid w:val="00A51454"/>
    <w:rsid w:val="00A51B5A"/>
    <w:rsid w:val="00A51C8A"/>
    <w:rsid w:val="00A522D7"/>
    <w:rsid w:val="00A5241A"/>
    <w:rsid w:val="00A52714"/>
    <w:rsid w:val="00A52CB1"/>
    <w:rsid w:val="00A5346C"/>
    <w:rsid w:val="00A53BFE"/>
    <w:rsid w:val="00A541C1"/>
    <w:rsid w:val="00A55308"/>
    <w:rsid w:val="00A5563A"/>
    <w:rsid w:val="00A5725C"/>
    <w:rsid w:val="00A57B8F"/>
    <w:rsid w:val="00A57FA7"/>
    <w:rsid w:val="00A603C2"/>
    <w:rsid w:val="00A61103"/>
    <w:rsid w:val="00A62104"/>
    <w:rsid w:val="00A624ED"/>
    <w:rsid w:val="00A62F51"/>
    <w:rsid w:val="00A64586"/>
    <w:rsid w:val="00A657A0"/>
    <w:rsid w:val="00A6681A"/>
    <w:rsid w:val="00A67952"/>
    <w:rsid w:val="00A67C39"/>
    <w:rsid w:val="00A7299F"/>
    <w:rsid w:val="00A730F2"/>
    <w:rsid w:val="00A73E16"/>
    <w:rsid w:val="00A743B2"/>
    <w:rsid w:val="00A75B19"/>
    <w:rsid w:val="00A75EA0"/>
    <w:rsid w:val="00A760C7"/>
    <w:rsid w:val="00A763CF"/>
    <w:rsid w:val="00A77EB0"/>
    <w:rsid w:val="00A77F93"/>
    <w:rsid w:val="00A80785"/>
    <w:rsid w:val="00A8252B"/>
    <w:rsid w:val="00A82699"/>
    <w:rsid w:val="00A83A74"/>
    <w:rsid w:val="00A83CD9"/>
    <w:rsid w:val="00A83D66"/>
    <w:rsid w:val="00A83FED"/>
    <w:rsid w:val="00A8440C"/>
    <w:rsid w:val="00A85CA2"/>
    <w:rsid w:val="00A8643E"/>
    <w:rsid w:val="00A86464"/>
    <w:rsid w:val="00A86B01"/>
    <w:rsid w:val="00A873CE"/>
    <w:rsid w:val="00A873D4"/>
    <w:rsid w:val="00A87785"/>
    <w:rsid w:val="00A90156"/>
    <w:rsid w:val="00A907D3"/>
    <w:rsid w:val="00A908E4"/>
    <w:rsid w:val="00A909E7"/>
    <w:rsid w:val="00A9100A"/>
    <w:rsid w:val="00A91170"/>
    <w:rsid w:val="00A91D8B"/>
    <w:rsid w:val="00A9267F"/>
    <w:rsid w:val="00A9268F"/>
    <w:rsid w:val="00A9374C"/>
    <w:rsid w:val="00A94123"/>
    <w:rsid w:val="00A94714"/>
    <w:rsid w:val="00A95296"/>
    <w:rsid w:val="00A95655"/>
    <w:rsid w:val="00A967FB"/>
    <w:rsid w:val="00A96EC8"/>
    <w:rsid w:val="00A970F2"/>
    <w:rsid w:val="00A97730"/>
    <w:rsid w:val="00A97BE2"/>
    <w:rsid w:val="00A97D70"/>
    <w:rsid w:val="00AA08CF"/>
    <w:rsid w:val="00AA1166"/>
    <w:rsid w:val="00AA121E"/>
    <w:rsid w:val="00AA1980"/>
    <w:rsid w:val="00AA20F0"/>
    <w:rsid w:val="00AA226D"/>
    <w:rsid w:val="00AA23EB"/>
    <w:rsid w:val="00AA2780"/>
    <w:rsid w:val="00AA2954"/>
    <w:rsid w:val="00AA2CDF"/>
    <w:rsid w:val="00AA2E29"/>
    <w:rsid w:val="00AA3ED1"/>
    <w:rsid w:val="00AA4464"/>
    <w:rsid w:val="00AA46A5"/>
    <w:rsid w:val="00AA4D1B"/>
    <w:rsid w:val="00AA511C"/>
    <w:rsid w:val="00AA5207"/>
    <w:rsid w:val="00AA54BA"/>
    <w:rsid w:val="00AA5AD9"/>
    <w:rsid w:val="00AA6452"/>
    <w:rsid w:val="00AA6481"/>
    <w:rsid w:val="00AA65D7"/>
    <w:rsid w:val="00AA7385"/>
    <w:rsid w:val="00AA7CAE"/>
    <w:rsid w:val="00AB084A"/>
    <w:rsid w:val="00AB19B7"/>
    <w:rsid w:val="00AB1DE6"/>
    <w:rsid w:val="00AB1E24"/>
    <w:rsid w:val="00AB258F"/>
    <w:rsid w:val="00AB2925"/>
    <w:rsid w:val="00AB39A4"/>
    <w:rsid w:val="00AB44CA"/>
    <w:rsid w:val="00AB537A"/>
    <w:rsid w:val="00AB5B24"/>
    <w:rsid w:val="00AB6196"/>
    <w:rsid w:val="00AB682B"/>
    <w:rsid w:val="00AB69EC"/>
    <w:rsid w:val="00AC0325"/>
    <w:rsid w:val="00AC0B7A"/>
    <w:rsid w:val="00AC0CED"/>
    <w:rsid w:val="00AC1863"/>
    <w:rsid w:val="00AC1DFF"/>
    <w:rsid w:val="00AC27CD"/>
    <w:rsid w:val="00AC2A36"/>
    <w:rsid w:val="00AC2A4D"/>
    <w:rsid w:val="00AC3220"/>
    <w:rsid w:val="00AC444A"/>
    <w:rsid w:val="00AC490C"/>
    <w:rsid w:val="00AC4A99"/>
    <w:rsid w:val="00AC52F3"/>
    <w:rsid w:val="00AC53E8"/>
    <w:rsid w:val="00AC5A6E"/>
    <w:rsid w:val="00AC7379"/>
    <w:rsid w:val="00AC7806"/>
    <w:rsid w:val="00AC7B52"/>
    <w:rsid w:val="00AC7C3C"/>
    <w:rsid w:val="00AD0612"/>
    <w:rsid w:val="00AD0776"/>
    <w:rsid w:val="00AD078D"/>
    <w:rsid w:val="00AD091E"/>
    <w:rsid w:val="00AD0A20"/>
    <w:rsid w:val="00AD1D9C"/>
    <w:rsid w:val="00AD1DBB"/>
    <w:rsid w:val="00AD2289"/>
    <w:rsid w:val="00AD2507"/>
    <w:rsid w:val="00AD25F9"/>
    <w:rsid w:val="00AD32FB"/>
    <w:rsid w:val="00AD35D6"/>
    <w:rsid w:val="00AD43EE"/>
    <w:rsid w:val="00AD47AD"/>
    <w:rsid w:val="00AD49EC"/>
    <w:rsid w:val="00AD4DD8"/>
    <w:rsid w:val="00AD52DA"/>
    <w:rsid w:val="00AD55AD"/>
    <w:rsid w:val="00AD5664"/>
    <w:rsid w:val="00AD6DE0"/>
    <w:rsid w:val="00AE04F7"/>
    <w:rsid w:val="00AE0843"/>
    <w:rsid w:val="00AE1C56"/>
    <w:rsid w:val="00AE2322"/>
    <w:rsid w:val="00AE23DF"/>
    <w:rsid w:val="00AE244B"/>
    <w:rsid w:val="00AE2B17"/>
    <w:rsid w:val="00AE2CA7"/>
    <w:rsid w:val="00AE2E3D"/>
    <w:rsid w:val="00AE3692"/>
    <w:rsid w:val="00AE38AF"/>
    <w:rsid w:val="00AE45F9"/>
    <w:rsid w:val="00AE73FD"/>
    <w:rsid w:val="00AE77D8"/>
    <w:rsid w:val="00AE7B14"/>
    <w:rsid w:val="00AE7B8D"/>
    <w:rsid w:val="00AF0525"/>
    <w:rsid w:val="00AF0CB0"/>
    <w:rsid w:val="00AF0D0A"/>
    <w:rsid w:val="00AF1AAF"/>
    <w:rsid w:val="00AF2028"/>
    <w:rsid w:val="00AF237B"/>
    <w:rsid w:val="00AF238A"/>
    <w:rsid w:val="00AF3DF1"/>
    <w:rsid w:val="00AF423F"/>
    <w:rsid w:val="00AF4609"/>
    <w:rsid w:val="00AF594B"/>
    <w:rsid w:val="00AF648B"/>
    <w:rsid w:val="00AF674F"/>
    <w:rsid w:val="00AF6D14"/>
    <w:rsid w:val="00B00074"/>
    <w:rsid w:val="00B000BE"/>
    <w:rsid w:val="00B00397"/>
    <w:rsid w:val="00B00AB1"/>
    <w:rsid w:val="00B01E81"/>
    <w:rsid w:val="00B0256E"/>
    <w:rsid w:val="00B02728"/>
    <w:rsid w:val="00B02A15"/>
    <w:rsid w:val="00B02F42"/>
    <w:rsid w:val="00B031E7"/>
    <w:rsid w:val="00B03544"/>
    <w:rsid w:val="00B036D7"/>
    <w:rsid w:val="00B03DED"/>
    <w:rsid w:val="00B04180"/>
    <w:rsid w:val="00B04457"/>
    <w:rsid w:val="00B04747"/>
    <w:rsid w:val="00B053E3"/>
    <w:rsid w:val="00B0558E"/>
    <w:rsid w:val="00B05F85"/>
    <w:rsid w:val="00B066A8"/>
    <w:rsid w:val="00B06B23"/>
    <w:rsid w:val="00B07364"/>
    <w:rsid w:val="00B07BD4"/>
    <w:rsid w:val="00B07DF7"/>
    <w:rsid w:val="00B07FB6"/>
    <w:rsid w:val="00B1007E"/>
    <w:rsid w:val="00B107E2"/>
    <w:rsid w:val="00B10945"/>
    <w:rsid w:val="00B11CDC"/>
    <w:rsid w:val="00B11E9C"/>
    <w:rsid w:val="00B12179"/>
    <w:rsid w:val="00B12393"/>
    <w:rsid w:val="00B124D8"/>
    <w:rsid w:val="00B12852"/>
    <w:rsid w:val="00B12917"/>
    <w:rsid w:val="00B12CF2"/>
    <w:rsid w:val="00B12E3B"/>
    <w:rsid w:val="00B13170"/>
    <w:rsid w:val="00B13538"/>
    <w:rsid w:val="00B1368C"/>
    <w:rsid w:val="00B14A3F"/>
    <w:rsid w:val="00B14CD4"/>
    <w:rsid w:val="00B14CE0"/>
    <w:rsid w:val="00B15784"/>
    <w:rsid w:val="00B15ED8"/>
    <w:rsid w:val="00B16785"/>
    <w:rsid w:val="00B16D8D"/>
    <w:rsid w:val="00B1702E"/>
    <w:rsid w:val="00B17426"/>
    <w:rsid w:val="00B17A60"/>
    <w:rsid w:val="00B202D8"/>
    <w:rsid w:val="00B203B1"/>
    <w:rsid w:val="00B20415"/>
    <w:rsid w:val="00B207F5"/>
    <w:rsid w:val="00B20DB2"/>
    <w:rsid w:val="00B219BA"/>
    <w:rsid w:val="00B228A9"/>
    <w:rsid w:val="00B229AD"/>
    <w:rsid w:val="00B233FE"/>
    <w:rsid w:val="00B23E40"/>
    <w:rsid w:val="00B24358"/>
    <w:rsid w:val="00B24C77"/>
    <w:rsid w:val="00B2511A"/>
    <w:rsid w:val="00B262BF"/>
    <w:rsid w:val="00B268E8"/>
    <w:rsid w:val="00B26BD5"/>
    <w:rsid w:val="00B275B9"/>
    <w:rsid w:val="00B30A0F"/>
    <w:rsid w:val="00B30A4B"/>
    <w:rsid w:val="00B315A2"/>
    <w:rsid w:val="00B317A3"/>
    <w:rsid w:val="00B31E43"/>
    <w:rsid w:val="00B3240D"/>
    <w:rsid w:val="00B3269C"/>
    <w:rsid w:val="00B326F6"/>
    <w:rsid w:val="00B3378C"/>
    <w:rsid w:val="00B33D61"/>
    <w:rsid w:val="00B344ED"/>
    <w:rsid w:val="00B34677"/>
    <w:rsid w:val="00B353CF"/>
    <w:rsid w:val="00B3545B"/>
    <w:rsid w:val="00B356EA"/>
    <w:rsid w:val="00B357C9"/>
    <w:rsid w:val="00B358CE"/>
    <w:rsid w:val="00B3594B"/>
    <w:rsid w:val="00B40717"/>
    <w:rsid w:val="00B40F29"/>
    <w:rsid w:val="00B41585"/>
    <w:rsid w:val="00B416A9"/>
    <w:rsid w:val="00B41CA2"/>
    <w:rsid w:val="00B42325"/>
    <w:rsid w:val="00B4234C"/>
    <w:rsid w:val="00B42C1C"/>
    <w:rsid w:val="00B42DA3"/>
    <w:rsid w:val="00B43613"/>
    <w:rsid w:val="00B43F31"/>
    <w:rsid w:val="00B4411E"/>
    <w:rsid w:val="00B44E6D"/>
    <w:rsid w:val="00B44F57"/>
    <w:rsid w:val="00B452A1"/>
    <w:rsid w:val="00B462B1"/>
    <w:rsid w:val="00B47330"/>
    <w:rsid w:val="00B47492"/>
    <w:rsid w:val="00B47A8A"/>
    <w:rsid w:val="00B47F4A"/>
    <w:rsid w:val="00B50A52"/>
    <w:rsid w:val="00B50BCD"/>
    <w:rsid w:val="00B50F31"/>
    <w:rsid w:val="00B51603"/>
    <w:rsid w:val="00B52E4C"/>
    <w:rsid w:val="00B534B4"/>
    <w:rsid w:val="00B53737"/>
    <w:rsid w:val="00B54474"/>
    <w:rsid w:val="00B5533A"/>
    <w:rsid w:val="00B55703"/>
    <w:rsid w:val="00B55A61"/>
    <w:rsid w:val="00B55ACD"/>
    <w:rsid w:val="00B55D05"/>
    <w:rsid w:val="00B56685"/>
    <w:rsid w:val="00B574A4"/>
    <w:rsid w:val="00B606D7"/>
    <w:rsid w:val="00B61C1E"/>
    <w:rsid w:val="00B6382E"/>
    <w:rsid w:val="00B63EC7"/>
    <w:rsid w:val="00B63FB0"/>
    <w:rsid w:val="00B64302"/>
    <w:rsid w:val="00B64A92"/>
    <w:rsid w:val="00B65AE2"/>
    <w:rsid w:val="00B665E9"/>
    <w:rsid w:val="00B674CB"/>
    <w:rsid w:val="00B678D1"/>
    <w:rsid w:val="00B70C7D"/>
    <w:rsid w:val="00B70D80"/>
    <w:rsid w:val="00B710F6"/>
    <w:rsid w:val="00B722EE"/>
    <w:rsid w:val="00B724E7"/>
    <w:rsid w:val="00B7303B"/>
    <w:rsid w:val="00B7316D"/>
    <w:rsid w:val="00B731B1"/>
    <w:rsid w:val="00B738AA"/>
    <w:rsid w:val="00B73ECC"/>
    <w:rsid w:val="00B74762"/>
    <w:rsid w:val="00B75493"/>
    <w:rsid w:val="00B75AE2"/>
    <w:rsid w:val="00B760C0"/>
    <w:rsid w:val="00B7696B"/>
    <w:rsid w:val="00B77011"/>
    <w:rsid w:val="00B7769A"/>
    <w:rsid w:val="00B776BA"/>
    <w:rsid w:val="00B81B2C"/>
    <w:rsid w:val="00B81CBC"/>
    <w:rsid w:val="00B82066"/>
    <w:rsid w:val="00B820C0"/>
    <w:rsid w:val="00B82271"/>
    <w:rsid w:val="00B82ACD"/>
    <w:rsid w:val="00B83C0F"/>
    <w:rsid w:val="00B83C84"/>
    <w:rsid w:val="00B84C5E"/>
    <w:rsid w:val="00B8513F"/>
    <w:rsid w:val="00B851D2"/>
    <w:rsid w:val="00B85ABE"/>
    <w:rsid w:val="00B85ECD"/>
    <w:rsid w:val="00B86836"/>
    <w:rsid w:val="00B86880"/>
    <w:rsid w:val="00B87613"/>
    <w:rsid w:val="00B8762D"/>
    <w:rsid w:val="00B87AFF"/>
    <w:rsid w:val="00B87C11"/>
    <w:rsid w:val="00B90374"/>
    <w:rsid w:val="00B905D1"/>
    <w:rsid w:val="00B90BC0"/>
    <w:rsid w:val="00B911BA"/>
    <w:rsid w:val="00B91ACA"/>
    <w:rsid w:val="00B91C6D"/>
    <w:rsid w:val="00B91DB6"/>
    <w:rsid w:val="00B91DEC"/>
    <w:rsid w:val="00B9257A"/>
    <w:rsid w:val="00B927F6"/>
    <w:rsid w:val="00B929C9"/>
    <w:rsid w:val="00B92B8D"/>
    <w:rsid w:val="00B92C6D"/>
    <w:rsid w:val="00B941FA"/>
    <w:rsid w:val="00B94225"/>
    <w:rsid w:val="00B9442F"/>
    <w:rsid w:val="00B944F5"/>
    <w:rsid w:val="00B95982"/>
    <w:rsid w:val="00B95AFE"/>
    <w:rsid w:val="00B960A4"/>
    <w:rsid w:val="00B960ED"/>
    <w:rsid w:val="00B96538"/>
    <w:rsid w:val="00B9737E"/>
    <w:rsid w:val="00B97478"/>
    <w:rsid w:val="00B974AA"/>
    <w:rsid w:val="00B97678"/>
    <w:rsid w:val="00B979C6"/>
    <w:rsid w:val="00B97E65"/>
    <w:rsid w:val="00BA0858"/>
    <w:rsid w:val="00BA0A1C"/>
    <w:rsid w:val="00BA0C6E"/>
    <w:rsid w:val="00BA1ECA"/>
    <w:rsid w:val="00BA2858"/>
    <w:rsid w:val="00BA3ECD"/>
    <w:rsid w:val="00BA4221"/>
    <w:rsid w:val="00BA4B98"/>
    <w:rsid w:val="00BA4F24"/>
    <w:rsid w:val="00BA5042"/>
    <w:rsid w:val="00BA58CD"/>
    <w:rsid w:val="00BA5D30"/>
    <w:rsid w:val="00BA6F8B"/>
    <w:rsid w:val="00BA6FCE"/>
    <w:rsid w:val="00BA7465"/>
    <w:rsid w:val="00BA7513"/>
    <w:rsid w:val="00BA7C0B"/>
    <w:rsid w:val="00BA7CE0"/>
    <w:rsid w:val="00BB0920"/>
    <w:rsid w:val="00BB0B25"/>
    <w:rsid w:val="00BB0F6E"/>
    <w:rsid w:val="00BB0F8E"/>
    <w:rsid w:val="00BB11C6"/>
    <w:rsid w:val="00BB1306"/>
    <w:rsid w:val="00BB1ABC"/>
    <w:rsid w:val="00BB1BE6"/>
    <w:rsid w:val="00BB2C34"/>
    <w:rsid w:val="00BB3552"/>
    <w:rsid w:val="00BB5C4E"/>
    <w:rsid w:val="00BB61D2"/>
    <w:rsid w:val="00BB644F"/>
    <w:rsid w:val="00BB7019"/>
    <w:rsid w:val="00BB7F52"/>
    <w:rsid w:val="00BB7F53"/>
    <w:rsid w:val="00BC075F"/>
    <w:rsid w:val="00BC0FC7"/>
    <w:rsid w:val="00BC11C7"/>
    <w:rsid w:val="00BC161D"/>
    <w:rsid w:val="00BC1658"/>
    <w:rsid w:val="00BC1839"/>
    <w:rsid w:val="00BC194D"/>
    <w:rsid w:val="00BC2263"/>
    <w:rsid w:val="00BC2797"/>
    <w:rsid w:val="00BC2A07"/>
    <w:rsid w:val="00BC343A"/>
    <w:rsid w:val="00BC3642"/>
    <w:rsid w:val="00BC3DD5"/>
    <w:rsid w:val="00BC433A"/>
    <w:rsid w:val="00BC4A1C"/>
    <w:rsid w:val="00BC5BE4"/>
    <w:rsid w:val="00BC5E21"/>
    <w:rsid w:val="00BC6089"/>
    <w:rsid w:val="00BC60A6"/>
    <w:rsid w:val="00BC6AAD"/>
    <w:rsid w:val="00BC72D5"/>
    <w:rsid w:val="00BC7722"/>
    <w:rsid w:val="00BC7744"/>
    <w:rsid w:val="00BD002D"/>
    <w:rsid w:val="00BD0E68"/>
    <w:rsid w:val="00BD1F66"/>
    <w:rsid w:val="00BD249D"/>
    <w:rsid w:val="00BD3177"/>
    <w:rsid w:val="00BD3392"/>
    <w:rsid w:val="00BD402B"/>
    <w:rsid w:val="00BD4308"/>
    <w:rsid w:val="00BD493E"/>
    <w:rsid w:val="00BD4A61"/>
    <w:rsid w:val="00BD4A66"/>
    <w:rsid w:val="00BD4B69"/>
    <w:rsid w:val="00BD4C9F"/>
    <w:rsid w:val="00BD501E"/>
    <w:rsid w:val="00BD5295"/>
    <w:rsid w:val="00BD5861"/>
    <w:rsid w:val="00BD593F"/>
    <w:rsid w:val="00BD5EB1"/>
    <w:rsid w:val="00BD5FD5"/>
    <w:rsid w:val="00BD604C"/>
    <w:rsid w:val="00BD6817"/>
    <w:rsid w:val="00BD6CA7"/>
    <w:rsid w:val="00BD6EAA"/>
    <w:rsid w:val="00BD6ECC"/>
    <w:rsid w:val="00BD7A73"/>
    <w:rsid w:val="00BE2139"/>
    <w:rsid w:val="00BE2246"/>
    <w:rsid w:val="00BE22BE"/>
    <w:rsid w:val="00BE2D59"/>
    <w:rsid w:val="00BE3D1C"/>
    <w:rsid w:val="00BE4B95"/>
    <w:rsid w:val="00BE4E6B"/>
    <w:rsid w:val="00BE4FAF"/>
    <w:rsid w:val="00BE5C75"/>
    <w:rsid w:val="00BE6227"/>
    <w:rsid w:val="00BE644A"/>
    <w:rsid w:val="00BE6593"/>
    <w:rsid w:val="00BE7FB1"/>
    <w:rsid w:val="00BF01EB"/>
    <w:rsid w:val="00BF0E22"/>
    <w:rsid w:val="00BF156A"/>
    <w:rsid w:val="00BF157A"/>
    <w:rsid w:val="00BF17D3"/>
    <w:rsid w:val="00BF1E0C"/>
    <w:rsid w:val="00BF2B8A"/>
    <w:rsid w:val="00BF2D37"/>
    <w:rsid w:val="00BF2EDE"/>
    <w:rsid w:val="00BF3049"/>
    <w:rsid w:val="00BF31C8"/>
    <w:rsid w:val="00BF33EA"/>
    <w:rsid w:val="00BF40AB"/>
    <w:rsid w:val="00BF47FF"/>
    <w:rsid w:val="00BF51BE"/>
    <w:rsid w:val="00BF541D"/>
    <w:rsid w:val="00BF56DC"/>
    <w:rsid w:val="00BF6FFA"/>
    <w:rsid w:val="00BF7742"/>
    <w:rsid w:val="00BF783B"/>
    <w:rsid w:val="00C00DEB"/>
    <w:rsid w:val="00C0134A"/>
    <w:rsid w:val="00C01924"/>
    <w:rsid w:val="00C022F2"/>
    <w:rsid w:val="00C025C8"/>
    <w:rsid w:val="00C02650"/>
    <w:rsid w:val="00C02CC9"/>
    <w:rsid w:val="00C03546"/>
    <w:rsid w:val="00C03712"/>
    <w:rsid w:val="00C03A4C"/>
    <w:rsid w:val="00C03E15"/>
    <w:rsid w:val="00C04184"/>
    <w:rsid w:val="00C04892"/>
    <w:rsid w:val="00C0584A"/>
    <w:rsid w:val="00C07508"/>
    <w:rsid w:val="00C07750"/>
    <w:rsid w:val="00C07A1F"/>
    <w:rsid w:val="00C07EB9"/>
    <w:rsid w:val="00C10ECB"/>
    <w:rsid w:val="00C11EAD"/>
    <w:rsid w:val="00C12FB8"/>
    <w:rsid w:val="00C14567"/>
    <w:rsid w:val="00C1457B"/>
    <w:rsid w:val="00C152EE"/>
    <w:rsid w:val="00C155EA"/>
    <w:rsid w:val="00C166D8"/>
    <w:rsid w:val="00C16ACE"/>
    <w:rsid w:val="00C17025"/>
    <w:rsid w:val="00C2031E"/>
    <w:rsid w:val="00C2037E"/>
    <w:rsid w:val="00C205DC"/>
    <w:rsid w:val="00C207C6"/>
    <w:rsid w:val="00C20995"/>
    <w:rsid w:val="00C2123C"/>
    <w:rsid w:val="00C228F7"/>
    <w:rsid w:val="00C23438"/>
    <w:rsid w:val="00C23DBE"/>
    <w:rsid w:val="00C24172"/>
    <w:rsid w:val="00C244D7"/>
    <w:rsid w:val="00C24DD8"/>
    <w:rsid w:val="00C24F2A"/>
    <w:rsid w:val="00C25A25"/>
    <w:rsid w:val="00C25B4E"/>
    <w:rsid w:val="00C25DBF"/>
    <w:rsid w:val="00C26360"/>
    <w:rsid w:val="00C27AF5"/>
    <w:rsid w:val="00C27D02"/>
    <w:rsid w:val="00C303F5"/>
    <w:rsid w:val="00C3047E"/>
    <w:rsid w:val="00C30F04"/>
    <w:rsid w:val="00C30FCD"/>
    <w:rsid w:val="00C315DA"/>
    <w:rsid w:val="00C31880"/>
    <w:rsid w:val="00C31D76"/>
    <w:rsid w:val="00C32DF9"/>
    <w:rsid w:val="00C33146"/>
    <w:rsid w:val="00C33369"/>
    <w:rsid w:val="00C338CB"/>
    <w:rsid w:val="00C34F7C"/>
    <w:rsid w:val="00C356BF"/>
    <w:rsid w:val="00C35CE5"/>
    <w:rsid w:val="00C363CB"/>
    <w:rsid w:val="00C36C6C"/>
    <w:rsid w:val="00C3747D"/>
    <w:rsid w:val="00C37B16"/>
    <w:rsid w:val="00C409C7"/>
    <w:rsid w:val="00C414E2"/>
    <w:rsid w:val="00C4173B"/>
    <w:rsid w:val="00C41E7B"/>
    <w:rsid w:val="00C423F0"/>
    <w:rsid w:val="00C42412"/>
    <w:rsid w:val="00C42444"/>
    <w:rsid w:val="00C42492"/>
    <w:rsid w:val="00C42521"/>
    <w:rsid w:val="00C43ECD"/>
    <w:rsid w:val="00C442F2"/>
    <w:rsid w:val="00C44532"/>
    <w:rsid w:val="00C44589"/>
    <w:rsid w:val="00C4476E"/>
    <w:rsid w:val="00C448A2"/>
    <w:rsid w:val="00C44BC3"/>
    <w:rsid w:val="00C44E0A"/>
    <w:rsid w:val="00C450B2"/>
    <w:rsid w:val="00C453BC"/>
    <w:rsid w:val="00C45F31"/>
    <w:rsid w:val="00C4671F"/>
    <w:rsid w:val="00C467E9"/>
    <w:rsid w:val="00C46824"/>
    <w:rsid w:val="00C4697E"/>
    <w:rsid w:val="00C46B8F"/>
    <w:rsid w:val="00C4713C"/>
    <w:rsid w:val="00C47147"/>
    <w:rsid w:val="00C477E9"/>
    <w:rsid w:val="00C47B62"/>
    <w:rsid w:val="00C47B92"/>
    <w:rsid w:val="00C50280"/>
    <w:rsid w:val="00C50477"/>
    <w:rsid w:val="00C506BC"/>
    <w:rsid w:val="00C50859"/>
    <w:rsid w:val="00C50CF6"/>
    <w:rsid w:val="00C50FBC"/>
    <w:rsid w:val="00C510C6"/>
    <w:rsid w:val="00C530FD"/>
    <w:rsid w:val="00C540D9"/>
    <w:rsid w:val="00C54A8F"/>
    <w:rsid w:val="00C550CA"/>
    <w:rsid w:val="00C553B4"/>
    <w:rsid w:val="00C55F7C"/>
    <w:rsid w:val="00C56612"/>
    <w:rsid w:val="00C56B3E"/>
    <w:rsid w:val="00C57608"/>
    <w:rsid w:val="00C57A01"/>
    <w:rsid w:val="00C60B1F"/>
    <w:rsid w:val="00C60C50"/>
    <w:rsid w:val="00C62D43"/>
    <w:rsid w:val="00C62D5F"/>
    <w:rsid w:val="00C62F4B"/>
    <w:rsid w:val="00C62F5C"/>
    <w:rsid w:val="00C6318E"/>
    <w:rsid w:val="00C637C3"/>
    <w:rsid w:val="00C65929"/>
    <w:rsid w:val="00C66FC1"/>
    <w:rsid w:val="00C6774D"/>
    <w:rsid w:val="00C67783"/>
    <w:rsid w:val="00C70F88"/>
    <w:rsid w:val="00C7103F"/>
    <w:rsid w:val="00C71406"/>
    <w:rsid w:val="00C715E3"/>
    <w:rsid w:val="00C71D06"/>
    <w:rsid w:val="00C72F1B"/>
    <w:rsid w:val="00C73047"/>
    <w:rsid w:val="00C7328A"/>
    <w:rsid w:val="00C73E70"/>
    <w:rsid w:val="00C74043"/>
    <w:rsid w:val="00C747F7"/>
    <w:rsid w:val="00C74B76"/>
    <w:rsid w:val="00C753C2"/>
    <w:rsid w:val="00C75421"/>
    <w:rsid w:val="00C75834"/>
    <w:rsid w:val="00C75977"/>
    <w:rsid w:val="00C764D8"/>
    <w:rsid w:val="00C76F6A"/>
    <w:rsid w:val="00C7771A"/>
    <w:rsid w:val="00C77812"/>
    <w:rsid w:val="00C80237"/>
    <w:rsid w:val="00C803D6"/>
    <w:rsid w:val="00C806E4"/>
    <w:rsid w:val="00C8080C"/>
    <w:rsid w:val="00C80A1E"/>
    <w:rsid w:val="00C81265"/>
    <w:rsid w:val="00C82112"/>
    <w:rsid w:val="00C82295"/>
    <w:rsid w:val="00C827DE"/>
    <w:rsid w:val="00C82AF2"/>
    <w:rsid w:val="00C82C48"/>
    <w:rsid w:val="00C83241"/>
    <w:rsid w:val="00C83366"/>
    <w:rsid w:val="00C83530"/>
    <w:rsid w:val="00C8383D"/>
    <w:rsid w:val="00C849D7"/>
    <w:rsid w:val="00C8522F"/>
    <w:rsid w:val="00C8585E"/>
    <w:rsid w:val="00C85AF5"/>
    <w:rsid w:val="00C86202"/>
    <w:rsid w:val="00C873FD"/>
    <w:rsid w:val="00C874B9"/>
    <w:rsid w:val="00C876F4"/>
    <w:rsid w:val="00C87954"/>
    <w:rsid w:val="00C87C0F"/>
    <w:rsid w:val="00C904D1"/>
    <w:rsid w:val="00C906C8"/>
    <w:rsid w:val="00C90BC7"/>
    <w:rsid w:val="00C90E38"/>
    <w:rsid w:val="00C91016"/>
    <w:rsid w:val="00C91064"/>
    <w:rsid w:val="00C91681"/>
    <w:rsid w:val="00C9281F"/>
    <w:rsid w:val="00C92DFA"/>
    <w:rsid w:val="00C933DA"/>
    <w:rsid w:val="00C9371D"/>
    <w:rsid w:val="00C93973"/>
    <w:rsid w:val="00C93E8F"/>
    <w:rsid w:val="00C94547"/>
    <w:rsid w:val="00C94E99"/>
    <w:rsid w:val="00C9533B"/>
    <w:rsid w:val="00C9575B"/>
    <w:rsid w:val="00C95CF2"/>
    <w:rsid w:val="00C95D47"/>
    <w:rsid w:val="00C96934"/>
    <w:rsid w:val="00C9714D"/>
    <w:rsid w:val="00C97EAD"/>
    <w:rsid w:val="00CA0046"/>
    <w:rsid w:val="00CA004D"/>
    <w:rsid w:val="00CA01A1"/>
    <w:rsid w:val="00CA1DE1"/>
    <w:rsid w:val="00CA20C3"/>
    <w:rsid w:val="00CA2F4D"/>
    <w:rsid w:val="00CA336F"/>
    <w:rsid w:val="00CA3F68"/>
    <w:rsid w:val="00CA43CD"/>
    <w:rsid w:val="00CA44DE"/>
    <w:rsid w:val="00CA466E"/>
    <w:rsid w:val="00CA63B4"/>
    <w:rsid w:val="00CA7457"/>
    <w:rsid w:val="00CA7612"/>
    <w:rsid w:val="00CA7928"/>
    <w:rsid w:val="00CA7972"/>
    <w:rsid w:val="00CA7ADB"/>
    <w:rsid w:val="00CA7C40"/>
    <w:rsid w:val="00CB01C2"/>
    <w:rsid w:val="00CB09F7"/>
    <w:rsid w:val="00CB0FAC"/>
    <w:rsid w:val="00CB14CA"/>
    <w:rsid w:val="00CB151C"/>
    <w:rsid w:val="00CB1A26"/>
    <w:rsid w:val="00CB1CF0"/>
    <w:rsid w:val="00CB2159"/>
    <w:rsid w:val="00CB3B83"/>
    <w:rsid w:val="00CB42E3"/>
    <w:rsid w:val="00CB4B3C"/>
    <w:rsid w:val="00CB4C2A"/>
    <w:rsid w:val="00CB51D6"/>
    <w:rsid w:val="00CB6F8E"/>
    <w:rsid w:val="00CB769C"/>
    <w:rsid w:val="00CC0551"/>
    <w:rsid w:val="00CC1F34"/>
    <w:rsid w:val="00CC2B78"/>
    <w:rsid w:val="00CC31FC"/>
    <w:rsid w:val="00CC32D6"/>
    <w:rsid w:val="00CC4217"/>
    <w:rsid w:val="00CC4259"/>
    <w:rsid w:val="00CC5B1A"/>
    <w:rsid w:val="00CC611F"/>
    <w:rsid w:val="00CC65DF"/>
    <w:rsid w:val="00CC78AF"/>
    <w:rsid w:val="00CD0063"/>
    <w:rsid w:val="00CD05A7"/>
    <w:rsid w:val="00CD05CB"/>
    <w:rsid w:val="00CD0C54"/>
    <w:rsid w:val="00CD0D30"/>
    <w:rsid w:val="00CD0DA8"/>
    <w:rsid w:val="00CD1555"/>
    <w:rsid w:val="00CD19C0"/>
    <w:rsid w:val="00CD29DA"/>
    <w:rsid w:val="00CD3B04"/>
    <w:rsid w:val="00CD49B4"/>
    <w:rsid w:val="00CD4C5C"/>
    <w:rsid w:val="00CD4D74"/>
    <w:rsid w:val="00CD53DA"/>
    <w:rsid w:val="00CD5DC0"/>
    <w:rsid w:val="00CD61D8"/>
    <w:rsid w:val="00CD621F"/>
    <w:rsid w:val="00CD6893"/>
    <w:rsid w:val="00CD6899"/>
    <w:rsid w:val="00CD6EC6"/>
    <w:rsid w:val="00CD75AA"/>
    <w:rsid w:val="00CD7794"/>
    <w:rsid w:val="00CD7B22"/>
    <w:rsid w:val="00CD7B47"/>
    <w:rsid w:val="00CE0133"/>
    <w:rsid w:val="00CE0238"/>
    <w:rsid w:val="00CE1229"/>
    <w:rsid w:val="00CE2A93"/>
    <w:rsid w:val="00CE2F92"/>
    <w:rsid w:val="00CE3338"/>
    <w:rsid w:val="00CE34A2"/>
    <w:rsid w:val="00CE3B32"/>
    <w:rsid w:val="00CE3E3B"/>
    <w:rsid w:val="00CE451E"/>
    <w:rsid w:val="00CE4A76"/>
    <w:rsid w:val="00CE4F89"/>
    <w:rsid w:val="00CE5186"/>
    <w:rsid w:val="00CE5EEA"/>
    <w:rsid w:val="00CE6711"/>
    <w:rsid w:val="00CE6813"/>
    <w:rsid w:val="00CE7400"/>
    <w:rsid w:val="00CE7A48"/>
    <w:rsid w:val="00CF0E13"/>
    <w:rsid w:val="00CF1001"/>
    <w:rsid w:val="00CF1534"/>
    <w:rsid w:val="00CF1598"/>
    <w:rsid w:val="00CF25C6"/>
    <w:rsid w:val="00CF355B"/>
    <w:rsid w:val="00CF371F"/>
    <w:rsid w:val="00CF3F46"/>
    <w:rsid w:val="00CF4237"/>
    <w:rsid w:val="00CF45A2"/>
    <w:rsid w:val="00CF47A2"/>
    <w:rsid w:val="00CF4E2E"/>
    <w:rsid w:val="00CF4F95"/>
    <w:rsid w:val="00CF540B"/>
    <w:rsid w:val="00CF559B"/>
    <w:rsid w:val="00CF55D7"/>
    <w:rsid w:val="00CF57AD"/>
    <w:rsid w:val="00CF59F6"/>
    <w:rsid w:val="00CF5E29"/>
    <w:rsid w:val="00CF6781"/>
    <w:rsid w:val="00CF7143"/>
    <w:rsid w:val="00CF7EE4"/>
    <w:rsid w:val="00D0089D"/>
    <w:rsid w:val="00D00900"/>
    <w:rsid w:val="00D00920"/>
    <w:rsid w:val="00D00E81"/>
    <w:rsid w:val="00D0146A"/>
    <w:rsid w:val="00D0198E"/>
    <w:rsid w:val="00D01FD5"/>
    <w:rsid w:val="00D021B8"/>
    <w:rsid w:val="00D02678"/>
    <w:rsid w:val="00D0271E"/>
    <w:rsid w:val="00D02D78"/>
    <w:rsid w:val="00D031BA"/>
    <w:rsid w:val="00D03A40"/>
    <w:rsid w:val="00D03CBD"/>
    <w:rsid w:val="00D03FB1"/>
    <w:rsid w:val="00D04E27"/>
    <w:rsid w:val="00D07029"/>
    <w:rsid w:val="00D104FC"/>
    <w:rsid w:val="00D111B0"/>
    <w:rsid w:val="00D1183C"/>
    <w:rsid w:val="00D118E2"/>
    <w:rsid w:val="00D11D9E"/>
    <w:rsid w:val="00D13431"/>
    <w:rsid w:val="00D14404"/>
    <w:rsid w:val="00D152DB"/>
    <w:rsid w:val="00D1553F"/>
    <w:rsid w:val="00D15747"/>
    <w:rsid w:val="00D16860"/>
    <w:rsid w:val="00D17217"/>
    <w:rsid w:val="00D17A02"/>
    <w:rsid w:val="00D17F18"/>
    <w:rsid w:val="00D20562"/>
    <w:rsid w:val="00D20D03"/>
    <w:rsid w:val="00D216EA"/>
    <w:rsid w:val="00D22161"/>
    <w:rsid w:val="00D234A6"/>
    <w:rsid w:val="00D245C5"/>
    <w:rsid w:val="00D24655"/>
    <w:rsid w:val="00D24F6E"/>
    <w:rsid w:val="00D252A1"/>
    <w:rsid w:val="00D2558B"/>
    <w:rsid w:val="00D2589B"/>
    <w:rsid w:val="00D25F8E"/>
    <w:rsid w:val="00D26327"/>
    <w:rsid w:val="00D2661B"/>
    <w:rsid w:val="00D27C45"/>
    <w:rsid w:val="00D3034B"/>
    <w:rsid w:val="00D32DD8"/>
    <w:rsid w:val="00D33E67"/>
    <w:rsid w:val="00D34B49"/>
    <w:rsid w:val="00D3568E"/>
    <w:rsid w:val="00D35962"/>
    <w:rsid w:val="00D35C02"/>
    <w:rsid w:val="00D35CD7"/>
    <w:rsid w:val="00D366D5"/>
    <w:rsid w:val="00D36A58"/>
    <w:rsid w:val="00D374E7"/>
    <w:rsid w:val="00D37858"/>
    <w:rsid w:val="00D3793E"/>
    <w:rsid w:val="00D37A27"/>
    <w:rsid w:val="00D40043"/>
    <w:rsid w:val="00D40203"/>
    <w:rsid w:val="00D40455"/>
    <w:rsid w:val="00D40EC5"/>
    <w:rsid w:val="00D412EF"/>
    <w:rsid w:val="00D41BF0"/>
    <w:rsid w:val="00D41F1B"/>
    <w:rsid w:val="00D422AF"/>
    <w:rsid w:val="00D42320"/>
    <w:rsid w:val="00D4237A"/>
    <w:rsid w:val="00D42A23"/>
    <w:rsid w:val="00D4339F"/>
    <w:rsid w:val="00D43F67"/>
    <w:rsid w:val="00D4492B"/>
    <w:rsid w:val="00D46270"/>
    <w:rsid w:val="00D465BE"/>
    <w:rsid w:val="00D47196"/>
    <w:rsid w:val="00D473CA"/>
    <w:rsid w:val="00D47610"/>
    <w:rsid w:val="00D47A7D"/>
    <w:rsid w:val="00D5022D"/>
    <w:rsid w:val="00D5066A"/>
    <w:rsid w:val="00D50850"/>
    <w:rsid w:val="00D50C1B"/>
    <w:rsid w:val="00D50E79"/>
    <w:rsid w:val="00D50F7D"/>
    <w:rsid w:val="00D51630"/>
    <w:rsid w:val="00D516C4"/>
    <w:rsid w:val="00D51BCA"/>
    <w:rsid w:val="00D5226E"/>
    <w:rsid w:val="00D52715"/>
    <w:rsid w:val="00D52BFB"/>
    <w:rsid w:val="00D52CCC"/>
    <w:rsid w:val="00D53AE0"/>
    <w:rsid w:val="00D544CB"/>
    <w:rsid w:val="00D54534"/>
    <w:rsid w:val="00D54CA2"/>
    <w:rsid w:val="00D55761"/>
    <w:rsid w:val="00D5613C"/>
    <w:rsid w:val="00D5649B"/>
    <w:rsid w:val="00D56550"/>
    <w:rsid w:val="00D56AA0"/>
    <w:rsid w:val="00D56AB6"/>
    <w:rsid w:val="00D579FC"/>
    <w:rsid w:val="00D57C04"/>
    <w:rsid w:val="00D57E45"/>
    <w:rsid w:val="00D6047F"/>
    <w:rsid w:val="00D6059A"/>
    <w:rsid w:val="00D60A43"/>
    <w:rsid w:val="00D61197"/>
    <w:rsid w:val="00D6224E"/>
    <w:rsid w:val="00D63253"/>
    <w:rsid w:val="00D63711"/>
    <w:rsid w:val="00D63976"/>
    <w:rsid w:val="00D63B7F"/>
    <w:rsid w:val="00D6471B"/>
    <w:rsid w:val="00D66324"/>
    <w:rsid w:val="00D669E0"/>
    <w:rsid w:val="00D67144"/>
    <w:rsid w:val="00D70A18"/>
    <w:rsid w:val="00D71178"/>
    <w:rsid w:val="00D713C2"/>
    <w:rsid w:val="00D71799"/>
    <w:rsid w:val="00D726AD"/>
    <w:rsid w:val="00D72C84"/>
    <w:rsid w:val="00D731B5"/>
    <w:rsid w:val="00D73F37"/>
    <w:rsid w:val="00D74384"/>
    <w:rsid w:val="00D75479"/>
    <w:rsid w:val="00D75AEB"/>
    <w:rsid w:val="00D75C23"/>
    <w:rsid w:val="00D77BF6"/>
    <w:rsid w:val="00D804E6"/>
    <w:rsid w:val="00D81238"/>
    <w:rsid w:val="00D8146D"/>
    <w:rsid w:val="00D81787"/>
    <w:rsid w:val="00D81E36"/>
    <w:rsid w:val="00D826FA"/>
    <w:rsid w:val="00D82919"/>
    <w:rsid w:val="00D82A6B"/>
    <w:rsid w:val="00D83B43"/>
    <w:rsid w:val="00D83E78"/>
    <w:rsid w:val="00D85399"/>
    <w:rsid w:val="00D85B2A"/>
    <w:rsid w:val="00D863B3"/>
    <w:rsid w:val="00D86D27"/>
    <w:rsid w:val="00D87901"/>
    <w:rsid w:val="00D87B8E"/>
    <w:rsid w:val="00D90023"/>
    <w:rsid w:val="00D903B3"/>
    <w:rsid w:val="00D90837"/>
    <w:rsid w:val="00D9091F"/>
    <w:rsid w:val="00D90DC2"/>
    <w:rsid w:val="00D91169"/>
    <w:rsid w:val="00D911C1"/>
    <w:rsid w:val="00D91B79"/>
    <w:rsid w:val="00D93026"/>
    <w:rsid w:val="00D949CE"/>
    <w:rsid w:val="00D96CC5"/>
    <w:rsid w:val="00D97180"/>
    <w:rsid w:val="00D97DC3"/>
    <w:rsid w:val="00D97EDD"/>
    <w:rsid w:val="00DA0317"/>
    <w:rsid w:val="00DA0966"/>
    <w:rsid w:val="00DA0CB7"/>
    <w:rsid w:val="00DA0D7E"/>
    <w:rsid w:val="00DA0E34"/>
    <w:rsid w:val="00DA158A"/>
    <w:rsid w:val="00DA17B2"/>
    <w:rsid w:val="00DA1C89"/>
    <w:rsid w:val="00DA25ED"/>
    <w:rsid w:val="00DA2C0F"/>
    <w:rsid w:val="00DA36D2"/>
    <w:rsid w:val="00DA3B1E"/>
    <w:rsid w:val="00DA5224"/>
    <w:rsid w:val="00DA5A13"/>
    <w:rsid w:val="00DA5AFA"/>
    <w:rsid w:val="00DA5B43"/>
    <w:rsid w:val="00DA60F2"/>
    <w:rsid w:val="00DA64AD"/>
    <w:rsid w:val="00DA6C4B"/>
    <w:rsid w:val="00DA6E34"/>
    <w:rsid w:val="00DB224F"/>
    <w:rsid w:val="00DB24B5"/>
    <w:rsid w:val="00DB25FD"/>
    <w:rsid w:val="00DB2C3A"/>
    <w:rsid w:val="00DB3770"/>
    <w:rsid w:val="00DB39DE"/>
    <w:rsid w:val="00DB596A"/>
    <w:rsid w:val="00DB5FC0"/>
    <w:rsid w:val="00DB62D7"/>
    <w:rsid w:val="00DB74C5"/>
    <w:rsid w:val="00DB7C75"/>
    <w:rsid w:val="00DC03D2"/>
    <w:rsid w:val="00DC1C59"/>
    <w:rsid w:val="00DC206E"/>
    <w:rsid w:val="00DC226B"/>
    <w:rsid w:val="00DC254F"/>
    <w:rsid w:val="00DC3385"/>
    <w:rsid w:val="00DC33A8"/>
    <w:rsid w:val="00DC3E41"/>
    <w:rsid w:val="00DC3F96"/>
    <w:rsid w:val="00DC41D7"/>
    <w:rsid w:val="00DC42A9"/>
    <w:rsid w:val="00DC452F"/>
    <w:rsid w:val="00DC4572"/>
    <w:rsid w:val="00DC5990"/>
    <w:rsid w:val="00DC6417"/>
    <w:rsid w:val="00DC667A"/>
    <w:rsid w:val="00DC750E"/>
    <w:rsid w:val="00DC76EA"/>
    <w:rsid w:val="00DC7ED8"/>
    <w:rsid w:val="00DC7F9A"/>
    <w:rsid w:val="00DD01A8"/>
    <w:rsid w:val="00DD0F92"/>
    <w:rsid w:val="00DD0FA7"/>
    <w:rsid w:val="00DD141C"/>
    <w:rsid w:val="00DD1BF2"/>
    <w:rsid w:val="00DD2004"/>
    <w:rsid w:val="00DD21DB"/>
    <w:rsid w:val="00DD285D"/>
    <w:rsid w:val="00DD35B5"/>
    <w:rsid w:val="00DD42FA"/>
    <w:rsid w:val="00DD53DE"/>
    <w:rsid w:val="00DD54E3"/>
    <w:rsid w:val="00DD59A1"/>
    <w:rsid w:val="00DD5A7C"/>
    <w:rsid w:val="00DD5DA1"/>
    <w:rsid w:val="00DD609C"/>
    <w:rsid w:val="00DD626F"/>
    <w:rsid w:val="00DD78B0"/>
    <w:rsid w:val="00DD7C91"/>
    <w:rsid w:val="00DE088A"/>
    <w:rsid w:val="00DE198B"/>
    <w:rsid w:val="00DE19B9"/>
    <w:rsid w:val="00DE1BE3"/>
    <w:rsid w:val="00DE2177"/>
    <w:rsid w:val="00DE24AF"/>
    <w:rsid w:val="00DE26A0"/>
    <w:rsid w:val="00DE2C59"/>
    <w:rsid w:val="00DE2DFC"/>
    <w:rsid w:val="00DE39C1"/>
    <w:rsid w:val="00DE4442"/>
    <w:rsid w:val="00DE4DC4"/>
    <w:rsid w:val="00DE576A"/>
    <w:rsid w:val="00DE58CB"/>
    <w:rsid w:val="00DE617E"/>
    <w:rsid w:val="00DE715E"/>
    <w:rsid w:val="00DE7408"/>
    <w:rsid w:val="00DE7832"/>
    <w:rsid w:val="00DF0590"/>
    <w:rsid w:val="00DF06F0"/>
    <w:rsid w:val="00DF0B4C"/>
    <w:rsid w:val="00DF0D93"/>
    <w:rsid w:val="00DF195E"/>
    <w:rsid w:val="00DF2843"/>
    <w:rsid w:val="00DF2B0C"/>
    <w:rsid w:val="00DF386C"/>
    <w:rsid w:val="00DF39DA"/>
    <w:rsid w:val="00DF3A01"/>
    <w:rsid w:val="00DF3B29"/>
    <w:rsid w:val="00DF3F8F"/>
    <w:rsid w:val="00DF4333"/>
    <w:rsid w:val="00DF4AD0"/>
    <w:rsid w:val="00DF5DF4"/>
    <w:rsid w:val="00DF640C"/>
    <w:rsid w:val="00DF6FDB"/>
    <w:rsid w:val="00DF767F"/>
    <w:rsid w:val="00E00DE9"/>
    <w:rsid w:val="00E01005"/>
    <w:rsid w:val="00E027C1"/>
    <w:rsid w:val="00E034FE"/>
    <w:rsid w:val="00E035D0"/>
    <w:rsid w:val="00E03A77"/>
    <w:rsid w:val="00E03DB2"/>
    <w:rsid w:val="00E04343"/>
    <w:rsid w:val="00E049CA"/>
    <w:rsid w:val="00E04AF5"/>
    <w:rsid w:val="00E04FBF"/>
    <w:rsid w:val="00E05202"/>
    <w:rsid w:val="00E05DFD"/>
    <w:rsid w:val="00E05F2A"/>
    <w:rsid w:val="00E06825"/>
    <w:rsid w:val="00E06FFE"/>
    <w:rsid w:val="00E07517"/>
    <w:rsid w:val="00E07D15"/>
    <w:rsid w:val="00E07E5B"/>
    <w:rsid w:val="00E109E7"/>
    <w:rsid w:val="00E10B25"/>
    <w:rsid w:val="00E11326"/>
    <w:rsid w:val="00E11859"/>
    <w:rsid w:val="00E1219D"/>
    <w:rsid w:val="00E12374"/>
    <w:rsid w:val="00E12EAB"/>
    <w:rsid w:val="00E13462"/>
    <w:rsid w:val="00E13652"/>
    <w:rsid w:val="00E141AD"/>
    <w:rsid w:val="00E14BF3"/>
    <w:rsid w:val="00E15E96"/>
    <w:rsid w:val="00E16B52"/>
    <w:rsid w:val="00E17783"/>
    <w:rsid w:val="00E17FB0"/>
    <w:rsid w:val="00E225BF"/>
    <w:rsid w:val="00E23258"/>
    <w:rsid w:val="00E236FA"/>
    <w:rsid w:val="00E2402F"/>
    <w:rsid w:val="00E24494"/>
    <w:rsid w:val="00E24D2F"/>
    <w:rsid w:val="00E25F4F"/>
    <w:rsid w:val="00E2647F"/>
    <w:rsid w:val="00E27310"/>
    <w:rsid w:val="00E274DB"/>
    <w:rsid w:val="00E27DE0"/>
    <w:rsid w:val="00E304F6"/>
    <w:rsid w:val="00E3075D"/>
    <w:rsid w:val="00E30C37"/>
    <w:rsid w:val="00E329FD"/>
    <w:rsid w:val="00E32F8C"/>
    <w:rsid w:val="00E334D6"/>
    <w:rsid w:val="00E336B6"/>
    <w:rsid w:val="00E33FB9"/>
    <w:rsid w:val="00E3431A"/>
    <w:rsid w:val="00E34B2E"/>
    <w:rsid w:val="00E34E14"/>
    <w:rsid w:val="00E34EDF"/>
    <w:rsid w:val="00E35DCD"/>
    <w:rsid w:val="00E35EF7"/>
    <w:rsid w:val="00E365B3"/>
    <w:rsid w:val="00E36612"/>
    <w:rsid w:val="00E406ED"/>
    <w:rsid w:val="00E40C34"/>
    <w:rsid w:val="00E40CEF"/>
    <w:rsid w:val="00E40FE9"/>
    <w:rsid w:val="00E412F5"/>
    <w:rsid w:val="00E42026"/>
    <w:rsid w:val="00E42153"/>
    <w:rsid w:val="00E426EB"/>
    <w:rsid w:val="00E42962"/>
    <w:rsid w:val="00E4318B"/>
    <w:rsid w:val="00E43317"/>
    <w:rsid w:val="00E438A8"/>
    <w:rsid w:val="00E439DA"/>
    <w:rsid w:val="00E43BCB"/>
    <w:rsid w:val="00E43CE1"/>
    <w:rsid w:val="00E43F5D"/>
    <w:rsid w:val="00E44D0C"/>
    <w:rsid w:val="00E455F6"/>
    <w:rsid w:val="00E46532"/>
    <w:rsid w:val="00E467AA"/>
    <w:rsid w:val="00E4680F"/>
    <w:rsid w:val="00E46883"/>
    <w:rsid w:val="00E47857"/>
    <w:rsid w:val="00E47C07"/>
    <w:rsid w:val="00E501A6"/>
    <w:rsid w:val="00E50239"/>
    <w:rsid w:val="00E5087E"/>
    <w:rsid w:val="00E50D8D"/>
    <w:rsid w:val="00E525A6"/>
    <w:rsid w:val="00E52815"/>
    <w:rsid w:val="00E52A92"/>
    <w:rsid w:val="00E52E5E"/>
    <w:rsid w:val="00E5307F"/>
    <w:rsid w:val="00E53B1D"/>
    <w:rsid w:val="00E53B56"/>
    <w:rsid w:val="00E53BF6"/>
    <w:rsid w:val="00E5477F"/>
    <w:rsid w:val="00E550C7"/>
    <w:rsid w:val="00E55439"/>
    <w:rsid w:val="00E55725"/>
    <w:rsid w:val="00E5579F"/>
    <w:rsid w:val="00E56916"/>
    <w:rsid w:val="00E56C1B"/>
    <w:rsid w:val="00E56CD2"/>
    <w:rsid w:val="00E57974"/>
    <w:rsid w:val="00E57B13"/>
    <w:rsid w:val="00E607AA"/>
    <w:rsid w:val="00E614BA"/>
    <w:rsid w:val="00E61B64"/>
    <w:rsid w:val="00E62003"/>
    <w:rsid w:val="00E6224E"/>
    <w:rsid w:val="00E62570"/>
    <w:rsid w:val="00E62747"/>
    <w:rsid w:val="00E62F63"/>
    <w:rsid w:val="00E63168"/>
    <w:rsid w:val="00E63465"/>
    <w:rsid w:val="00E63511"/>
    <w:rsid w:val="00E64FA0"/>
    <w:rsid w:val="00E65862"/>
    <w:rsid w:val="00E6621D"/>
    <w:rsid w:val="00E6654B"/>
    <w:rsid w:val="00E67926"/>
    <w:rsid w:val="00E700B8"/>
    <w:rsid w:val="00E7014E"/>
    <w:rsid w:val="00E702FE"/>
    <w:rsid w:val="00E70760"/>
    <w:rsid w:val="00E70F45"/>
    <w:rsid w:val="00E71946"/>
    <w:rsid w:val="00E726B4"/>
    <w:rsid w:val="00E73315"/>
    <w:rsid w:val="00E73CA8"/>
    <w:rsid w:val="00E74881"/>
    <w:rsid w:val="00E74883"/>
    <w:rsid w:val="00E7490B"/>
    <w:rsid w:val="00E74D80"/>
    <w:rsid w:val="00E74E2A"/>
    <w:rsid w:val="00E75737"/>
    <w:rsid w:val="00E75920"/>
    <w:rsid w:val="00E767AA"/>
    <w:rsid w:val="00E76BDF"/>
    <w:rsid w:val="00E770C3"/>
    <w:rsid w:val="00E774C6"/>
    <w:rsid w:val="00E77BAB"/>
    <w:rsid w:val="00E77DBB"/>
    <w:rsid w:val="00E803DA"/>
    <w:rsid w:val="00E80671"/>
    <w:rsid w:val="00E809CC"/>
    <w:rsid w:val="00E8109E"/>
    <w:rsid w:val="00E814AE"/>
    <w:rsid w:val="00E81D29"/>
    <w:rsid w:val="00E83705"/>
    <w:rsid w:val="00E85075"/>
    <w:rsid w:val="00E852E3"/>
    <w:rsid w:val="00E85466"/>
    <w:rsid w:val="00E85BB2"/>
    <w:rsid w:val="00E85F86"/>
    <w:rsid w:val="00E85FEC"/>
    <w:rsid w:val="00E860E8"/>
    <w:rsid w:val="00E861ED"/>
    <w:rsid w:val="00E86441"/>
    <w:rsid w:val="00E8664D"/>
    <w:rsid w:val="00E8709C"/>
    <w:rsid w:val="00E875DF"/>
    <w:rsid w:val="00E90F70"/>
    <w:rsid w:val="00E918AD"/>
    <w:rsid w:val="00E91C11"/>
    <w:rsid w:val="00E9250D"/>
    <w:rsid w:val="00E9261D"/>
    <w:rsid w:val="00E92791"/>
    <w:rsid w:val="00E935F4"/>
    <w:rsid w:val="00E93908"/>
    <w:rsid w:val="00E93935"/>
    <w:rsid w:val="00E952D5"/>
    <w:rsid w:val="00E96A04"/>
    <w:rsid w:val="00E96E18"/>
    <w:rsid w:val="00E977F9"/>
    <w:rsid w:val="00E97B31"/>
    <w:rsid w:val="00EA0933"/>
    <w:rsid w:val="00EA1229"/>
    <w:rsid w:val="00EA14A5"/>
    <w:rsid w:val="00EA153C"/>
    <w:rsid w:val="00EA2973"/>
    <w:rsid w:val="00EA2E42"/>
    <w:rsid w:val="00EA40BE"/>
    <w:rsid w:val="00EA43C8"/>
    <w:rsid w:val="00EA4FFB"/>
    <w:rsid w:val="00EA5645"/>
    <w:rsid w:val="00EA5F26"/>
    <w:rsid w:val="00EA68EB"/>
    <w:rsid w:val="00EA6CB9"/>
    <w:rsid w:val="00EA6E20"/>
    <w:rsid w:val="00EA74FE"/>
    <w:rsid w:val="00EA7B2E"/>
    <w:rsid w:val="00EB08E0"/>
    <w:rsid w:val="00EB0BE4"/>
    <w:rsid w:val="00EB1550"/>
    <w:rsid w:val="00EB23F3"/>
    <w:rsid w:val="00EB23F9"/>
    <w:rsid w:val="00EB306D"/>
    <w:rsid w:val="00EB43AA"/>
    <w:rsid w:val="00EB4E9D"/>
    <w:rsid w:val="00EB51B2"/>
    <w:rsid w:val="00EB59B8"/>
    <w:rsid w:val="00EB59F0"/>
    <w:rsid w:val="00EB5A70"/>
    <w:rsid w:val="00EB5E20"/>
    <w:rsid w:val="00EB60F8"/>
    <w:rsid w:val="00EB664C"/>
    <w:rsid w:val="00EB69FD"/>
    <w:rsid w:val="00EB6BA8"/>
    <w:rsid w:val="00EB7048"/>
    <w:rsid w:val="00EB75EB"/>
    <w:rsid w:val="00EB7A9F"/>
    <w:rsid w:val="00EB7D03"/>
    <w:rsid w:val="00EB7D8B"/>
    <w:rsid w:val="00EC04A2"/>
    <w:rsid w:val="00EC0507"/>
    <w:rsid w:val="00EC0937"/>
    <w:rsid w:val="00EC0F9D"/>
    <w:rsid w:val="00EC1FF8"/>
    <w:rsid w:val="00EC2116"/>
    <w:rsid w:val="00EC271B"/>
    <w:rsid w:val="00EC3126"/>
    <w:rsid w:val="00EC3A2C"/>
    <w:rsid w:val="00EC3CE8"/>
    <w:rsid w:val="00EC3D5A"/>
    <w:rsid w:val="00EC4044"/>
    <w:rsid w:val="00EC4D39"/>
    <w:rsid w:val="00EC4E69"/>
    <w:rsid w:val="00EC54BB"/>
    <w:rsid w:val="00EC58CF"/>
    <w:rsid w:val="00EC6BCF"/>
    <w:rsid w:val="00EC6F47"/>
    <w:rsid w:val="00EC760D"/>
    <w:rsid w:val="00EC7DAC"/>
    <w:rsid w:val="00ED0E6E"/>
    <w:rsid w:val="00ED1865"/>
    <w:rsid w:val="00ED19F1"/>
    <w:rsid w:val="00ED29A1"/>
    <w:rsid w:val="00ED2DAA"/>
    <w:rsid w:val="00ED3C1A"/>
    <w:rsid w:val="00ED493C"/>
    <w:rsid w:val="00ED4DA4"/>
    <w:rsid w:val="00ED5007"/>
    <w:rsid w:val="00ED5C19"/>
    <w:rsid w:val="00ED6EF7"/>
    <w:rsid w:val="00ED745B"/>
    <w:rsid w:val="00EE1DA1"/>
    <w:rsid w:val="00EE28BD"/>
    <w:rsid w:val="00EE2F06"/>
    <w:rsid w:val="00EE337E"/>
    <w:rsid w:val="00EE33D3"/>
    <w:rsid w:val="00EE4021"/>
    <w:rsid w:val="00EE584F"/>
    <w:rsid w:val="00EE5AB6"/>
    <w:rsid w:val="00EE5DE7"/>
    <w:rsid w:val="00EE5E23"/>
    <w:rsid w:val="00EE6B1C"/>
    <w:rsid w:val="00EE7413"/>
    <w:rsid w:val="00EE7D11"/>
    <w:rsid w:val="00EE7EE1"/>
    <w:rsid w:val="00EF1158"/>
    <w:rsid w:val="00EF1622"/>
    <w:rsid w:val="00EF165C"/>
    <w:rsid w:val="00EF17C3"/>
    <w:rsid w:val="00EF2815"/>
    <w:rsid w:val="00EF3D1B"/>
    <w:rsid w:val="00EF434F"/>
    <w:rsid w:val="00EF470C"/>
    <w:rsid w:val="00EF4843"/>
    <w:rsid w:val="00EF4BDC"/>
    <w:rsid w:val="00EF513A"/>
    <w:rsid w:val="00EF551C"/>
    <w:rsid w:val="00EF692F"/>
    <w:rsid w:val="00EF6DDC"/>
    <w:rsid w:val="00EF7319"/>
    <w:rsid w:val="00EF7B43"/>
    <w:rsid w:val="00F00782"/>
    <w:rsid w:val="00F01235"/>
    <w:rsid w:val="00F01A82"/>
    <w:rsid w:val="00F01BE1"/>
    <w:rsid w:val="00F020C2"/>
    <w:rsid w:val="00F027A5"/>
    <w:rsid w:val="00F027F4"/>
    <w:rsid w:val="00F02A55"/>
    <w:rsid w:val="00F02B7A"/>
    <w:rsid w:val="00F03A2A"/>
    <w:rsid w:val="00F04F81"/>
    <w:rsid w:val="00F0575C"/>
    <w:rsid w:val="00F063FF"/>
    <w:rsid w:val="00F06DF8"/>
    <w:rsid w:val="00F1019A"/>
    <w:rsid w:val="00F10548"/>
    <w:rsid w:val="00F10F5C"/>
    <w:rsid w:val="00F11641"/>
    <w:rsid w:val="00F11909"/>
    <w:rsid w:val="00F1322B"/>
    <w:rsid w:val="00F1423E"/>
    <w:rsid w:val="00F14783"/>
    <w:rsid w:val="00F1492C"/>
    <w:rsid w:val="00F14EC0"/>
    <w:rsid w:val="00F14F5A"/>
    <w:rsid w:val="00F15A4B"/>
    <w:rsid w:val="00F17566"/>
    <w:rsid w:val="00F20001"/>
    <w:rsid w:val="00F2018B"/>
    <w:rsid w:val="00F202AB"/>
    <w:rsid w:val="00F20726"/>
    <w:rsid w:val="00F2209F"/>
    <w:rsid w:val="00F2217B"/>
    <w:rsid w:val="00F226BF"/>
    <w:rsid w:val="00F229C8"/>
    <w:rsid w:val="00F22AE5"/>
    <w:rsid w:val="00F230D9"/>
    <w:rsid w:val="00F23270"/>
    <w:rsid w:val="00F23FDA"/>
    <w:rsid w:val="00F24D3F"/>
    <w:rsid w:val="00F25B54"/>
    <w:rsid w:val="00F25C92"/>
    <w:rsid w:val="00F25DF8"/>
    <w:rsid w:val="00F2667A"/>
    <w:rsid w:val="00F26684"/>
    <w:rsid w:val="00F27078"/>
    <w:rsid w:val="00F3025E"/>
    <w:rsid w:val="00F3128F"/>
    <w:rsid w:val="00F31308"/>
    <w:rsid w:val="00F314FC"/>
    <w:rsid w:val="00F318B4"/>
    <w:rsid w:val="00F318CC"/>
    <w:rsid w:val="00F331B1"/>
    <w:rsid w:val="00F3337C"/>
    <w:rsid w:val="00F3346C"/>
    <w:rsid w:val="00F345BA"/>
    <w:rsid w:val="00F34DE4"/>
    <w:rsid w:val="00F34FE9"/>
    <w:rsid w:val="00F3502C"/>
    <w:rsid w:val="00F350F4"/>
    <w:rsid w:val="00F351AA"/>
    <w:rsid w:val="00F3638F"/>
    <w:rsid w:val="00F3662C"/>
    <w:rsid w:val="00F36839"/>
    <w:rsid w:val="00F36881"/>
    <w:rsid w:val="00F36EBA"/>
    <w:rsid w:val="00F37BA3"/>
    <w:rsid w:val="00F41691"/>
    <w:rsid w:val="00F42111"/>
    <w:rsid w:val="00F423AD"/>
    <w:rsid w:val="00F42535"/>
    <w:rsid w:val="00F4372F"/>
    <w:rsid w:val="00F43A92"/>
    <w:rsid w:val="00F43BB8"/>
    <w:rsid w:val="00F44206"/>
    <w:rsid w:val="00F452DB"/>
    <w:rsid w:val="00F456ED"/>
    <w:rsid w:val="00F4601B"/>
    <w:rsid w:val="00F466AE"/>
    <w:rsid w:val="00F469BB"/>
    <w:rsid w:val="00F473BD"/>
    <w:rsid w:val="00F479F6"/>
    <w:rsid w:val="00F50CC1"/>
    <w:rsid w:val="00F511EA"/>
    <w:rsid w:val="00F518B5"/>
    <w:rsid w:val="00F51A1D"/>
    <w:rsid w:val="00F526B2"/>
    <w:rsid w:val="00F54754"/>
    <w:rsid w:val="00F54847"/>
    <w:rsid w:val="00F5496F"/>
    <w:rsid w:val="00F54A32"/>
    <w:rsid w:val="00F5577E"/>
    <w:rsid w:val="00F560A7"/>
    <w:rsid w:val="00F561B8"/>
    <w:rsid w:val="00F5673C"/>
    <w:rsid w:val="00F56D85"/>
    <w:rsid w:val="00F57515"/>
    <w:rsid w:val="00F57551"/>
    <w:rsid w:val="00F5760C"/>
    <w:rsid w:val="00F57C00"/>
    <w:rsid w:val="00F6002C"/>
    <w:rsid w:val="00F606E0"/>
    <w:rsid w:val="00F60A42"/>
    <w:rsid w:val="00F61BB0"/>
    <w:rsid w:val="00F61E13"/>
    <w:rsid w:val="00F62228"/>
    <w:rsid w:val="00F62583"/>
    <w:rsid w:val="00F62D3C"/>
    <w:rsid w:val="00F62EC9"/>
    <w:rsid w:val="00F6319C"/>
    <w:rsid w:val="00F633A8"/>
    <w:rsid w:val="00F63629"/>
    <w:rsid w:val="00F63BF7"/>
    <w:rsid w:val="00F63D24"/>
    <w:rsid w:val="00F64392"/>
    <w:rsid w:val="00F650A8"/>
    <w:rsid w:val="00F65598"/>
    <w:rsid w:val="00F65608"/>
    <w:rsid w:val="00F657CD"/>
    <w:rsid w:val="00F659E3"/>
    <w:rsid w:val="00F65CB9"/>
    <w:rsid w:val="00F65DCB"/>
    <w:rsid w:val="00F66F5C"/>
    <w:rsid w:val="00F670E2"/>
    <w:rsid w:val="00F6789C"/>
    <w:rsid w:val="00F67B6C"/>
    <w:rsid w:val="00F67C71"/>
    <w:rsid w:val="00F67E76"/>
    <w:rsid w:val="00F67EBA"/>
    <w:rsid w:val="00F703B0"/>
    <w:rsid w:val="00F71993"/>
    <w:rsid w:val="00F71B79"/>
    <w:rsid w:val="00F72F59"/>
    <w:rsid w:val="00F72FF5"/>
    <w:rsid w:val="00F731BC"/>
    <w:rsid w:val="00F73204"/>
    <w:rsid w:val="00F73DA0"/>
    <w:rsid w:val="00F73DF0"/>
    <w:rsid w:val="00F73E46"/>
    <w:rsid w:val="00F74948"/>
    <w:rsid w:val="00F74D97"/>
    <w:rsid w:val="00F74D9D"/>
    <w:rsid w:val="00F74F5E"/>
    <w:rsid w:val="00F75086"/>
    <w:rsid w:val="00F751C4"/>
    <w:rsid w:val="00F758B6"/>
    <w:rsid w:val="00F7602D"/>
    <w:rsid w:val="00F768FD"/>
    <w:rsid w:val="00F76FA7"/>
    <w:rsid w:val="00F771DE"/>
    <w:rsid w:val="00F77546"/>
    <w:rsid w:val="00F777AC"/>
    <w:rsid w:val="00F779DD"/>
    <w:rsid w:val="00F80911"/>
    <w:rsid w:val="00F80E21"/>
    <w:rsid w:val="00F81C0D"/>
    <w:rsid w:val="00F82094"/>
    <w:rsid w:val="00F8259E"/>
    <w:rsid w:val="00F82621"/>
    <w:rsid w:val="00F829DC"/>
    <w:rsid w:val="00F82BE9"/>
    <w:rsid w:val="00F82D4B"/>
    <w:rsid w:val="00F82F0D"/>
    <w:rsid w:val="00F838EE"/>
    <w:rsid w:val="00F8412F"/>
    <w:rsid w:val="00F85231"/>
    <w:rsid w:val="00F86640"/>
    <w:rsid w:val="00F86A7A"/>
    <w:rsid w:val="00F87B81"/>
    <w:rsid w:val="00F90164"/>
    <w:rsid w:val="00F90879"/>
    <w:rsid w:val="00F90ECE"/>
    <w:rsid w:val="00F927CC"/>
    <w:rsid w:val="00F93A45"/>
    <w:rsid w:val="00F93C05"/>
    <w:rsid w:val="00F944EC"/>
    <w:rsid w:val="00F95599"/>
    <w:rsid w:val="00F958C5"/>
    <w:rsid w:val="00F95957"/>
    <w:rsid w:val="00F95AF7"/>
    <w:rsid w:val="00F9643B"/>
    <w:rsid w:val="00F96F2C"/>
    <w:rsid w:val="00F96F57"/>
    <w:rsid w:val="00F9751C"/>
    <w:rsid w:val="00F97E6E"/>
    <w:rsid w:val="00FA01B6"/>
    <w:rsid w:val="00FA07DB"/>
    <w:rsid w:val="00FA2733"/>
    <w:rsid w:val="00FA2AE6"/>
    <w:rsid w:val="00FA4A19"/>
    <w:rsid w:val="00FA5630"/>
    <w:rsid w:val="00FA59C9"/>
    <w:rsid w:val="00FA692E"/>
    <w:rsid w:val="00FA6998"/>
    <w:rsid w:val="00FA7AF1"/>
    <w:rsid w:val="00FB08C4"/>
    <w:rsid w:val="00FB0D2A"/>
    <w:rsid w:val="00FB13A3"/>
    <w:rsid w:val="00FB18BB"/>
    <w:rsid w:val="00FB1C3C"/>
    <w:rsid w:val="00FB1E2C"/>
    <w:rsid w:val="00FB3953"/>
    <w:rsid w:val="00FB3EE1"/>
    <w:rsid w:val="00FB4B8B"/>
    <w:rsid w:val="00FB4DA3"/>
    <w:rsid w:val="00FB4F4A"/>
    <w:rsid w:val="00FB548E"/>
    <w:rsid w:val="00FB5EAA"/>
    <w:rsid w:val="00FB618A"/>
    <w:rsid w:val="00FB6D8E"/>
    <w:rsid w:val="00FB7529"/>
    <w:rsid w:val="00FB75E4"/>
    <w:rsid w:val="00FB78A2"/>
    <w:rsid w:val="00FB7D3F"/>
    <w:rsid w:val="00FC05CE"/>
    <w:rsid w:val="00FC0D2D"/>
    <w:rsid w:val="00FC100B"/>
    <w:rsid w:val="00FC16A4"/>
    <w:rsid w:val="00FC2ADD"/>
    <w:rsid w:val="00FC32B0"/>
    <w:rsid w:val="00FC32B6"/>
    <w:rsid w:val="00FC32EC"/>
    <w:rsid w:val="00FC3548"/>
    <w:rsid w:val="00FC440D"/>
    <w:rsid w:val="00FC44EC"/>
    <w:rsid w:val="00FC4667"/>
    <w:rsid w:val="00FC545C"/>
    <w:rsid w:val="00FC5B64"/>
    <w:rsid w:val="00FC6DA9"/>
    <w:rsid w:val="00FC74C5"/>
    <w:rsid w:val="00FC74F4"/>
    <w:rsid w:val="00FC78B2"/>
    <w:rsid w:val="00FC7A02"/>
    <w:rsid w:val="00FC7DB7"/>
    <w:rsid w:val="00FD03D5"/>
    <w:rsid w:val="00FD0845"/>
    <w:rsid w:val="00FD1071"/>
    <w:rsid w:val="00FD1129"/>
    <w:rsid w:val="00FD1886"/>
    <w:rsid w:val="00FD1A26"/>
    <w:rsid w:val="00FD1A82"/>
    <w:rsid w:val="00FD1EFC"/>
    <w:rsid w:val="00FD2162"/>
    <w:rsid w:val="00FD2F6F"/>
    <w:rsid w:val="00FD3112"/>
    <w:rsid w:val="00FD320B"/>
    <w:rsid w:val="00FD35A3"/>
    <w:rsid w:val="00FD3A81"/>
    <w:rsid w:val="00FD3C5A"/>
    <w:rsid w:val="00FD4CAA"/>
    <w:rsid w:val="00FD559D"/>
    <w:rsid w:val="00FD565E"/>
    <w:rsid w:val="00FD6C6F"/>
    <w:rsid w:val="00FD75E9"/>
    <w:rsid w:val="00FD7F10"/>
    <w:rsid w:val="00FE0F46"/>
    <w:rsid w:val="00FE11AD"/>
    <w:rsid w:val="00FE11B0"/>
    <w:rsid w:val="00FE1EED"/>
    <w:rsid w:val="00FE1FA7"/>
    <w:rsid w:val="00FE2091"/>
    <w:rsid w:val="00FE3081"/>
    <w:rsid w:val="00FE3259"/>
    <w:rsid w:val="00FE384C"/>
    <w:rsid w:val="00FE3A2C"/>
    <w:rsid w:val="00FE423A"/>
    <w:rsid w:val="00FE426C"/>
    <w:rsid w:val="00FE4357"/>
    <w:rsid w:val="00FE46E1"/>
    <w:rsid w:val="00FE4A1D"/>
    <w:rsid w:val="00FE4BA1"/>
    <w:rsid w:val="00FE4BCF"/>
    <w:rsid w:val="00FE555E"/>
    <w:rsid w:val="00FE6418"/>
    <w:rsid w:val="00FE66AE"/>
    <w:rsid w:val="00FE695C"/>
    <w:rsid w:val="00FE747F"/>
    <w:rsid w:val="00FE74F7"/>
    <w:rsid w:val="00FE762A"/>
    <w:rsid w:val="00FE7876"/>
    <w:rsid w:val="00FE7A07"/>
    <w:rsid w:val="00FE7A2D"/>
    <w:rsid w:val="00FE7FD3"/>
    <w:rsid w:val="00FF0D22"/>
    <w:rsid w:val="00FF0FEF"/>
    <w:rsid w:val="00FF1878"/>
    <w:rsid w:val="00FF1E1A"/>
    <w:rsid w:val="00FF1E90"/>
    <w:rsid w:val="00FF24DE"/>
    <w:rsid w:val="00FF284E"/>
    <w:rsid w:val="00FF28C1"/>
    <w:rsid w:val="00FF2E3B"/>
    <w:rsid w:val="00FF3042"/>
    <w:rsid w:val="00FF3BB4"/>
    <w:rsid w:val="00FF3FC4"/>
    <w:rsid w:val="00FF4036"/>
    <w:rsid w:val="00FF4F53"/>
    <w:rsid w:val="00FF527C"/>
    <w:rsid w:val="00FF53D4"/>
    <w:rsid w:val="00FF56D2"/>
    <w:rsid w:val="00FF60F0"/>
    <w:rsid w:val="00FF6FDC"/>
    <w:rsid w:val="00FF713A"/>
    <w:rsid w:val="00FF72EC"/>
    <w:rsid w:val="00FF7C5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PT" w:eastAsia="pt-PT"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3E367B"/>
    <w:rPr>
      <w:sz w:val="24"/>
      <w:szCs w:val="24"/>
    </w:rPr>
  </w:style>
  <w:style w:type="paragraph" w:styleId="Cabealho1">
    <w:name w:val="heading 1"/>
    <w:basedOn w:val="Normal"/>
    <w:next w:val="Normal"/>
    <w:link w:val="Cabealho1Carcter"/>
    <w:uiPriority w:val="99"/>
    <w:qFormat/>
    <w:rsid w:val="00F3025E"/>
    <w:pPr>
      <w:widowControl w:val="0"/>
      <w:autoSpaceDE w:val="0"/>
      <w:autoSpaceDN w:val="0"/>
      <w:adjustRightInd w:val="0"/>
      <w:outlineLvl w:val="0"/>
    </w:pPr>
    <w:rPr>
      <w:rFonts w:ascii="Courier New" w:hAnsi="Courier New"/>
      <w:b/>
      <w:bCs/>
      <w:color w:val="000000"/>
      <w:sz w:val="32"/>
      <w:szCs w:val="32"/>
    </w:rPr>
  </w:style>
  <w:style w:type="paragraph" w:styleId="Cabealho2">
    <w:name w:val="heading 2"/>
    <w:basedOn w:val="Normal"/>
    <w:next w:val="Normal"/>
    <w:link w:val="Cabealho2Carcter"/>
    <w:uiPriority w:val="99"/>
    <w:qFormat/>
    <w:rsid w:val="00B315A2"/>
    <w:pPr>
      <w:keepNext/>
      <w:numPr>
        <w:ilvl w:val="1"/>
        <w:numId w:val="1"/>
      </w:numPr>
      <w:spacing w:before="240" w:after="240"/>
      <w:outlineLvl w:val="1"/>
    </w:pPr>
    <w:rPr>
      <w:b/>
      <w:i/>
      <w:sz w:val="20"/>
      <w:szCs w:val="20"/>
      <w:lang w:val="en-US" w:eastAsia="en-US"/>
    </w:rPr>
  </w:style>
  <w:style w:type="paragraph" w:styleId="Cabealho3">
    <w:name w:val="heading 3"/>
    <w:basedOn w:val="Normal"/>
    <w:next w:val="Normal"/>
    <w:link w:val="Cabealho3Carcter"/>
    <w:uiPriority w:val="99"/>
    <w:qFormat/>
    <w:rsid w:val="00B315A2"/>
    <w:pPr>
      <w:keepNext/>
      <w:numPr>
        <w:ilvl w:val="2"/>
        <w:numId w:val="1"/>
      </w:numPr>
      <w:spacing w:before="240" w:after="240"/>
      <w:outlineLvl w:val="2"/>
    </w:pPr>
    <w:rPr>
      <w:sz w:val="20"/>
      <w:szCs w:val="20"/>
      <w:u w:val="single"/>
      <w:lang w:val="en-US" w:eastAsia="en-US"/>
    </w:rPr>
  </w:style>
  <w:style w:type="paragraph" w:styleId="Cabealho4">
    <w:name w:val="heading 4"/>
    <w:basedOn w:val="Normal"/>
    <w:next w:val="Normal"/>
    <w:link w:val="Cabealho4Carcter"/>
    <w:uiPriority w:val="99"/>
    <w:qFormat/>
    <w:rsid w:val="00B315A2"/>
    <w:pPr>
      <w:keepNext/>
      <w:numPr>
        <w:ilvl w:val="3"/>
        <w:numId w:val="1"/>
      </w:numPr>
      <w:spacing w:before="240" w:after="60"/>
      <w:jc w:val="both"/>
      <w:outlineLvl w:val="3"/>
    </w:pPr>
    <w:rPr>
      <w:rFonts w:ascii="Calibri" w:hAnsi="Calibri"/>
      <w:b/>
      <w:bCs/>
      <w:sz w:val="28"/>
      <w:szCs w:val="28"/>
    </w:rPr>
  </w:style>
  <w:style w:type="paragraph" w:styleId="Cabealho5">
    <w:name w:val="heading 5"/>
    <w:basedOn w:val="Normal"/>
    <w:next w:val="Normal"/>
    <w:link w:val="Cabealho5Carcter"/>
    <w:uiPriority w:val="99"/>
    <w:qFormat/>
    <w:rsid w:val="00B315A2"/>
    <w:pPr>
      <w:numPr>
        <w:ilvl w:val="4"/>
        <w:numId w:val="1"/>
      </w:numPr>
      <w:spacing w:before="240" w:after="60"/>
      <w:jc w:val="both"/>
      <w:outlineLvl w:val="4"/>
    </w:pPr>
    <w:rPr>
      <w:rFonts w:ascii="Calibri" w:hAnsi="Calibri"/>
      <w:b/>
      <w:bCs/>
      <w:i/>
      <w:iCs/>
      <w:sz w:val="26"/>
      <w:szCs w:val="26"/>
    </w:rPr>
  </w:style>
  <w:style w:type="paragraph" w:styleId="Cabealho6">
    <w:name w:val="heading 6"/>
    <w:basedOn w:val="Normal"/>
    <w:next w:val="Normal"/>
    <w:link w:val="Cabealho6Carcter"/>
    <w:uiPriority w:val="99"/>
    <w:qFormat/>
    <w:rsid w:val="00B315A2"/>
    <w:pPr>
      <w:numPr>
        <w:ilvl w:val="5"/>
        <w:numId w:val="1"/>
      </w:numPr>
      <w:spacing w:before="240" w:after="60"/>
      <w:jc w:val="both"/>
      <w:outlineLvl w:val="5"/>
    </w:pPr>
    <w:rPr>
      <w:rFonts w:ascii="Calibri" w:hAnsi="Calibri"/>
      <w:b/>
      <w:bCs/>
      <w:sz w:val="20"/>
      <w:szCs w:val="20"/>
    </w:rPr>
  </w:style>
  <w:style w:type="paragraph" w:styleId="Cabealho7">
    <w:name w:val="heading 7"/>
    <w:basedOn w:val="Normal"/>
    <w:next w:val="Normal"/>
    <w:link w:val="Cabealho7Carcter"/>
    <w:uiPriority w:val="99"/>
    <w:qFormat/>
    <w:rsid w:val="00B315A2"/>
    <w:pPr>
      <w:numPr>
        <w:ilvl w:val="6"/>
        <w:numId w:val="1"/>
      </w:numPr>
      <w:spacing w:before="240" w:after="60"/>
      <w:jc w:val="both"/>
      <w:outlineLvl w:val="6"/>
    </w:pPr>
    <w:rPr>
      <w:rFonts w:ascii="Calibri" w:hAnsi="Calibri"/>
    </w:rPr>
  </w:style>
  <w:style w:type="paragraph" w:styleId="Cabealho8">
    <w:name w:val="heading 8"/>
    <w:basedOn w:val="Normal"/>
    <w:next w:val="Normal"/>
    <w:link w:val="Cabealho8Carcter"/>
    <w:uiPriority w:val="99"/>
    <w:qFormat/>
    <w:rsid w:val="00B315A2"/>
    <w:pPr>
      <w:numPr>
        <w:ilvl w:val="7"/>
        <w:numId w:val="1"/>
      </w:numPr>
      <w:spacing w:before="240" w:after="60"/>
      <w:jc w:val="both"/>
      <w:outlineLvl w:val="7"/>
    </w:pPr>
    <w:rPr>
      <w:rFonts w:ascii="Calibri" w:hAnsi="Calibri"/>
      <w:i/>
      <w:iCs/>
    </w:rPr>
  </w:style>
  <w:style w:type="paragraph" w:styleId="Cabealho9">
    <w:name w:val="heading 9"/>
    <w:basedOn w:val="Normal"/>
    <w:next w:val="Normal"/>
    <w:link w:val="Cabealho9Carcter"/>
    <w:uiPriority w:val="99"/>
    <w:qFormat/>
    <w:rsid w:val="00B315A2"/>
    <w:pPr>
      <w:numPr>
        <w:ilvl w:val="8"/>
        <w:numId w:val="1"/>
      </w:numPr>
      <w:spacing w:before="240" w:after="60"/>
      <w:jc w:val="both"/>
      <w:outlineLvl w:val="8"/>
    </w:pPr>
    <w:rPr>
      <w:rFonts w:ascii="Cambria" w:hAnsi="Cambria"/>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link w:val="Cabealho1"/>
    <w:uiPriority w:val="99"/>
    <w:locked/>
    <w:rsid w:val="00F3025E"/>
    <w:rPr>
      <w:rFonts w:ascii="Courier New" w:hAnsi="Courier New"/>
      <w:b/>
      <w:color w:val="000000"/>
      <w:sz w:val="32"/>
    </w:rPr>
  </w:style>
  <w:style w:type="character" w:customStyle="1" w:styleId="Cabealho2Carcter">
    <w:name w:val="Cabeçalho 2 Carácter"/>
    <w:link w:val="Cabealho2"/>
    <w:uiPriority w:val="99"/>
    <w:locked/>
    <w:rsid w:val="00F3025E"/>
    <w:rPr>
      <w:b/>
      <w:i/>
      <w:lang w:val="en-US" w:eastAsia="en-US"/>
    </w:rPr>
  </w:style>
  <w:style w:type="character" w:customStyle="1" w:styleId="Cabealho3Carcter">
    <w:name w:val="Cabeçalho 3 Carácter"/>
    <w:link w:val="Cabealho3"/>
    <w:uiPriority w:val="99"/>
    <w:locked/>
    <w:rsid w:val="00F3025E"/>
    <w:rPr>
      <w:u w:val="single"/>
      <w:lang w:val="en-US" w:eastAsia="en-US"/>
    </w:rPr>
  </w:style>
  <w:style w:type="character" w:customStyle="1" w:styleId="Cabealho4Carcter">
    <w:name w:val="Cabeçalho 4 Carácter"/>
    <w:link w:val="Cabealho4"/>
    <w:uiPriority w:val="99"/>
    <w:locked/>
    <w:rsid w:val="00CC2B78"/>
    <w:rPr>
      <w:rFonts w:ascii="Calibri" w:hAnsi="Calibri"/>
      <w:b/>
      <w:bCs/>
      <w:sz w:val="28"/>
      <w:szCs w:val="28"/>
    </w:rPr>
  </w:style>
  <w:style w:type="character" w:customStyle="1" w:styleId="Cabealho5Carcter">
    <w:name w:val="Cabeçalho 5 Carácter"/>
    <w:link w:val="Cabealho5"/>
    <w:uiPriority w:val="99"/>
    <w:locked/>
    <w:rsid w:val="00CC2B78"/>
    <w:rPr>
      <w:rFonts w:ascii="Calibri" w:hAnsi="Calibri"/>
      <w:b/>
      <w:bCs/>
      <w:i/>
      <w:iCs/>
      <w:sz w:val="26"/>
      <w:szCs w:val="26"/>
    </w:rPr>
  </w:style>
  <w:style w:type="character" w:customStyle="1" w:styleId="Cabealho6Carcter">
    <w:name w:val="Cabeçalho 6 Carácter"/>
    <w:link w:val="Cabealho6"/>
    <w:uiPriority w:val="99"/>
    <w:locked/>
    <w:rsid w:val="00CC2B78"/>
    <w:rPr>
      <w:rFonts w:ascii="Calibri" w:hAnsi="Calibri"/>
      <w:b/>
      <w:bCs/>
    </w:rPr>
  </w:style>
  <w:style w:type="character" w:customStyle="1" w:styleId="Cabealho7Carcter">
    <w:name w:val="Cabeçalho 7 Carácter"/>
    <w:link w:val="Cabealho7"/>
    <w:uiPriority w:val="99"/>
    <w:locked/>
    <w:rsid w:val="00CC2B78"/>
    <w:rPr>
      <w:rFonts w:ascii="Calibri" w:hAnsi="Calibri"/>
      <w:sz w:val="24"/>
      <w:szCs w:val="24"/>
    </w:rPr>
  </w:style>
  <w:style w:type="character" w:customStyle="1" w:styleId="Cabealho8Carcter">
    <w:name w:val="Cabeçalho 8 Carácter"/>
    <w:link w:val="Cabealho8"/>
    <w:uiPriority w:val="99"/>
    <w:locked/>
    <w:rsid w:val="00CC2B78"/>
    <w:rPr>
      <w:rFonts w:ascii="Calibri" w:hAnsi="Calibri"/>
      <w:i/>
      <w:iCs/>
      <w:sz w:val="24"/>
      <w:szCs w:val="24"/>
    </w:rPr>
  </w:style>
  <w:style w:type="character" w:customStyle="1" w:styleId="Cabealho9Carcter">
    <w:name w:val="Cabeçalho 9 Carácter"/>
    <w:link w:val="Cabealho9"/>
    <w:uiPriority w:val="99"/>
    <w:locked/>
    <w:rsid w:val="00CC2B78"/>
    <w:rPr>
      <w:rFonts w:ascii="Cambria" w:hAnsi="Cambria"/>
    </w:rPr>
  </w:style>
  <w:style w:type="character" w:styleId="Hiperligao">
    <w:name w:val="Hyperlink"/>
    <w:uiPriority w:val="99"/>
    <w:rsid w:val="00117D45"/>
    <w:rPr>
      <w:rFonts w:cs="Times New Roman"/>
      <w:color w:val="0000FF"/>
      <w:u w:val="single"/>
    </w:rPr>
  </w:style>
  <w:style w:type="paragraph" w:styleId="Cabealho">
    <w:name w:val="header"/>
    <w:basedOn w:val="Normal"/>
    <w:link w:val="CabealhoCarcter"/>
    <w:uiPriority w:val="99"/>
    <w:rsid w:val="00DA60F2"/>
    <w:pPr>
      <w:tabs>
        <w:tab w:val="center" w:pos="4252"/>
        <w:tab w:val="right" w:pos="8504"/>
      </w:tabs>
    </w:pPr>
  </w:style>
  <w:style w:type="character" w:customStyle="1" w:styleId="CabealhoCarcter">
    <w:name w:val="Cabeçalho Carácter"/>
    <w:link w:val="Cabealho"/>
    <w:uiPriority w:val="99"/>
    <w:locked/>
    <w:rsid w:val="00DA60F2"/>
    <w:rPr>
      <w:sz w:val="24"/>
    </w:rPr>
  </w:style>
  <w:style w:type="paragraph" w:styleId="Rodap">
    <w:name w:val="footer"/>
    <w:basedOn w:val="Normal"/>
    <w:link w:val="RodapCarcter"/>
    <w:uiPriority w:val="99"/>
    <w:rsid w:val="00DA60F2"/>
    <w:pPr>
      <w:tabs>
        <w:tab w:val="center" w:pos="4252"/>
        <w:tab w:val="right" w:pos="8504"/>
      </w:tabs>
    </w:pPr>
  </w:style>
  <w:style w:type="character" w:customStyle="1" w:styleId="RodapCarcter">
    <w:name w:val="Rodapé Carácter"/>
    <w:link w:val="Rodap"/>
    <w:uiPriority w:val="99"/>
    <w:locked/>
    <w:rsid w:val="00DA60F2"/>
    <w:rPr>
      <w:sz w:val="24"/>
    </w:rPr>
  </w:style>
  <w:style w:type="paragraph" w:styleId="Textodebalo">
    <w:name w:val="Balloon Text"/>
    <w:basedOn w:val="Normal"/>
    <w:link w:val="TextodebaloCarcter"/>
    <w:uiPriority w:val="99"/>
    <w:rsid w:val="00DA60F2"/>
    <w:rPr>
      <w:rFonts w:ascii="Tahoma" w:hAnsi="Tahoma"/>
      <w:sz w:val="16"/>
      <w:szCs w:val="16"/>
    </w:rPr>
  </w:style>
  <w:style w:type="character" w:customStyle="1" w:styleId="TextodebaloCarcter">
    <w:name w:val="Texto de balão Carácter"/>
    <w:link w:val="Textodebalo"/>
    <w:uiPriority w:val="99"/>
    <w:locked/>
    <w:rsid w:val="00DA60F2"/>
    <w:rPr>
      <w:rFonts w:ascii="Tahoma" w:hAnsi="Tahoma"/>
      <w:sz w:val="16"/>
    </w:rPr>
  </w:style>
  <w:style w:type="paragraph" w:styleId="PargrafodaLista">
    <w:name w:val="List Paragraph"/>
    <w:basedOn w:val="Normal"/>
    <w:uiPriority w:val="99"/>
    <w:qFormat/>
    <w:rsid w:val="009219F8"/>
    <w:pPr>
      <w:ind w:left="708"/>
    </w:pPr>
  </w:style>
  <w:style w:type="paragraph" w:styleId="ndice1">
    <w:name w:val="toc 1"/>
    <w:basedOn w:val="Normal"/>
    <w:next w:val="Normal"/>
    <w:autoRedefine/>
    <w:uiPriority w:val="39"/>
    <w:rsid w:val="00780322"/>
    <w:pPr>
      <w:tabs>
        <w:tab w:val="left" w:pos="480"/>
        <w:tab w:val="right" w:leader="dot" w:pos="9062"/>
      </w:tabs>
      <w:ind w:left="142"/>
    </w:pPr>
  </w:style>
  <w:style w:type="paragraph" w:styleId="NormalWeb">
    <w:name w:val="Normal (Web)"/>
    <w:basedOn w:val="Normal"/>
    <w:uiPriority w:val="99"/>
    <w:rsid w:val="00AC2A4D"/>
    <w:pPr>
      <w:spacing w:before="100" w:beforeAutospacing="1" w:after="100" w:afterAutospacing="1"/>
    </w:pPr>
  </w:style>
  <w:style w:type="table" w:styleId="Tabelaclssica1">
    <w:name w:val="Table Classic 1"/>
    <w:basedOn w:val="Tabelanormal"/>
    <w:uiPriority w:val="99"/>
    <w:rsid w:val="0091409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Textodenotaderodap">
    <w:name w:val="footnote text"/>
    <w:basedOn w:val="Normal"/>
    <w:link w:val="TextodenotaderodapCarcter"/>
    <w:uiPriority w:val="99"/>
    <w:rsid w:val="008F62FC"/>
    <w:rPr>
      <w:sz w:val="20"/>
      <w:szCs w:val="20"/>
    </w:rPr>
  </w:style>
  <w:style w:type="character" w:customStyle="1" w:styleId="TextodenotaderodapCarcter">
    <w:name w:val="Texto de nota de rodapé Carácter"/>
    <w:basedOn w:val="Tipodeletrapredefinidodopargrafo"/>
    <w:link w:val="Textodenotaderodap"/>
    <w:uiPriority w:val="99"/>
    <w:locked/>
    <w:rsid w:val="008F62FC"/>
  </w:style>
  <w:style w:type="character" w:styleId="Refdenotaderodap">
    <w:name w:val="footnote reference"/>
    <w:uiPriority w:val="99"/>
    <w:rsid w:val="008F62FC"/>
    <w:rPr>
      <w:rFonts w:cs="Times New Roman"/>
      <w:vertAlign w:val="superscript"/>
    </w:rPr>
  </w:style>
  <w:style w:type="paragraph" w:customStyle="1" w:styleId="FootnoteText1">
    <w:name w:val="Footnote Text1"/>
    <w:basedOn w:val="Normal"/>
    <w:next w:val="Normal"/>
    <w:uiPriority w:val="99"/>
    <w:rsid w:val="00CB2159"/>
    <w:pPr>
      <w:autoSpaceDE w:val="0"/>
      <w:autoSpaceDN w:val="0"/>
      <w:adjustRightInd w:val="0"/>
    </w:pPr>
  </w:style>
  <w:style w:type="character" w:styleId="nfase">
    <w:name w:val="Emphasis"/>
    <w:uiPriority w:val="99"/>
    <w:qFormat/>
    <w:rsid w:val="00CB2159"/>
    <w:rPr>
      <w:rFonts w:cs="Times New Roman"/>
      <w:i/>
    </w:rPr>
  </w:style>
  <w:style w:type="character" w:customStyle="1" w:styleId="acadbibprimaryauthor">
    <w:name w:val="acadbibprimaryauthor"/>
    <w:uiPriority w:val="99"/>
    <w:rsid w:val="00BD1F66"/>
  </w:style>
  <w:style w:type="character" w:customStyle="1" w:styleId="acadbibsecondaryauthor">
    <w:name w:val="acadbibsecondaryauthor"/>
    <w:uiPriority w:val="99"/>
    <w:rsid w:val="00BD1F66"/>
  </w:style>
  <w:style w:type="character" w:customStyle="1" w:styleId="acadbibtitle">
    <w:name w:val="acadbibtitle"/>
    <w:uiPriority w:val="99"/>
    <w:rsid w:val="00BD1F66"/>
  </w:style>
  <w:style w:type="character" w:customStyle="1" w:styleId="acadbibserialtitle">
    <w:name w:val="acadbibserialtitle"/>
    <w:uiPriority w:val="99"/>
    <w:rsid w:val="00BD1F66"/>
  </w:style>
  <w:style w:type="character" w:customStyle="1" w:styleId="acadbibserialcoll">
    <w:name w:val="acadbibserialcoll"/>
    <w:uiPriority w:val="99"/>
    <w:rsid w:val="00BD1F66"/>
  </w:style>
  <w:style w:type="character" w:styleId="Forte">
    <w:name w:val="Strong"/>
    <w:uiPriority w:val="99"/>
    <w:qFormat/>
    <w:rsid w:val="00E01005"/>
    <w:rPr>
      <w:rFonts w:cs="Times New Roman"/>
      <w:b/>
    </w:rPr>
  </w:style>
  <w:style w:type="paragraph" w:customStyle="1" w:styleId="Default">
    <w:name w:val="Default"/>
    <w:uiPriority w:val="99"/>
    <w:rsid w:val="006A6A30"/>
    <w:pPr>
      <w:autoSpaceDE w:val="0"/>
      <w:autoSpaceDN w:val="0"/>
      <w:adjustRightInd w:val="0"/>
    </w:pPr>
    <w:rPr>
      <w:color w:val="000000"/>
      <w:sz w:val="24"/>
      <w:szCs w:val="24"/>
    </w:rPr>
  </w:style>
  <w:style w:type="paragraph" w:styleId="Ttulo">
    <w:name w:val="Title"/>
    <w:basedOn w:val="Normal"/>
    <w:link w:val="TtuloCarcter"/>
    <w:uiPriority w:val="99"/>
    <w:qFormat/>
    <w:rsid w:val="008E1179"/>
    <w:pPr>
      <w:spacing w:before="720" w:after="60"/>
      <w:jc w:val="center"/>
      <w:outlineLvl w:val="0"/>
    </w:pPr>
    <w:rPr>
      <w:b/>
      <w:smallCaps/>
      <w:kern w:val="28"/>
      <w:szCs w:val="20"/>
      <w:lang w:val="en-US" w:eastAsia="en-US"/>
    </w:rPr>
  </w:style>
  <w:style w:type="character" w:customStyle="1" w:styleId="TtuloCarcter">
    <w:name w:val="Título Carácter"/>
    <w:link w:val="Ttulo"/>
    <w:uiPriority w:val="99"/>
    <w:locked/>
    <w:rsid w:val="008E1179"/>
    <w:rPr>
      <w:b/>
      <w:smallCaps/>
      <w:kern w:val="28"/>
      <w:sz w:val="24"/>
      <w:lang w:val="en-US" w:eastAsia="en-US"/>
    </w:rPr>
  </w:style>
  <w:style w:type="table" w:styleId="Tabelacomgrelha">
    <w:name w:val="Table Grid"/>
    <w:basedOn w:val="Tabelanormal"/>
    <w:uiPriority w:val="99"/>
    <w:rsid w:val="001C2E5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uthors">
    <w:name w:val="authors"/>
    <w:basedOn w:val="Normal"/>
    <w:uiPriority w:val="99"/>
    <w:rsid w:val="007C2808"/>
    <w:pPr>
      <w:spacing w:before="100" w:beforeAutospacing="1" w:after="100" w:afterAutospacing="1"/>
    </w:pPr>
  </w:style>
  <w:style w:type="paragraph" w:styleId="HTMLpr-formatado">
    <w:name w:val="HTML Preformatted"/>
    <w:basedOn w:val="Normal"/>
    <w:link w:val="HTMLpr-formatadoCarcter"/>
    <w:uiPriority w:val="99"/>
    <w:rsid w:val="007C28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formatadoCarcter">
    <w:name w:val="HTML pré-formatado Carácter"/>
    <w:link w:val="HTMLpr-formatado"/>
    <w:uiPriority w:val="99"/>
    <w:semiHidden/>
    <w:locked/>
    <w:rsid w:val="00CC2B78"/>
    <w:rPr>
      <w:rFonts w:ascii="Courier New" w:hAnsi="Courier New"/>
      <w:sz w:val="20"/>
    </w:rPr>
  </w:style>
  <w:style w:type="character" w:customStyle="1" w:styleId="authorfn">
    <w:name w:val="author fn"/>
    <w:uiPriority w:val="99"/>
    <w:rsid w:val="00C71D06"/>
  </w:style>
  <w:style w:type="paragraph" w:styleId="Subttulo">
    <w:name w:val="Subtitle"/>
    <w:basedOn w:val="Normal"/>
    <w:next w:val="Normal"/>
    <w:link w:val="SubttuloCarcter"/>
    <w:uiPriority w:val="99"/>
    <w:qFormat/>
    <w:rsid w:val="00CA20C3"/>
    <w:pPr>
      <w:spacing w:after="60"/>
      <w:jc w:val="center"/>
      <w:outlineLvl w:val="1"/>
    </w:pPr>
    <w:rPr>
      <w:rFonts w:ascii="Cambria" w:hAnsi="Cambria"/>
    </w:rPr>
  </w:style>
  <w:style w:type="character" w:customStyle="1" w:styleId="SubttuloCarcter">
    <w:name w:val="Subtítulo Carácter"/>
    <w:link w:val="Subttulo"/>
    <w:uiPriority w:val="99"/>
    <w:locked/>
    <w:rsid w:val="00CA20C3"/>
    <w:rPr>
      <w:rFonts w:ascii="Cambria" w:hAnsi="Cambria"/>
      <w:sz w:val="24"/>
    </w:rPr>
  </w:style>
  <w:style w:type="paragraph" w:styleId="Legenda">
    <w:name w:val="caption"/>
    <w:basedOn w:val="Normal"/>
    <w:next w:val="Normal"/>
    <w:uiPriority w:val="99"/>
    <w:qFormat/>
    <w:rsid w:val="00D47A7D"/>
    <w:rPr>
      <w:b/>
      <w:bCs/>
      <w:sz w:val="20"/>
      <w:szCs w:val="20"/>
    </w:rPr>
  </w:style>
  <w:style w:type="paragraph" w:styleId="Ttulodondice">
    <w:name w:val="TOC Heading"/>
    <w:basedOn w:val="Cabealho1"/>
    <w:next w:val="Normal"/>
    <w:uiPriority w:val="99"/>
    <w:qFormat/>
    <w:rsid w:val="00B17426"/>
    <w:pPr>
      <w:keepNext/>
      <w:keepLines/>
      <w:widowControl/>
      <w:autoSpaceDE/>
      <w:autoSpaceDN/>
      <w:adjustRightInd/>
      <w:spacing w:before="480" w:line="276" w:lineRule="auto"/>
      <w:outlineLvl w:val="9"/>
    </w:pPr>
    <w:rPr>
      <w:rFonts w:ascii="Cambria" w:hAnsi="Cambria"/>
      <w:color w:val="365F91"/>
      <w:sz w:val="28"/>
      <w:szCs w:val="28"/>
      <w:lang w:eastAsia="en-US"/>
    </w:rPr>
  </w:style>
  <w:style w:type="paragraph" w:styleId="ndice2">
    <w:name w:val="toc 2"/>
    <w:basedOn w:val="Normal"/>
    <w:next w:val="Normal"/>
    <w:autoRedefine/>
    <w:uiPriority w:val="39"/>
    <w:rsid w:val="00DE198B"/>
    <w:pPr>
      <w:tabs>
        <w:tab w:val="left" w:pos="660"/>
        <w:tab w:val="right" w:leader="dot" w:pos="9062"/>
      </w:tabs>
      <w:ind w:left="142"/>
    </w:pPr>
  </w:style>
  <w:style w:type="paragraph" w:styleId="ndice3">
    <w:name w:val="toc 3"/>
    <w:basedOn w:val="Normal"/>
    <w:next w:val="Normal"/>
    <w:autoRedefine/>
    <w:uiPriority w:val="39"/>
    <w:rsid w:val="00B17426"/>
    <w:pPr>
      <w:ind w:left="480"/>
    </w:pPr>
  </w:style>
  <w:style w:type="paragraph" w:customStyle="1" w:styleId="Body1">
    <w:name w:val="Body 1"/>
    <w:autoRedefine/>
    <w:uiPriority w:val="99"/>
    <w:rsid w:val="008F620D"/>
    <w:pPr>
      <w:spacing w:line="360" w:lineRule="auto"/>
      <w:outlineLvl w:val="0"/>
    </w:pPr>
    <w:rPr>
      <w:rFonts w:eastAsia="Arial Unicode MS"/>
      <w:color w:val="000000"/>
      <w:sz w:val="24"/>
      <w:u w:color="000000"/>
    </w:rPr>
  </w:style>
  <w:style w:type="paragraph" w:customStyle="1" w:styleId="ImportWordListStyleDefinition16">
    <w:name w:val="Import Word List Style Definition 16"/>
    <w:uiPriority w:val="99"/>
    <w:rsid w:val="00E42026"/>
    <w:pPr>
      <w:numPr>
        <w:numId w:val="2"/>
      </w:numPr>
    </w:pPr>
  </w:style>
  <w:style w:type="paragraph" w:customStyle="1" w:styleId="ImportWordListStyleDefinition15">
    <w:name w:val="Import Word List Style Definition 15"/>
    <w:uiPriority w:val="99"/>
    <w:rsid w:val="00E42026"/>
    <w:pPr>
      <w:numPr>
        <w:numId w:val="3"/>
      </w:numPr>
    </w:pPr>
  </w:style>
  <w:style w:type="paragraph" w:customStyle="1" w:styleId="ImportWordListStyleDefinition0">
    <w:name w:val="Import Word List Style Definition 0"/>
    <w:uiPriority w:val="99"/>
    <w:rsid w:val="00E42026"/>
    <w:pPr>
      <w:numPr>
        <w:numId w:val="4"/>
      </w:numPr>
    </w:pPr>
  </w:style>
  <w:style w:type="paragraph" w:customStyle="1" w:styleId="PaperTitle">
    <w:name w:val="PaperTitle"/>
    <w:aliases w:val="PT"/>
    <w:basedOn w:val="Default"/>
    <w:next w:val="Default"/>
    <w:uiPriority w:val="99"/>
    <w:rsid w:val="00BB0F8E"/>
    <w:rPr>
      <w:color w:val="auto"/>
    </w:rPr>
  </w:style>
  <w:style w:type="paragraph" w:customStyle="1" w:styleId="AbsKeyBibli">
    <w:name w:val="AbsKeyBibli"/>
    <w:aliases w:val="ABS"/>
    <w:basedOn w:val="Default"/>
    <w:next w:val="Default"/>
    <w:uiPriority w:val="99"/>
    <w:rsid w:val="00BB0F8E"/>
    <w:rPr>
      <w:color w:val="auto"/>
    </w:rPr>
  </w:style>
  <w:style w:type="character" w:customStyle="1" w:styleId="hps">
    <w:name w:val="hps"/>
    <w:uiPriority w:val="99"/>
    <w:rsid w:val="009466AE"/>
  </w:style>
  <w:style w:type="character" w:customStyle="1" w:styleId="atn">
    <w:name w:val="atn"/>
    <w:uiPriority w:val="99"/>
    <w:rsid w:val="00EA4FFB"/>
  </w:style>
  <w:style w:type="character" w:customStyle="1" w:styleId="st">
    <w:name w:val="st"/>
    <w:uiPriority w:val="99"/>
    <w:rsid w:val="00E336B6"/>
  </w:style>
  <w:style w:type="character" w:styleId="Hiperligaovisitada">
    <w:name w:val="FollowedHyperlink"/>
    <w:uiPriority w:val="99"/>
    <w:rsid w:val="00912675"/>
    <w:rPr>
      <w:rFonts w:cs="Times New Roman"/>
      <w:color w:val="800080"/>
      <w:u w:val="single"/>
    </w:rPr>
  </w:style>
  <w:style w:type="paragraph" w:customStyle="1" w:styleId="xl83">
    <w:name w:val="xl83"/>
    <w:basedOn w:val="Normal"/>
    <w:uiPriority w:val="99"/>
    <w:rsid w:val="00912675"/>
    <w:pPr>
      <w:spacing w:before="100" w:beforeAutospacing="1" w:after="100" w:afterAutospacing="1"/>
    </w:pPr>
    <w:rPr>
      <w:rFonts w:ascii="Cambria" w:hAnsi="Cambria"/>
    </w:rPr>
  </w:style>
  <w:style w:type="paragraph" w:customStyle="1" w:styleId="xl84">
    <w:name w:val="xl84"/>
    <w:basedOn w:val="Normal"/>
    <w:uiPriority w:val="99"/>
    <w:rsid w:val="00912675"/>
    <w:pPr>
      <w:spacing w:before="100" w:beforeAutospacing="1" w:after="100" w:afterAutospacing="1"/>
      <w:jc w:val="center"/>
    </w:pPr>
    <w:rPr>
      <w:rFonts w:ascii="Cambria" w:hAnsi="Cambria"/>
    </w:rPr>
  </w:style>
  <w:style w:type="paragraph" w:customStyle="1" w:styleId="xl85">
    <w:name w:val="xl85"/>
    <w:basedOn w:val="Normal"/>
    <w:uiPriority w:val="99"/>
    <w:rsid w:val="00912675"/>
    <w:pPr>
      <w:shd w:val="clear" w:color="000000" w:fill="FFFFFF"/>
      <w:spacing w:before="100" w:beforeAutospacing="1" w:after="100" w:afterAutospacing="1"/>
      <w:textAlignment w:val="center"/>
    </w:pPr>
    <w:rPr>
      <w:rFonts w:ascii="Cambria" w:hAnsi="Cambria"/>
      <w:color w:val="000000"/>
      <w:sz w:val="16"/>
      <w:szCs w:val="16"/>
    </w:rPr>
  </w:style>
  <w:style w:type="paragraph" w:customStyle="1" w:styleId="xl86">
    <w:name w:val="xl86"/>
    <w:basedOn w:val="Normal"/>
    <w:uiPriority w:val="99"/>
    <w:rsid w:val="00912675"/>
    <w:pPr>
      <w:shd w:val="clear" w:color="000000" w:fill="FFFFFF"/>
      <w:spacing w:before="100" w:beforeAutospacing="1" w:after="100" w:afterAutospacing="1"/>
      <w:textAlignment w:val="center"/>
    </w:pPr>
    <w:rPr>
      <w:rFonts w:ascii="Cambria" w:hAnsi="Cambria"/>
      <w:sz w:val="16"/>
      <w:szCs w:val="16"/>
    </w:rPr>
  </w:style>
  <w:style w:type="paragraph" w:customStyle="1" w:styleId="xl87">
    <w:name w:val="xl87"/>
    <w:basedOn w:val="Normal"/>
    <w:uiPriority w:val="99"/>
    <w:rsid w:val="00912675"/>
    <w:pP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88">
    <w:name w:val="xl88"/>
    <w:basedOn w:val="Normal"/>
    <w:uiPriority w:val="99"/>
    <w:rsid w:val="00912675"/>
    <w:pPr>
      <w:pBdr>
        <w:top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89">
    <w:name w:val="xl89"/>
    <w:basedOn w:val="Normal"/>
    <w:uiPriority w:val="99"/>
    <w:rsid w:val="00912675"/>
    <w:pPr>
      <w:pBdr>
        <w:top w:val="single" w:sz="4" w:space="0" w:color="auto"/>
      </w:pBdr>
      <w:shd w:val="clear" w:color="000000" w:fill="FFFFFF"/>
      <w:spacing w:before="100" w:beforeAutospacing="1" w:after="100" w:afterAutospacing="1"/>
    </w:pPr>
    <w:rPr>
      <w:rFonts w:ascii="Cambria" w:hAnsi="Cambria"/>
      <w:color w:val="000000"/>
      <w:sz w:val="16"/>
      <w:szCs w:val="16"/>
    </w:rPr>
  </w:style>
  <w:style w:type="paragraph" w:customStyle="1" w:styleId="xl90">
    <w:name w:val="xl90"/>
    <w:basedOn w:val="Normal"/>
    <w:uiPriority w:val="99"/>
    <w:rsid w:val="00912675"/>
    <w:pPr>
      <w:pBdr>
        <w:top w:val="single" w:sz="4" w:space="0" w:color="auto"/>
      </w:pBdr>
      <w:shd w:val="clear" w:color="000000" w:fill="FFFFFF"/>
      <w:spacing w:before="100" w:beforeAutospacing="1" w:after="100" w:afterAutospacing="1"/>
      <w:textAlignment w:val="center"/>
    </w:pPr>
    <w:rPr>
      <w:rFonts w:ascii="Cambria" w:hAnsi="Cambria"/>
      <w:sz w:val="16"/>
      <w:szCs w:val="16"/>
    </w:rPr>
  </w:style>
  <w:style w:type="paragraph" w:customStyle="1" w:styleId="xl91">
    <w:name w:val="xl91"/>
    <w:basedOn w:val="Normal"/>
    <w:uiPriority w:val="99"/>
    <w:rsid w:val="00912675"/>
    <w:pPr>
      <w:pBdr>
        <w:top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92">
    <w:name w:val="xl92"/>
    <w:basedOn w:val="Normal"/>
    <w:uiPriority w:val="99"/>
    <w:rsid w:val="00912675"/>
    <w:pPr>
      <w:pBdr>
        <w:bottom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93">
    <w:name w:val="xl93"/>
    <w:basedOn w:val="Normal"/>
    <w:uiPriority w:val="99"/>
    <w:rsid w:val="00912675"/>
    <w:pPr>
      <w:pBdr>
        <w:bottom w:val="single" w:sz="4" w:space="0" w:color="auto"/>
      </w:pBdr>
      <w:shd w:val="clear" w:color="000000" w:fill="FFFFFF"/>
      <w:spacing w:before="100" w:beforeAutospacing="1" w:after="100" w:afterAutospacing="1"/>
      <w:jc w:val="center"/>
    </w:pPr>
    <w:rPr>
      <w:rFonts w:ascii="Cambria" w:hAnsi="Cambria"/>
      <w:color w:val="000000"/>
      <w:sz w:val="16"/>
      <w:szCs w:val="16"/>
    </w:rPr>
  </w:style>
  <w:style w:type="paragraph" w:customStyle="1" w:styleId="xl94">
    <w:name w:val="xl94"/>
    <w:basedOn w:val="Normal"/>
    <w:uiPriority w:val="99"/>
    <w:rsid w:val="00912675"/>
    <w:pP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5">
    <w:name w:val="xl95"/>
    <w:basedOn w:val="Normal"/>
    <w:uiPriority w:val="99"/>
    <w:rsid w:val="00912675"/>
    <w:pP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96">
    <w:name w:val="xl96"/>
    <w:basedOn w:val="Normal"/>
    <w:uiPriority w:val="99"/>
    <w:rsid w:val="00912675"/>
    <w:pP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7">
    <w:name w:val="xl97"/>
    <w:basedOn w:val="Normal"/>
    <w:uiPriority w:val="99"/>
    <w:rsid w:val="00912675"/>
    <w:pP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98">
    <w:name w:val="xl98"/>
    <w:basedOn w:val="Normal"/>
    <w:uiPriority w:val="99"/>
    <w:rsid w:val="00912675"/>
    <w:pPr>
      <w:pBdr>
        <w:top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9">
    <w:name w:val="xl99"/>
    <w:basedOn w:val="Normal"/>
    <w:uiPriority w:val="99"/>
    <w:rsid w:val="00912675"/>
    <w:pPr>
      <w:pBdr>
        <w:top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0">
    <w:name w:val="xl100"/>
    <w:basedOn w:val="Normal"/>
    <w:uiPriority w:val="99"/>
    <w:rsid w:val="00912675"/>
    <w:pPr>
      <w:pBdr>
        <w:top w:val="single" w:sz="4" w:space="0" w:color="auto"/>
      </w:pBd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101">
    <w:name w:val="xl101"/>
    <w:basedOn w:val="Normal"/>
    <w:uiPriority w:val="99"/>
    <w:rsid w:val="00912675"/>
    <w:pPr>
      <w:pBdr>
        <w:top w:val="single" w:sz="4" w:space="0" w:color="auto"/>
      </w:pBd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102">
    <w:name w:val="xl102"/>
    <w:basedOn w:val="Normal"/>
    <w:uiPriority w:val="99"/>
    <w:rsid w:val="00912675"/>
    <w:pPr>
      <w:pBdr>
        <w:bottom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3">
    <w:name w:val="xl103"/>
    <w:basedOn w:val="Normal"/>
    <w:uiPriority w:val="99"/>
    <w:rsid w:val="00912675"/>
    <w:pPr>
      <w:pBdr>
        <w:bottom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4">
    <w:name w:val="xl104"/>
    <w:basedOn w:val="Normal"/>
    <w:uiPriority w:val="99"/>
    <w:rsid w:val="00912675"/>
    <w:pPr>
      <w:pBdr>
        <w:bottom w:val="single" w:sz="4" w:space="0" w:color="auto"/>
      </w:pBd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105">
    <w:name w:val="xl105"/>
    <w:basedOn w:val="Normal"/>
    <w:uiPriority w:val="99"/>
    <w:rsid w:val="00912675"/>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106">
    <w:name w:val="xl106"/>
    <w:basedOn w:val="Normal"/>
    <w:uiPriority w:val="99"/>
    <w:rsid w:val="00912675"/>
    <w:pP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82">
    <w:name w:val="xl82"/>
    <w:basedOn w:val="Normal"/>
    <w:uiPriority w:val="99"/>
    <w:rsid w:val="006C5601"/>
    <w:pPr>
      <w:shd w:val="clear" w:color="000000" w:fill="FFFFFF"/>
      <w:spacing w:before="100" w:beforeAutospacing="1" w:after="100" w:afterAutospacing="1"/>
    </w:pPr>
    <w:rPr>
      <w:rFonts w:ascii="Cambria" w:hAnsi="Cambria"/>
      <w:sz w:val="12"/>
      <w:szCs w:val="12"/>
    </w:rPr>
  </w:style>
  <w:style w:type="paragraph" w:customStyle="1" w:styleId="xl107">
    <w:name w:val="xl107"/>
    <w:basedOn w:val="Normal"/>
    <w:uiPriority w:val="99"/>
    <w:rsid w:val="00872417"/>
    <w:pPr>
      <w:shd w:val="clear" w:color="000000" w:fill="FFFFFF"/>
      <w:spacing w:before="100" w:beforeAutospacing="1" w:after="100" w:afterAutospacing="1"/>
      <w:jc w:val="center"/>
      <w:textAlignment w:val="center"/>
    </w:pPr>
    <w:rPr>
      <w:rFonts w:ascii="Cambria" w:hAnsi="Cambria"/>
      <w:sz w:val="14"/>
      <w:szCs w:val="14"/>
    </w:rPr>
  </w:style>
  <w:style w:type="paragraph" w:customStyle="1" w:styleId="xl108">
    <w:name w:val="xl108"/>
    <w:basedOn w:val="Normal"/>
    <w:uiPriority w:val="99"/>
    <w:rsid w:val="0087241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09">
    <w:name w:val="xl109"/>
    <w:basedOn w:val="Normal"/>
    <w:uiPriority w:val="99"/>
    <w:rsid w:val="0087241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0">
    <w:name w:val="xl110"/>
    <w:basedOn w:val="Normal"/>
    <w:uiPriority w:val="99"/>
    <w:rsid w:val="0087241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1">
    <w:name w:val="xl111"/>
    <w:basedOn w:val="Normal"/>
    <w:uiPriority w:val="99"/>
    <w:rsid w:val="00872417"/>
    <w:pPr>
      <w:pBdr>
        <w:top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12">
    <w:name w:val="xl112"/>
    <w:basedOn w:val="Normal"/>
    <w:uiPriority w:val="99"/>
    <w:rsid w:val="00872417"/>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13">
    <w:name w:val="xl113"/>
    <w:basedOn w:val="Normal"/>
    <w:uiPriority w:val="99"/>
    <w:rsid w:val="00872417"/>
    <w:pPr>
      <w:shd w:val="clear" w:color="000000" w:fill="FFFFFF"/>
      <w:spacing w:before="100" w:beforeAutospacing="1" w:after="100" w:afterAutospacing="1"/>
      <w:jc w:val="center"/>
    </w:pPr>
    <w:rPr>
      <w:rFonts w:ascii="Cambria" w:hAnsi="Cambria"/>
      <w:sz w:val="14"/>
      <w:szCs w:val="14"/>
    </w:rPr>
  </w:style>
  <w:style w:type="paragraph" w:customStyle="1" w:styleId="xl114">
    <w:name w:val="xl114"/>
    <w:basedOn w:val="Normal"/>
    <w:uiPriority w:val="99"/>
    <w:rsid w:val="0087241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5">
    <w:name w:val="xl115"/>
    <w:basedOn w:val="Normal"/>
    <w:uiPriority w:val="99"/>
    <w:rsid w:val="00251B87"/>
    <w:pPr>
      <w:pBdr>
        <w:top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6">
    <w:name w:val="xl116"/>
    <w:basedOn w:val="Normal"/>
    <w:uiPriority w:val="99"/>
    <w:rsid w:val="00251B8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7">
    <w:name w:val="xl117"/>
    <w:basedOn w:val="Normal"/>
    <w:uiPriority w:val="99"/>
    <w:rsid w:val="00251B87"/>
    <w:pPr>
      <w:pBdr>
        <w:bottom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8">
    <w:name w:val="xl118"/>
    <w:basedOn w:val="Normal"/>
    <w:uiPriority w:val="99"/>
    <w:rsid w:val="00251B87"/>
    <w:pPr>
      <w:pBdr>
        <w:bottom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9">
    <w:name w:val="xl119"/>
    <w:basedOn w:val="Normal"/>
    <w:uiPriority w:val="99"/>
    <w:rsid w:val="00251B8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20">
    <w:name w:val="xl120"/>
    <w:basedOn w:val="Normal"/>
    <w:uiPriority w:val="99"/>
    <w:rsid w:val="00251B87"/>
    <w:pPr>
      <w:pBdr>
        <w:top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1">
    <w:name w:val="xl121"/>
    <w:basedOn w:val="Normal"/>
    <w:uiPriority w:val="99"/>
    <w:rsid w:val="00251B87"/>
    <w:pP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2">
    <w:name w:val="xl122"/>
    <w:basedOn w:val="Normal"/>
    <w:uiPriority w:val="99"/>
    <w:rsid w:val="00251B87"/>
    <w:pPr>
      <w:shd w:val="clear" w:color="000000" w:fill="FFFFFF"/>
      <w:spacing w:before="100" w:beforeAutospacing="1" w:after="100" w:afterAutospacing="1"/>
      <w:jc w:val="center"/>
      <w:textAlignment w:val="center"/>
    </w:pPr>
    <w:rPr>
      <w:rFonts w:ascii="Cambria" w:hAnsi="Cambria"/>
      <w:sz w:val="14"/>
      <w:szCs w:val="14"/>
    </w:rPr>
  </w:style>
  <w:style w:type="paragraph" w:customStyle="1" w:styleId="xl123">
    <w:name w:val="xl123"/>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4">
    <w:name w:val="xl124"/>
    <w:basedOn w:val="Normal"/>
    <w:uiPriority w:val="99"/>
    <w:rsid w:val="00251B8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5">
    <w:name w:val="xl125"/>
    <w:basedOn w:val="Normal"/>
    <w:uiPriority w:val="99"/>
    <w:rsid w:val="00251B8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26">
    <w:name w:val="xl126"/>
    <w:basedOn w:val="Normal"/>
    <w:uiPriority w:val="99"/>
    <w:rsid w:val="00251B87"/>
    <w:pPr>
      <w:pBdr>
        <w:top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7">
    <w:name w:val="xl127"/>
    <w:basedOn w:val="Normal"/>
    <w:uiPriority w:val="99"/>
    <w:rsid w:val="00251B87"/>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8">
    <w:name w:val="xl128"/>
    <w:basedOn w:val="Normal"/>
    <w:uiPriority w:val="99"/>
    <w:rsid w:val="00251B87"/>
    <w:pPr>
      <w:shd w:val="clear" w:color="000000" w:fill="FFFFFF"/>
      <w:spacing w:before="100" w:beforeAutospacing="1" w:after="100" w:afterAutospacing="1"/>
      <w:jc w:val="center"/>
    </w:pPr>
    <w:rPr>
      <w:rFonts w:ascii="Cambria" w:hAnsi="Cambria"/>
      <w:sz w:val="14"/>
      <w:szCs w:val="14"/>
    </w:rPr>
  </w:style>
  <w:style w:type="paragraph" w:customStyle="1" w:styleId="xl129">
    <w:name w:val="xl129"/>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30">
    <w:name w:val="xl130"/>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76">
    <w:name w:val="xl76"/>
    <w:basedOn w:val="Normal"/>
    <w:uiPriority w:val="99"/>
    <w:rsid w:val="00BA6FCE"/>
    <w:pPr>
      <w:shd w:val="clear" w:color="000000" w:fill="FFFFFF"/>
      <w:spacing w:before="100" w:beforeAutospacing="1" w:after="100" w:afterAutospacing="1"/>
    </w:pPr>
    <w:rPr>
      <w:rFonts w:ascii="Cambria" w:hAnsi="Cambria"/>
      <w:sz w:val="16"/>
      <w:szCs w:val="16"/>
    </w:rPr>
  </w:style>
  <w:style w:type="paragraph" w:customStyle="1" w:styleId="xl77">
    <w:name w:val="xl77"/>
    <w:basedOn w:val="Normal"/>
    <w:uiPriority w:val="99"/>
    <w:rsid w:val="00BA6FCE"/>
    <w:pPr>
      <w:shd w:val="clear" w:color="000000" w:fill="FFFFFF"/>
      <w:spacing w:before="100" w:beforeAutospacing="1" w:after="100" w:afterAutospacing="1"/>
      <w:jc w:val="center"/>
    </w:pPr>
    <w:rPr>
      <w:rFonts w:ascii="Cambria" w:hAnsi="Cambria"/>
      <w:sz w:val="16"/>
      <w:szCs w:val="16"/>
    </w:rPr>
  </w:style>
  <w:style w:type="paragraph" w:customStyle="1" w:styleId="xl78">
    <w:name w:val="xl78"/>
    <w:basedOn w:val="Normal"/>
    <w:uiPriority w:val="99"/>
    <w:rsid w:val="00BA6FCE"/>
    <w:pPr>
      <w:pBdr>
        <w:top w:val="single" w:sz="4" w:space="0" w:color="auto"/>
      </w:pBdr>
      <w:shd w:val="clear" w:color="000000" w:fill="FFFFFF"/>
      <w:spacing w:before="100" w:beforeAutospacing="1" w:after="100" w:afterAutospacing="1"/>
    </w:pPr>
    <w:rPr>
      <w:rFonts w:ascii="Cambria" w:hAnsi="Cambria"/>
      <w:sz w:val="16"/>
      <w:szCs w:val="16"/>
    </w:rPr>
  </w:style>
  <w:style w:type="paragraph" w:customStyle="1" w:styleId="xl79">
    <w:name w:val="xl79"/>
    <w:basedOn w:val="Normal"/>
    <w:uiPriority w:val="99"/>
    <w:rsid w:val="00BA6FCE"/>
    <w:pPr>
      <w:pBdr>
        <w:bottom w:val="single" w:sz="4" w:space="0" w:color="auto"/>
      </w:pBdr>
      <w:shd w:val="clear" w:color="000000" w:fill="FFFFFF"/>
      <w:spacing w:before="100" w:beforeAutospacing="1" w:after="100" w:afterAutospacing="1"/>
    </w:pPr>
    <w:rPr>
      <w:rFonts w:ascii="Cambria" w:hAnsi="Cambria"/>
      <w:sz w:val="16"/>
      <w:szCs w:val="16"/>
    </w:rPr>
  </w:style>
  <w:style w:type="paragraph" w:customStyle="1" w:styleId="xl80">
    <w:name w:val="xl80"/>
    <w:basedOn w:val="Normal"/>
    <w:uiPriority w:val="99"/>
    <w:rsid w:val="00BA6FCE"/>
    <w:pPr>
      <w:pBdr>
        <w:top w:val="single" w:sz="4" w:space="0" w:color="auto"/>
        <w:bottom w:val="single" w:sz="4" w:space="0" w:color="auto"/>
      </w:pBdr>
      <w:shd w:val="clear" w:color="000000" w:fill="FFFFFF"/>
      <w:spacing w:before="100" w:beforeAutospacing="1" w:after="100" w:afterAutospacing="1"/>
    </w:pPr>
    <w:rPr>
      <w:rFonts w:ascii="Cambria" w:hAnsi="Cambria"/>
      <w:sz w:val="16"/>
      <w:szCs w:val="16"/>
    </w:rPr>
  </w:style>
  <w:style w:type="paragraph" w:customStyle="1" w:styleId="xl81">
    <w:name w:val="xl81"/>
    <w:basedOn w:val="Normal"/>
    <w:uiPriority w:val="99"/>
    <w:rsid w:val="00BA6FCE"/>
    <w:pPr>
      <w:shd w:val="clear" w:color="000000" w:fill="FFFFFF"/>
      <w:spacing w:before="100" w:beforeAutospacing="1" w:after="100" w:afterAutospacing="1"/>
      <w:textAlignment w:val="top"/>
    </w:pPr>
    <w:rPr>
      <w:rFonts w:ascii="Cambria" w:hAnsi="Cambria"/>
      <w:color w:val="000000"/>
      <w:sz w:val="16"/>
      <w:szCs w:val="16"/>
    </w:rPr>
  </w:style>
  <w:style w:type="character" w:customStyle="1" w:styleId="st1">
    <w:name w:val="st1"/>
    <w:uiPriority w:val="99"/>
    <w:rsid w:val="00585478"/>
  </w:style>
  <w:style w:type="paragraph" w:customStyle="1" w:styleId="Figura">
    <w:name w:val="Figura"/>
    <w:basedOn w:val="Normal"/>
    <w:uiPriority w:val="99"/>
    <w:rsid w:val="00116E7C"/>
    <w:pPr>
      <w:spacing w:line="360" w:lineRule="auto"/>
      <w:jc w:val="both"/>
    </w:pPr>
    <w:rPr>
      <w:color w:val="000000"/>
      <w:sz w:val="20"/>
    </w:rPr>
  </w:style>
  <w:style w:type="paragraph" w:styleId="ndicedeilustraes">
    <w:name w:val="table of figures"/>
    <w:basedOn w:val="Normal"/>
    <w:next w:val="Normal"/>
    <w:uiPriority w:val="99"/>
    <w:rsid w:val="00D4237A"/>
  </w:style>
  <w:style w:type="character" w:styleId="Refdecomentrio">
    <w:name w:val="annotation reference"/>
    <w:uiPriority w:val="99"/>
    <w:semiHidden/>
    <w:locked/>
    <w:rsid w:val="00824856"/>
    <w:rPr>
      <w:rFonts w:cs="Times New Roman"/>
      <w:sz w:val="16"/>
      <w:szCs w:val="16"/>
    </w:rPr>
  </w:style>
  <w:style w:type="paragraph" w:styleId="Textodecomentrio">
    <w:name w:val="annotation text"/>
    <w:basedOn w:val="Normal"/>
    <w:link w:val="TextodecomentrioCarcter"/>
    <w:uiPriority w:val="99"/>
    <w:semiHidden/>
    <w:locked/>
    <w:rsid w:val="00824856"/>
    <w:rPr>
      <w:sz w:val="20"/>
      <w:szCs w:val="20"/>
    </w:rPr>
  </w:style>
  <w:style w:type="character" w:customStyle="1" w:styleId="TextodecomentrioCarcter">
    <w:name w:val="Texto de comentário Carácter"/>
    <w:link w:val="Textodecomentrio"/>
    <w:uiPriority w:val="99"/>
    <w:semiHidden/>
    <w:locked/>
    <w:rsid w:val="00824856"/>
    <w:rPr>
      <w:rFonts w:cs="Times New Roman"/>
    </w:rPr>
  </w:style>
  <w:style w:type="paragraph" w:styleId="Assuntodecomentrio">
    <w:name w:val="annotation subject"/>
    <w:basedOn w:val="Textodecomentrio"/>
    <w:next w:val="Textodecomentrio"/>
    <w:link w:val="AssuntodecomentrioCarcter"/>
    <w:uiPriority w:val="99"/>
    <w:semiHidden/>
    <w:locked/>
    <w:rsid w:val="00824856"/>
    <w:rPr>
      <w:b/>
      <w:bCs/>
    </w:rPr>
  </w:style>
  <w:style w:type="character" w:customStyle="1" w:styleId="AssuntodecomentrioCarcter">
    <w:name w:val="Assunto de comentário Carácter"/>
    <w:link w:val="Assuntodecomentrio"/>
    <w:uiPriority w:val="99"/>
    <w:semiHidden/>
    <w:locked/>
    <w:rsid w:val="00824856"/>
    <w:rPr>
      <w:rFonts w:cs="Times New Roman"/>
      <w:b/>
      <w:bCs/>
    </w:rPr>
  </w:style>
  <w:style w:type="character" w:styleId="TextodoMarcadordePosio">
    <w:name w:val="Placeholder Text"/>
    <w:uiPriority w:val="99"/>
    <w:semiHidden/>
    <w:rsid w:val="00A52CB1"/>
    <w:rPr>
      <w:rFonts w:cs="Times New Roman"/>
      <w:color w:val="808080"/>
    </w:rPr>
  </w:style>
  <w:style w:type="paragraph" w:styleId="ndiceremissivo1">
    <w:name w:val="index 1"/>
    <w:basedOn w:val="Normal"/>
    <w:next w:val="Normal"/>
    <w:autoRedefine/>
    <w:uiPriority w:val="99"/>
    <w:semiHidden/>
    <w:unhideWhenUsed/>
    <w:locked/>
    <w:rsid w:val="00DD53DE"/>
    <w:pPr>
      <w:ind w:left="240" w:hanging="2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PT" w:eastAsia="pt-PT"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3E367B"/>
    <w:rPr>
      <w:sz w:val="24"/>
      <w:szCs w:val="24"/>
    </w:rPr>
  </w:style>
  <w:style w:type="paragraph" w:styleId="Cabealho1">
    <w:name w:val="heading 1"/>
    <w:basedOn w:val="Normal"/>
    <w:next w:val="Normal"/>
    <w:link w:val="Cabealho1Carcter"/>
    <w:uiPriority w:val="99"/>
    <w:qFormat/>
    <w:rsid w:val="00F3025E"/>
    <w:pPr>
      <w:widowControl w:val="0"/>
      <w:autoSpaceDE w:val="0"/>
      <w:autoSpaceDN w:val="0"/>
      <w:adjustRightInd w:val="0"/>
      <w:outlineLvl w:val="0"/>
    </w:pPr>
    <w:rPr>
      <w:rFonts w:ascii="Courier New" w:hAnsi="Courier New"/>
      <w:b/>
      <w:bCs/>
      <w:color w:val="000000"/>
      <w:sz w:val="32"/>
      <w:szCs w:val="32"/>
    </w:rPr>
  </w:style>
  <w:style w:type="paragraph" w:styleId="Cabealho2">
    <w:name w:val="heading 2"/>
    <w:basedOn w:val="Normal"/>
    <w:next w:val="Normal"/>
    <w:link w:val="Cabealho2Carcter"/>
    <w:uiPriority w:val="99"/>
    <w:qFormat/>
    <w:rsid w:val="00B315A2"/>
    <w:pPr>
      <w:keepNext/>
      <w:numPr>
        <w:ilvl w:val="1"/>
        <w:numId w:val="1"/>
      </w:numPr>
      <w:spacing w:before="240" w:after="240"/>
      <w:outlineLvl w:val="1"/>
    </w:pPr>
    <w:rPr>
      <w:b/>
      <w:i/>
      <w:sz w:val="20"/>
      <w:szCs w:val="20"/>
      <w:lang w:val="en-US" w:eastAsia="en-US"/>
    </w:rPr>
  </w:style>
  <w:style w:type="paragraph" w:styleId="Cabealho3">
    <w:name w:val="heading 3"/>
    <w:basedOn w:val="Normal"/>
    <w:next w:val="Normal"/>
    <w:link w:val="Cabealho3Carcter"/>
    <w:uiPriority w:val="99"/>
    <w:qFormat/>
    <w:rsid w:val="00B315A2"/>
    <w:pPr>
      <w:keepNext/>
      <w:numPr>
        <w:ilvl w:val="2"/>
        <w:numId w:val="1"/>
      </w:numPr>
      <w:spacing w:before="240" w:after="240"/>
      <w:outlineLvl w:val="2"/>
    </w:pPr>
    <w:rPr>
      <w:sz w:val="20"/>
      <w:szCs w:val="20"/>
      <w:u w:val="single"/>
      <w:lang w:val="en-US" w:eastAsia="en-US"/>
    </w:rPr>
  </w:style>
  <w:style w:type="paragraph" w:styleId="Cabealho4">
    <w:name w:val="heading 4"/>
    <w:basedOn w:val="Normal"/>
    <w:next w:val="Normal"/>
    <w:link w:val="Cabealho4Carcter"/>
    <w:uiPriority w:val="99"/>
    <w:qFormat/>
    <w:rsid w:val="00B315A2"/>
    <w:pPr>
      <w:keepNext/>
      <w:numPr>
        <w:ilvl w:val="3"/>
        <w:numId w:val="1"/>
      </w:numPr>
      <w:spacing w:before="240" w:after="60"/>
      <w:jc w:val="both"/>
      <w:outlineLvl w:val="3"/>
    </w:pPr>
    <w:rPr>
      <w:rFonts w:ascii="Calibri" w:hAnsi="Calibri"/>
      <w:b/>
      <w:bCs/>
      <w:sz w:val="28"/>
      <w:szCs w:val="28"/>
    </w:rPr>
  </w:style>
  <w:style w:type="paragraph" w:styleId="Cabealho5">
    <w:name w:val="heading 5"/>
    <w:basedOn w:val="Normal"/>
    <w:next w:val="Normal"/>
    <w:link w:val="Cabealho5Carcter"/>
    <w:uiPriority w:val="99"/>
    <w:qFormat/>
    <w:rsid w:val="00B315A2"/>
    <w:pPr>
      <w:numPr>
        <w:ilvl w:val="4"/>
        <w:numId w:val="1"/>
      </w:numPr>
      <w:spacing w:before="240" w:after="60"/>
      <w:jc w:val="both"/>
      <w:outlineLvl w:val="4"/>
    </w:pPr>
    <w:rPr>
      <w:rFonts w:ascii="Calibri" w:hAnsi="Calibri"/>
      <w:b/>
      <w:bCs/>
      <w:i/>
      <w:iCs/>
      <w:sz w:val="26"/>
      <w:szCs w:val="26"/>
    </w:rPr>
  </w:style>
  <w:style w:type="paragraph" w:styleId="Cabealho6">
    <w:name w:val="heading 6"/>
    <w:basedOn w:val="Normal"/>
    <w:next w:val="Normal"/>
    <w:link w:val="Cabealho6Carcter"/>
    <w:uiPriority w:val="99"/>
    <w:qFormat/>
    <w:rsid w:val="00B315A2"/>
    <w:pPr>
      <w:numPr>
        <w:ilvl w:val="5"/>
        <w:numId w:val="1"/>
      </w:numPr>
      <w:spacing w:before="240" w:after="60"/>
      <w:jc w:val="both"/>
      <w:outlineLvl w:val="5"/>
    </w:pPr>
    <w:rPr>
      <w:rFonts w:ascii="Calibri" w:hAnsi="Calibri"/>
      <w:b/>
      <w:bCs/>
      <w:sz w:val="20"/>
      <w:szCs w:val="20"/>
    </w:rPr>
  </w:style>
  <w:style w:type="paragraph" w:styleId="Cabealho7">
    <w:name w:val="heading 7"/>
    <w:basedOn w:val="Normal"/>
    <w:next w:val="Normal"/>
    <w:link w:val="Cabealho7Carcter"/>
    <w:uiPriority w:val="99"/>
    <w:qFormat/>
    <w:rsid w:val="00B315A2"/>
    <w:pPr>
      <w:numPr>
        <w:ilvl w:val="6"/>
        <w:numId w:val="1"/>
      </w:numPr>
      <w:spacing w:before="240" w:after="60"/>
      <w:jc w:val="both"/>
      <w:outlineLvl w:val="6"/>
    </w:pPr>
    <w:rPr>
      <w:rFonts w:ascii="Calibri" w:hAnsi="Calibri"/>
    </w:rPr>
  </w:style>
  <w:style w:type="paragraph" w:styleId="Cabealho8">
    <w:name w:val="heading 8"/>
    <w:basedOn w:val="Normal"/>
    <w:next w:val="Normal"/>
    <w:link w:val="Cabealho8Carcter"/>
    <w:uiPriority w:val="99"/>
    <w:qFormat/>
    <w:rsid w:val="00B315A2"/>
    <w:pPr>
      <w:numPr>
        <w:ilvl w:val="7"/>
        <w:numId w:val="1"/>
      </w:numPr>
      <w:spacing w:before="240" w:after="60"/>
      <w:jc w:val="both"/>
      <w:outlineLvl w:val="7"/>
    </w:pPr>
    <w:rPr>
      <w:rFonts w:ascii="Calibri" w:hAnsi="Calibri"/>
      <w:i/>
      <w:iCs/>
    </w:rPr>
  </w:style>
  <w:style w:type="paragraph" w:styleId="Cabealho9">
    <w:name w:val="heading 9"/>
    <w:basedOn w:val="Normal"/>
    <w:next w:val="Normal"/>
    <w:link w:val="Cabealho9Carcter"/>
    <w:uiPriority w:val="99"/>
    <w:qFormat/>
    <w:rsid w:val="00B315A2"/>
    <w:pPr>
      <w:numPr>
        <w:ilvl w:val="8"/>
        <w:numId w:val="1"/>
      </w:numPr>
      <w:spacing w:before="240" w:after="60"/>
      <w:jc w:val="both"/>
      <w:outlineLvl w:val="8"/>
    </w:pPr>
    <w:rPr>
      <w:rFonts w:ascii="Cambria" w:hAnsi="Cambria"/>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link w:val="Cabealho1"/>
    <w:uiPriority w:val="99"/>
    <w:locked/>
    <w:rsid w:val="00F3025E"/>
    <w:rPr>
      <w:rFonts w:ascii="Courier New" w:hAnsi="Courier New"/>
      <w:b/>
      <w:color w:val="000000"/>
      <w:sz w:val="32"/>
    </w:rPr>
  </w:style>
  <w:style w:type="character" w:customStyle="1" w:styleId="Cabealho2Carcter">
    <w:name w:val="Cabeçalho 2 Carácter"/>
    <w:link w:val="Cabealho2"/>
    <w:uiPriority w:val="99"/>
    <w:locked/>
    <w:rsid w:val="00F3025E"/>
    <w:rPr>
      <w:b/>
      <w:i/>
      <w:lang w:val="en-US" w:eastAsia="en-US"/>
    </w:rPr>
  </w:style>
  <w:style w:type="character" w:customStyle="1" w:styleId="Cabealho3Carcter">
    <w:name w:val="Cabeçalho 3 Carácter"/>
    <w:link w:val="Cabealho3"/>
    <w:uiPriority w:val="99"/>
    <w:locked/>
    <w:rsid w:val="00F3025E"/>
    <w:rPr>
      <w:u w:val="single"/>
      <w:lang w:val="en-US" w:eastAsia="en-US"/>
    </w:rPr>
  </w:style>
  <w:style w:type="character" w:customStyle="1" w:styleId="Cabealho4Carcter">
    <w:name w:val="Cabeçalho 4 Carácter"/>
    <w:link w:val="Cabealho4"/>
    <w:uiPriority w:val="99"/>
    <w:locked/>
    <w:rsid w:val="00CC2B78"/>
    <w:rPr>
      <w:rFonts w:ascii="Calibri" w:hAnsi="Calibri"/>
      <w:b/>
      <w:bCs/>
      <w:sz w:val="28"/>
      <w:szCs w:val="28"/>
    </w:rPr>
  </w:style>
  <w:style w:type="character" w:customStyle="1" w:styleId="Cabealho5Carcter">
    <w:name w:val="Cabeçalho 5 Carácter"/>
    <w:link w:val="Cabealho5"/>
    <w:uiPriority w:val="99"/>
    <w:locked/>
    <w:rsid w:val="00CC2B78"/>
    <w:rPr>
      <w:rFonts w:ascii="Calibri" w:hAnsi="Calibri"/>
      <w:b/>
      <w:bCs/>
      <w:i/>
      <w:iCs/>
      <w:sz w:val="26"/>
      <w:szCs w:val="26"/>
    </w:rPr>
  </w:style>
  <w:style w:type="character" w:customStyle="1" w:styleId="Cabealho6Carcter">
    <w:name w:val="Cabeçalho 6 Carácter"/>
    <w:link w:val="Cabealho6"/>
    <w:uiPriority w:val="99"/>
    <w:locked/>
    <w:rsid w:val="00CC2B78"/>
    <w:rPr>
      <w:rFonts w:ascii="Calibri" w:hAnsi="Calibri"/>
      <w:b/>
      <w:bCs/>
    </w:rPr>
  </w:style>
  <w:style w:type="character" w:customStyle="1" w:styleId="Cabealho7Carcter">
    <w:name w:val="Cabeçalho 7 Carácter"/>
    <w:link w:val="Cabealho7"/>
    <w:uiPriority w:val="99"/>
    <w:locked/>
    <w:rsid w:val="00CC2B78"/>
    <w:rPr>
      <w:rFonts w:ascii="Calibri" w:hAnsi="Calibri"/>
      <w:sz w:val="24"/>
      <w:szCs w:val="24"/>
    </w:rPr>
  </w:style>
  <w:style w:type="character" w:customStyle="1" w:styleId="Cabealho8Carcter">
    <w:name w:val="Cabeçalho 8 Carácter"/>
    <w:link w:val="Cabealho8"/>
    <w:uiPriority w:val="99"/>
    <w:locked/>
    <w:rsid w:val="00CC2B78"/>
    <w:rPr>
      <w:rFonts w:ascii="Calibri" w:hAnsi="Calibri"/>
      <w:i/>
      <w:iCs/>
      <w:sz w:val="24"/>
      <w:szCs w:val="24"/>
    </w:rPr>
  </w:style>
  <w:style w:type="character" w:customStyle="1" w:styleId="Cabealho9Carcter">
    <w:name w:val="Cabeçalho 9 Carácter"/>
    <w:link w:val="Cabealho9"/>
    <w:uiPriority w:val="99"/>
    <w:locked/>
    <w:rsid w:val="00CC2B78"/>
    <w:rPr>
      <w:rFonts w:ascii="Cambria" w:hAnsi="Cambria"/>
    </w:rPr>
  </w:style>
  <w:style w:type="character" w:styleId="Hiperligao">
    <w:name w:val="Hyperlink"/>
    <w:uiPriority w:val="99"/>
    <w:rsid w:val="00117D45"/>
    <w:rPr>
      <w:rFonts w:cs="Times New Roman"/>
      <w:color w:val="0000FF"/>
      <w:u w:val="single"/>
    </w:rPr>
  </w:style>
  <w:style w:type="paragraph" w:styleId="Cabealho">
    <w:name w:val="header"/>
    <w:basedOn w:val="Normal"/>
    <w:link w:val="CabealhoCarcter"/>
    <w:uiPriority w:val="99"/>
    <w:rsid w:val="00DA60F2"/>
    <w:pPr>
      <w:tabs>
        <w:tab w:val="center" w:pos="4252"/>
        <w:tab w:val="right" w:pos="8504"/>
      </w:tabs>
    </w:pPr>
  </w:style>
  <w:style w:type="character" w:customStyle="1" w:styleId="CabealhoCarcter">
    <w:name w:val="Cabeçalho Carácter"/>
    <w:link w:val="Cabealho"/>
    <w:uiPriority w:val="99"/>
    <w:locked/>
    <w:rsid w:val="00DA60F2"/>
    <w:rPr>
      <w:sz w:val="24"/>
    </w:rPr>
  </w:style>
  <w:style w:type="paragraph" w:styleId="Rodap">
    <w:name w:val="footer"/>
    <w:basedOn w:val="Normal"/>
    <w:link w:val="RodapCarcter"/>
    <w:uiPriority w:val="99"/>
    <w:rsid w:val="00DA60F2"/>
    <w:pPr>
      <w:tabs>
        <w:tab w:val="center" w:pos="4252"/>
        <w:tab w:val="right" w:pos="8504"/>
      </w:tabs>
    </w:pPr>
  </w:style>
  <w:style w:type="character" w:customStyle="1" w:styleId="RodapCarcter">
    <w:name w:val="Rodapé Carácter"/>
    <w:link w:val="Rodap"/>
    <w:uiPriority w:val="99"/>
    <w:locked/>
    <w:rsid w:val="00DA60F2"/>
    <w:rPr>
      <w:sz w:val="24"/>
    </w:rPr>
  </w:style>
  <w:style w:type="paragraph" w:styleId="Textodebalo">
    <w:name w:val="Balloon Text"/>
    <w:basedOn w:val="Normal"/>
    <w:link w:val="TextodebaloCarcter"/>
    <w:uiPriority w:val="99"/>
    <w:rsid w:val="00DA60F2"/>
    <w:rPr>
      <w:rFonts w:ascii="Tahoma" w:hAnsi="Tahoma"/>
      <w:sz w:val="16"/>
      <w:szCs w:val="16"/>
    </w:rPr>
  </w:style>
  <w:style w:type="character" w:customStyle="1" w:styleId="TextodebaloCarcter">
    <w:name w:val="Texto de balão Carácter"/>
    <w:link w:val="Textodebalo"/>
    <w:uiPriority w:val="99"/>
    <w:locked/>
    <w:rsid w:val="00DA60F2"/>
    <w:rPr>
      <w:rFonts w:ascii="Tahoma" w:hAnsi="Tahoma"/>
      <w:sz w:val="16"/>
    </w:rPr>
  </w:style>
  <w:style w:type="paragraph" w:styleId="PargrafodaLista">
    <w:name w:val="List Paragraph"/>
    <w:basedOn w:val="Normal"/>
    <w:uiPriority w:val="99"/>
    <w:qFormat/>
    <w:rsid w:val="009219F8"/>
    <w:pPr>
      <w:ind w:left="708"/>
    </w:pPr>
  </w:style>
  <w:style w:type="paragraph" w:styleId="ndice1">
    <w:name w:val="toc 1"/>
    <w:basedOn w:val="Normal"/>
    <w:next w:val="Normal"/>
    <w:autoRedefine/>
    <w:uiPriority w:val="39"/>
    <w:rsid w:val="00780322"/>
    <w:pPr>
      <w:tabs>
        <w:tab w:val="left" w:pos="480"/>
        <w:tab w:val="right" w:leader="dot" w:pos="9062"/>
      </w:tabs>
      <w:ind w:left="142"/>
    </w:pPr>
  </w:style>
  <w:style w:type="paragraph" w:styleId="NormalWeb">
    <w:name w:val="Normal (Web)"/>
    <w:basedOn w:val="Normal"/>
    <w:uiPriority w:val="99"/>
    <w:rsid w:val="00AC2A4D"/>
    <w:pPr>
      <w:spacing w:before="100" w:beforeAutospacing="1" w:after="100" w:afterAutospacing="1"/>
    </w:pPr>
  </w:style>
  <w:style w:type="table" w:styleId="Tabelaclssica1">
    <w:name w:val="Table Classic 1"/>
    <w:basedOn w:val="Tabelanormal"/>
    <w:uiPriority w:val="99"/>
    <w:rsid w:val="0091409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Textodenotaderodap">
    <w:name w:val="footnote text"/>
    <w:basedOn w:val="Normal"/>
    <w:link w:val="TextodenotaderodapCarcter"/>
    <w:uiPriority w:val="99"/>
    <w:rsid w:val="008F62FC"/>
    <w:rPr>
      <w:sz w:val="20"/>
      <w:szCs w:val="20"/>
    </w:rPr>
  </w:style>
  <w:style w:type="character" w:customStyle="1" w:styleId="TextodenotaderodapCarcter">
    <w:name w:val="Texto de nota de rodapé Carácter"/>
    <w:basedOn w:val="Tipodeletrapredefinidodopargrafo"/>
    <w:link w:val="Textodenotaderodap"/>
    <w:uiPriority w:val="99"/>
    <w:locked/>
    <w:rsid w:val="008F62FC"/>
  </w:style>
  <w:style w:type="character" w:styleId="Refdenotaderodap">
    <w:name w:val="footnote reference"/>
    <w:uiPriority w:val="99"/>
    <w:rsid w:val="008F62FC"/>
    <w:rPr>
      <w:rFonts w:cs="Times New Roman"/>
      <w:vertAlign w:val="superscript"/>
    </w:rPr>
  </w:style>
  <w:style w:type="paragraph" w:customStyle="1" w:styleId="FootnoteText1">
    <w:name w:val="Footnote Text1"/>
    <w:basedOn w:val="Normal"/>
    <w:next w:val="Normal"/>
    <w:uiPriority w:val="99"/>
    <w:rsid w:val="00CB2159"/>
    <w:pPr>
      <w:autoSpaceDE w:val="0"/>
      <w:autoSpaceDN w:val="0"/>
      <w:adjustRightInd w:val="0"/>
    </w:pPr>
  </w:style>
  <w:style w:type="character" w:styleId="nfase">
    <w:name w:val="Emphasis"/>
    <w:uiPriority w:val="99"/>
    <w:qFormat/>
    <w:rsid w:val="00CB2159"/>
    <w:rPr>
      <w:rFonts w:cs="Times New Roman"/>
      <w:i/>
    </w:rPr>
  </w:style>
  <w:style w:type="character" w:customStyle="1" w:styleId="acadbibprimaryauthor">
    <w:name w:val="acadbibprimaryauthor"/>
    <w:uiPriority w:val="99"/>
    <w:rsid w:val="00BD1F66"/>
  </w:style>
  <w:style w:type="character" w:customStyle="1" w:styleId="acadbibsecondaryauthor">
    <w:name w:val="acadbibsecondaryauthor"/>
    <w:uiPriority w:val="99"/>
    <w:rsid w:val="00BD1F66"/>
  </w:style>
  <w:style w:type="character" w:customStyle="1" w:styleId="acadbibtitle">
    <w:name w:val="acadbibtitle"/>
    <w:uiPriority w:val="99"/>
    <w:rsid w:val="00BD1F66"/>
  </w:style>
  <w:style w:type="character" w:customStyle="1" w:styleId="acadbibserialtitle">
    <w:name w:val="acadbibserialtitle"/>
    <w:uiPriority w:val="99"/>
    <w:rsid w:val="00BD1F66"/>
  </w:style>
  <w:style w:type="character" w:customStyle="1" w:styleId="acadbibserialcoll">
    <w:name w:val="acadbibserialcoll"/>
    <w:uiPriority w:val="99"/>
    <w:rsid w:val="00BD1F66"/>
  </w:style>
  <w:style w:type="character" w:styleId="Forte">
    <w:name w:val="Strong"/>
    <w:uiPriority w:val="99"/>
    <w:qFormat/>
    <w:rsid w:val="00E01005"/>
    <w:rPr>
      <w:rFonts w:cs="Times New Roman"/>
      <w:b/>
    </w:rPr>
  </w:style>
  <w:style w:type="paragraph" w:customStyle="1" w:styleId="Default">
    <w:name w:val="Default"/>
    <w:uiPriority w:val="99"/>
    <w:rsid w:val="006A6A30"/>
    <w:pPr>
      <w:autoSpaceDE w:val="0"/>
      <w:autoSpaceDN w:val="0"/>
      <w:adjustRightInd w:val="0"/>
    </w:pPr>
    <w:rPr>
      <w:color w:val="000000"/>
      <w:sz w:val="24"/>
      <w:szCs w:val="24"/>
    </w:rPr>
  </w:style>
  <w:style w:type="paragraph" w:styleId="Ttulo">
    <w:name w:val="Title"/>
    <w:basedOn w:val="Normal"/>
    <w:link w:val="TtuloCarcter"/>
    <w:uiPriority w:val="99"/>
    <w:qFormat/>
    <w:rsid w:val="008E1179"/>
    <w:pPr>
      <w:spacing w:before="720" w:after="60"/>
      <w:jc w:val="center"/>
      <w:outlineLvl w:val="0"/>
    </w:pPr>
    <w:rPr>
      <w:b/>
      <w:smallCaps/>
      <w:kern w:val="28"/>
      <w:szCs w:val="20"/>
      <w:lang w:val="en-US" w:eastAsia="en-US"/>
    </w:rPr>
  </w:style>
  <w:style w:type="character" w:customStyle="1" w:styleId="TtuloCarcter">
    <w:name w:val="Título Carácter"/>
    <w:link w:val="Ttulo"/>
    <w:uiPriority w:val="99"/>
    <w:locked/>
    <w:rsid w:val="008E1179"/>
    <w:rPr>
      <w:b/>
      <w:smallCaps/>
      <w:kern w:val="28"/>
      <w:sz w:val="24"/>
      <w:lang w:val="en-US" w:eastAsia="en-US"/>
    </w:rPr>
  </w:style>
  <w:style w:type="table" w:styleId="Tabelacomgrelha">
    <w:name w:val="Table Grid"/>
    <w:basedOn w:val="Tabelanormal"/>
    <w:uiPriority w:val="99"/>
    <w:rsid w:val="001C2E5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uthors">
    <w:name w:val="authors"/>
    <w:basedOn w:val="Normal"/>
    <w:uiPriority w:val="99"/>
    <w:rsid w:val="007C2808"/>
    <w:pPr>
      <w:spacing w:before="100" w:beforeAutospacing="1" w:after="100" w:afterAutospacing="1"/>
    </w:pPr>
  </w:style>
  <w:style w:type="paragraph" w:styleId="HTMLpr-formatado">
    <w:name w:val="HTML Preformatted"/>
    <w:basedOn w:val="Normal"/>
    <w:link w:val="HTMLpr-formatadoCarcter"/>
    <w:uiPriority w:val="99"/>
    <w:rsid w:val="007C28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formatadoCarcter">
    <w:name w:val="HTML pré-formatado Carácter"/>
    <w:link w:val="HTMLpr-formatado"/>
    <w:uiPriority w:val="99"/>
    <w:semiHidden/>
    <w:locked/>
    <w:rsid w:val="00CC2B78"/>
    <w:rPr>
      <w:rFonts w:ascii="Courier New" w:hAnsi="Courier New"/>
      <w:sz w:val="20"/>
    </w:rPr>
  </w:style>
  <w:style w:type="character" w:customStyle="1" w:styleId="authorfn">
    <w:name w:val="author fn"/>
    <w:uiPriority w:val="99"/>
    <w:rsid w:val="00C71D06"/>
  </w:style>
  <w:style w:type="paragraph" w:styleId="Subttulo">
    <w:name w:val="Subtitle"/>
    <w:basedOn w:val="Normal"/>
    <w:next w:val="Normal"/>
    <w:link w:val="SubttuloCarcter"/>
    <w:uiPriority w:val="99"/>
    <w:qFormat/>
    <w:rsid w:val="00CA20C3"/>
    <w:pPr>
      <w:spacing w:after="60"/>
      <w:jc w:val="center"/>
      <w:outlineLvl w:val="1"/>
    </w:pPr>
    <w:rPr>
      <w:rFonts w:ascii="Cambria" w:hAnsi="Cambria"/>
    </w:rPr>
  </w:style>
  <w:style w:type="character" w:customStyle="1" w:styleId="SubttuloCarcter">
    <w:name w:val="Subtítulo Carácter"/>
    <w:link w:val="Subttulo"/>
    <w:uiPriority w:val="99"/>
    <w:locked/>
    <w:rsid w:val="00CA20C3"/>
    <w:rPr>
      <w:rFonts w:ascii="Cambria" w:hAnsi="Cambria"/>
      <w:sz w:val="24"/>
    </w:rPr>
  </w:style>
  <w:style w:type="paragraph" w:styleId="Legenda">
    <w:name w:val="caption"/>
    <w:basedOn w:val="Normal"/>
    <w:next w:val="Normal"/>
    <w:uiPriority w:val="99"/>
    <w:qFormat/>
    <w:rsid w:val="00D47A7D"/>
    <w:rPr>
      <w:b/>
      <w:bCs/>
      <w:sz w:val="20"/>
      <w:szCs w:val="20"/>
    </w:rPr>
  </w:style>
  <w:style w:type="paragraph" w:styleId="Ttulodondice">
    <w:name w:val="TOC Heading"/>
    <w:basedOn w:val="Cabealho1"/>
    <w:next w:val="Normal"/>
    <w:uiPriority w:val="99"/>
    <w:qFormat/>
    <w:rsid w:val="00B17426"/>
    <w:pPr>
      <w:keepNext/>
      <w:keepLines/>
      <w:widowControl/>
      <w:autoSpaceDE/>
      <w:autoSpaceDN/>
      <w:adjustRightInd/>
      <w:spacing w:before="480" w:line="276" w:lineRule="auto"/>
      <w:outlineLvl w:val="9"/>
    </w:pPr>
    <w:rPr>
      <w:rFonts w:ascii="Cambria" w:hAnsi="Cambria"/>
      <w:color w:val="365F91"/>
      <w:sz w:val="28"/>
      <w:szCs w:val="28"/>
      <w:lang w:eastAsia="en-US"/>
    </w:rPr>
  </w:style>
  <w:style w:type="paragraph" w:styleId="ndice2">
    <w:name w:val="toc 2"/>
    <w:basedOn w:val="Normal"/>
    <w:next w:val="Normal"/>
    <w:autoRedefine/>
    <w:uiPriority w:val="39"/>
    <w:rsid w:val="00DE198B"/>
    <w:pPr>
      <w:tabs>
        <w:tab w:val="left" w:pos="660"/>
        <w:tab w:val="right" w:leader="dot" w:pos="9062"/>
      </w:tabs>
      <w:ind w:left="142"/>
    </w:pPr>
  </w:style>
  <w:style w:type="paragraph" w:styleId="ndice3">
    <w:name w:val="toc 3"/>
    <w:basedOn w:val="Normal"/>
    <w:next w:val="Normal"/>
    <w:autoRedefine/>
    <w:uiPriority w:val="39"/>
    <w:rsid w:val="00B17426"/>
    <w:pPr>
      <w:ind w:left="480"/>
    </w:pPr>
  </w:style>
  <w:style w:type="paragraph" w:customStyle="1" w:styleId="Body1">
    <w:name w:val="Body 1"/>
    <w:autoRedefine/>
    <w:uiPriority w:val="99"/>
    <w:rsid w:val="008F620D"/>
    <w:pPr>
      <w:spacing w:line="360" w:lineRule="auto"/>
      <w:outlineLvl w:val="0"/>
    </w:pPr>
    <w:rPr>
      <w:rFonts w:eastAsia="Arial Unicode MS"/>
      <w:color w:val="000000"/>
      <w:sz w:val="24"/>
      <w:u w:color="000000"/>
    </w:rPr>
  </w:style>
  <w:style w:type="paragraph" w:customStyle="1" w:styleId="ImportWordListStyleDefinition16">
    <w:name w:val="Import Word List Style Definition 16"/>
    <w:uiPriority w:val="99"/>
    <w:rsid w:val="00E42026"/>
    <w:pPr>
      <w:numPr>
        <w:numId w:val="2"/>
      </w:numPr>
    </w:pPr>
  </w:style>
  <w:style w:type="paragraph" w:customStyle="1" w:styleId="ImportWordListStyleDefinition15">
    <w:name w:val="Import Word List Style Definition 15"/>
    <w:uiPriority w:val="99"/>
    <w:rsid w:val="00E42026"/>
    <w:pPr>
      <w:numPr>
        <w:numId w:val="3"/>
      </w:numPr>
    </w:pPr>
  </w:style>
  <w:style w:type="paragraph" w:customStyle="1" w:styleId="ImportWordListStyleDefinition0">
    <w:name w:val="Import Word List Style Definition 0"/>
    <w:uiPriority w:val="99"/>
    <w:rsid w:val="00E42026"/>
    <w:pPr>
      <w:numPr>
        <w:numId w:val="4"/>
      </w:numPr>
    </w:pPr>
  </w:style>
  <w:style w:type="paragraph" w:customStyle="1" w:styleId="PaperTitle">
    <w:name w:val="PaperTitle"/>
    <w:aliases w:val="PT"/>
    <w:basedOn w:val="Default"/>
    <w:next w:val="Default"/>
    <w:uiPriority w:val="99"/>
    <w:rsid w:val="00BB0F8E"/>
    <w:rPr>
      <w:color w:val="auto"/>
    </w:rPr>
  </w:style>
  <w:style w:type="paragraph" w:customStyle="1" w:styleId="AbsKeyBibli">
    <w:name w:val="AbsKeyBibli"/>
    <w:aliases w:val="ABS"/>
    <w:basedOn w:val="Default"/>
    <w:next w:val="Default"/>
    <w:uiPriority w:val="99"/>
    <w:rsid w:val="00BB0F8E"/>
    <w:rPr>
      <w:color w:val="auto"/>
    </w:rPr>
  </w:style>
  <w:style w:type="character" w:customStyle="1" w:styleId="hps">
    <w:name w:val="hps"/>
    <w:uiPriority w:val="99"/>
    <w:rsid w:val="009466AE"/>
  </w:style>
  <w:style w:type="character" w:customStyle="1" w:styleId="atn">
    <w:name w:val="atn"/>
    <w:uiPriority w:val="99"/>
    <w:rsid w:val="00EA4FFB"/>
  </w:style>
  <w:style w:type="character" w:customStyle="1" w:styleId="st">
    <w:name w:val="st"/>
    <w:uiPriority w:val="99"/>
    <w:rsid w:val="00E336B6"/>
  </w:style>
  <w:style w:type="character" w:styleId="Hiperligaovisitada">
    <w:name w:val="FollowedHyperlink"/>
    <w:uiPriority w:val="99"/>
    <w:rsid w:val="00912675"/>
    <w:rPr>
      <w:rFonts w:cs="Times New Roman"/>
      <w:color w:val="800080"/>
      <w:u w:val="single"/>
    </w:rPr>
  </w:style>
  <w:style w:type="paragraph" w:customStyle="1" w:styleId="xl83">
    <w:name w:val="xl83"/>
    <w:basedOn w:val="Normal"/>
    <w:uiPriority w:val="99"/>
    <w:rsid w:val="00912675"/>
    <w:pPr>
      <w:spacing w:before="100" w:beforeAutospacing="1" w:after="100" w:afterAutospacing="1"/>
    </w:pPr>
    <w:rPr>
      <w:rFonts w:ascii="Cambria" w:hAnsi="Cambria"/>
    </w:rPr>
  </w:style>
  <w:style w:type="paragraph" w:customStyle="1" w:styleId="xl84">
    <w:name w:val="xl84"/>
    <w:basedOn w:val="Normal"/>
    <w:uiPriority w:val="99"/>
    <w:rsid w:val="00912675"/>
    <w:pPr>
      <w:spacing w:before="100" w:beforeAutospacing="1" w:after="100" w:afterAutospacing="1"/>
      <w:jc w:val="center"/>
    </w:pPr>
    <w:rPr>
      <w:rFonts w:ascii="Cambria" w:hAnsi="Cambria"/>
    </w:rPr>
  </w:style>
  <w:style w:type="paragraph" w:customStyle="1" w:styleId="xl85">
    <w:name w:val="xl85"/>
    <w:basedOn w:val="Normal"/>
    <w:uiPriority w:val="99"/>
    <w:rsid w:val="00912675"/>
    <w:pPr>
      <w:shd w:val="clear" w:color="000000" w:fill="FFFFFF"/>
      <w:spacing w:before="100" w:beforeAutospacing="1" w:after="100" w:afterAutospacing="1"/>
      <w:textAlignment w:val="center"/>
    </w:pPr>
    <w:rPr>
      <w:rFonts w:ascii="Cambria" w:hAnsi="Cambria"/>
      <w:color w:val="000000"/>
      <w:sz w:val="16"/>
      <w:szCs w:val="16"/>
    </w:rPr>
  </w:style>
  <w:style w:type="paragraph" w:customStyle="1" w:styleId="xl86">
    <w:name w:val="xl86"/>
    <w:basedOn w:val="Normal"/>
    <w:uiPriority w:val="99"/>
    <w:rsid w:val="00912675"/>
    <w:pPr>
      <w:shd w:val="clear" w:color="000000" w:fill="FFFFFF"/>
      <w:spacing w:before="100" w:beforeAutospacing="1" w:after="100" w:afterAutospacing="1"/>
      <w:textAlignment w:val="center"/>
    </w:pPr>
    <w:rPr>
      <w:rFonts w:ascii="Cambria" w:hAnsi="Cambria"/>
      <w:sz w:val="16"/>
      <w:szCs w:val="16"/>
    </w:rPr>
  </w:style>
  <w:style w:type="paragraph" w:customStyle="1" w:styleId="xl87">
    <w:name w:val="xl87"/>
    <w:basedOn w:val="Normal"/>
    <w:uiPriority w:val="99"/>
    <w:rsid w:val="00912675"/>
    <w:pP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88">
    <w:name w:val="xl88"/>
    <w:basedOn w:val="Normal"/>
    <w:uiPriority w:val="99"/>
    <w:rsid w:val="00912675"/>
    <w:pPr>
      <w:pBdr>
        <w:top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89">
    <w:name w:val="xl89"/>
    <w:basedOn w:val="Normal"/>
    <w:uiPriority w:val="99"/>
    <w:rsid w:val="00912675"/>
    <w:pPr>
      <w:pBdr>
        <w:top w:val="single" w:sz="4" w:space="0" w:color="auto"/>
      </w:pBdr>
      <w:shd w:val="clear" w:color="000000" w:fill="FFFFFF"/>
      <w:spacing w:before="100" w:beforeAutospacing="1" w:after="100" w:afterAutospacing="1"/>
    </w:pPr>
    <w:rPr>
      <w:rFonts w:ascii="Cambria" w:hAnsi="Cambria"/>
      <w:color w:val="000000"/>
      <w:sz w:val="16"/>
      <w:szCs w:val="16"/>
    </w:rPr>
  </w:style>
  <w:style w:type="paragraph" w:customStyle="1" w:styleId="xl90">
    <w:name w:val="xl90"/>
    <w:basedOn w:val="Normal"/>
    <w:uiPriority w:val="99"/>
    <w:rsid w:val="00912675"/>
    <w:pPr>
      <w:pBdr>
        <w:top w:val="single" w:sz="4" w:space="0" w:color="auto"/>
      </w:pBdr>
      <w:shd w:val="clear" w:color="000000" w:fill="FFFFFF"/>
      <w:spacing w:before="100" w:beforeAutospacing="1" w:after="100" w:afterAutospacing="1"/>
      <w:textAlignment w:val="center"/>
    </w:pPr>
    <w:rPr>
      <w:rFonts w:ascii="Cambria" w:hAnsi="Cambria"/>
      <w:sz w:val="16"/>
      <w:szCs w:val="16"/>
    </w:rPr>
  </w:style>
  <w:style w:type="paragraph" w:customStyle="1" w:styleId="xl91">
    <w:name w:val="xl91"/>
    <w:basedOn w:val="Normal"/>
    <w:uiPriority w:val="99"/>
    <w:rsid w:val="00912675"/>
    <w:pPr>
      <w:pBdr>
        <w:top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92">
    <w:name w:val="xl92"/>
    <w:basedOn w:val="Normal"/>
    <w:uiPriority w:val="99"/>
    <w:rsid w:val="00912675"/>
    <w:pPr>
      <w:pBdr>
        <w:bottom w:val="single" w:sz="4" w:space="0" w:color="auto"/>
      </w:pBdr>
      <w:shd w:val="clear" w:color="000000" w:fill="FFFFFF"/>
      <w:spacing w:before="100" w:beforeAutospacing="1" w:after="100" w:afterAutospacing="1"/>
      <w:jc w:val="center"/>
      <w:textAlignment w:val="center"/>
    </w:pPr>
    <w:rPr>
      <w:rFonts w:ascii="Cambria" w:hAnsi="Cambria"/>
      <w:sz w:val="16"/>
      <w:szCs w:val="16"/>
    </w:rPr>
  </w:style>
  <w:style w:type="paragraph" w:customStyle="1" w:styleId="xl93">
    <w:name w:val="xl93"/>
    <w:basedOn w:val="Normal"/>
    <w:uiPriority w:val="99"/>
    <w:rsid w:val="00912675"/>
    <w:pPr>
      <w:pBdr>
        <w:bottom w:val="single" w:sz="4" w:space="0" w:color="auto"/>
      </w:pBdr>
      <w:shd w:val="clear" w:color="000000" w:fill="FFFFFF"/>
      <w:spacing w:before="100" w:beforeAutospacing="1" w:after="100" w:afterAutospacing="1"/>
      <w:jc w:val="center"/>
    </w:pPr>
    <w:rPr>
      <w:rFonts w:ascii="Cambria" w:hAnsi="Cambria"/>
      <w:color w:val="000000"/>
      <w:sz w:val="16"/>
      <w:szCs w:val="16"/>
    </w:rPr>
  </w:style>
  <w:style w:type="paragraph" w:customStyle="1" w:styleId="xl94">
    <w:name w:val="xl94"/>
    <w:basedOn w:val="Normal"/>
    <w:uiPriority w:val="99"/>
    <w:rsid w:val="00912675"/>
    <w:pP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5">
    <w:name w:val="xl95"/>
    <w:basedOn w:val="Normal"/>
    <w:uiPriority w:val="99"/>
    <w:rsid w:val="00912675"/>
    <w:pP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96">
    <w:name w:val="xl96"/>
    <w:basedOn w:val="Normal"/>
    <w:uiPriority w:val="99"/>
    <w:rsid w:val="00912675"/>
    <w:pP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7">
    <w:name w:val="xl97"/>
    <w:basedOn w:val="Normal"/>
    <w:uiPriority w:val="99"/>
    <w:rsid w:val="00912675"/>
    <w:pP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98">
    <w:name w:val="xl98"/>
    <w:basedOn w:val="Normal"/>
    <w:uiPriority w:val="99"/>
    <w:rsid w:val="00912675"/>
    <w:pPr>
      <w:pBdr>
        <w:top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99">
    <w:name w:val="xl99"/>
    <w:basedOn w:val="Normal"/>
    <w:uiPriority w:val="99"/>
    <w:rsid w:val="00912675"/>
    <w:pPr>
      <w:pBdr>
        <w:top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0">
    <w:name w:val="xl100"/>
    <w:basedOn w:val="Normal"/>
    <w:uiPriority w:val="99"/>
    <w:rsid w:val="00912675"/>
    <w:pPr>
      <w:pBdr>
        <w:top w:val="single" w:sz="4" w:space="0" w:color="auto"/>
      </w:pBd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101">
    <w:name w:val="xl101"/>
    <w:basedOn w:val="Normal"/>
    <w:uiPriority w:val="99"/>
    <w:rsid w:val="00912675"/>
    <w:pPr>
      <w:pBdr>
        <w:top w:val="single" w:sz="4" w:space="0" w:color="auto"/>
      </w:pBd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102">
    <w:name w:val="xl102"/>
    <w:basedOn w:val="Normal"/>
    <w:uiPriority w:val="99"/>
    <w:rsid w:val="00912675"/>
    <w:pPr>
      <w:pBdr>
        <w:bottom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3">
    <w:name w:val="xl103"/>
    <w:basedOn w:val="Normal"/>
    <w:uiPriority w:val="99"/>
    <w:rsid w:val="00912675"/>
    <w:pPr>
      <w:pBdr>
        <w:bottom w:val="single" w:sz="4" w:space="0" w:color="auto"/>
      </w:pBdr>
      <w:shd w:val="clear" w:color="000000" w:fill="FFFFFF"/>
      <w:spacing w:before="100" w:beforeAutospacing="1" w:after="100" w:afterAutospacing="1"/>
      <w:textAlignment w:val="top"/>
    </w:pPr>
    <w:rPr>
      <w:rFonts w:ascii="Cambria" w:hAnsi="Cambria"/>
      <w:color w:val="000000"/>
      <w:sz w:val="16"/>
      <w:szCs w:val="16"/>
    </w:rPr>
  </w:style>
  <w:style w:type="paragraph" w:customStyle="1" w:styleId="xl104">
    <w:name w:val="xl104"/>
    <w:basedOn w:val="Normal"/>
    <w:uiPriority w:val="99"/>
    <w:rsid w:val="00912675"/>
    <w:pPr>
      <w:pBdr>
        <w:bottom w:val="single" w:sz="4" w:space="0" w:color="auto"/>
      </w:pBdr>
      <w:shd w:val="clear" w:color="000000" w:fill="FFFFFF"/>
      <w:spacing w:before="100" w:beforeAutospacing="1" w:after="100" w:afterAutospacing="1"/>
      <w:jc w:val="right"/>
      <w:textAlignment w:val="top"/>
    </w:pPr>
    <w:rPr>
      <w:rFonts w:ascii="Cambria" w:hAnsi="Cambria"/>
      <w:color w:val="000000"/>
      <w:sz w:val="16"/>
      <w:szCs w:val="16"/>
    </w:rPr>
  </w:style>
  <w:style w:type="paragraph" w:customStyle="1" w:styleId="xl105">
    <w:name w:val="xl105"/>
    <w:basedOn w:val="Normal"/>
    <w:uiPriority w:val="99"/>
    <w:rsid w:val="00912675"/>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106">
    <w:name w:val="xl106"/>
    <w:basedOn w:val="Normal"/>
    <w:uiPriority w:val="99"/>
    <w:rsid w:val="00912675"/>
    <w:pPr>
      <w:shd w:val="clear" w:color="000000" w:fill="FFFFFF"/>
      <w:spacing w:before="100" w:beforeAutospacing="1" w:after="100" w:afterAutospacing="1"/>
      <w:jc w:val="center"/>
      <w:textAlignment w:val="top"/>
    </w:pPr>
    <w:rPr>
      <w:rFonts w:ascii="Cambria" w:hAnsi="Cambria"/>
      <w:color w:val="000000"/>
      <w:sz w:val="16"/>
      <w:szCs w:val="16"/>
    </w:rPr>
  </w:style>
  <w:style w:type="paragraph" w:customStyle="1" w:styleId="xl82">
    <w:name w:val="xl82"/>
    <w:basedOn w:val="Normal"/>
    <w:uiPriority w:val="99"/>
    <w:rsid w:val="006C5601"/>
    <w:pPr>
      <w:shd w:val="clear" w:color="000000" w:fill="FFFFFF"/>
      <w:spacing w:before="100" w:beforeAutospacing="1" w:after="100" w:afterAutospacing="1"/>
    </w:pPr>
    <w:rPr>
      <w:rFonts w:ascii="Cambria" w:hAnsi="Cambria"/>
      <w:sz w:val="12"/>
      <w:szCs w:val="12"/>
    </w:rPr>
  </w:style>
  <w:style w:type="paragraph" w:customStyle="1" w:styleId="xl107">
    <w:name w:val="xl107"/>
    <w:basedOn w:val="Normal"/>
    <w:uiPriority w:val="99"/>
    <w:rsid w:val="00872417"/>
    <w:pPr>
      <w:shd w:val="clear" w:color="000000" w:fill="FFFFFF"/>
      <w:spacing w:before="100" w:beforeAutospacing="1" w:after="100" w:afterAutospacing="1"/>
      <w:jc w:val="center"/>
      <w:textAlignment w:val="center"/>
    </w:pPr>
    <w:rPr>
      <w:rFonts w:ascii="Cambria" w:hAnsi="Cambria"/>
      <w:sz w:val="14"/>
      <w:szCs w:val="14"/>
    </w:rPr>
  </w:style>
  <w:style w:type="paragraph" w:customStyle="1" w:styleId="xl108">
    <w:name w:val="xl108"/>
    <w:basedOn w:val="Normal"/>
    <w:uiPriority w:val="99"/>
    <w:rsid w:val="0087241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09">
    <w:name w:val="xl109"/>
    <w:basedOn w:val="Normal"/>
    <w:uiPriority w:val="99"/>
    <w:rsid w:val="0087241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0">
    <w:name w:val="xl110"/>
    <w:basedOn w:val="Normal"/>
    <w:uiPriority w:val="99"/>
    <w:rsid w:val="0087241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1">
    <w:name w:val="xl111"/>
    <w:basedOn w:val="Normal"/>
    <w:uiPriority w:val="99"/>
    <w:rsid w:val="00872417"/>
    <w:pPr>
      <w:pBdr>
        <w:top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12">
    <w:name w:val="xl112"/>
    <w:basedOn w:val="Normal"/>
    <w:uiPriority w:val="99"/>
    <w:rsid w:val="00872417"/>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13">
    <w:name w:val="xl113"/>
    <w:basedOn w:val="Normal"/>
    <w:uiPriority w:val="99"/>
    <w:rsid w:val="00872417"/>
    <w:pPr>
      <w:shd w:val="clear" w:color="000000" w:fill="FFFFFF"/>
      <w:spacing w:before="100" w:beforeAutospacing="1" w:after="100" w:afterAutospacing="1"/>
      <w:jc w:val="center"/>
    </w:pPr>
    <w:rPr>
      <w:rFonts w:ascii="Cambria" w:hAnsi="Cambria"/>
      <w:sz w:val="14"/>
      <w:szCs w:val="14"/>
    </w:rPr>
  </w:style>
  <w:style w:type="paragraph" w:customStyle="1" w:styleId="xl114">
    <w:name w:val="xl114"/>
    <w:basedOn w:val="Normal"/>
    <w:uiPriority w:val="99"/>
    <w:rsid w:val="0087241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5">
    <w:name w:val="xl115"/>
    <w:basedOn w:val="Normal"/>
    <w:uiPriority w:val="99"/>
    <w:rsid w:val="00251B87"/>
    <w:pPr>
      <w:pBdr>
        <w:top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6">
    <w:name w:val="xl116"/>
    <w:basedOn w:val="Normal"/>
    <w:uiPriority w:val="99"/>
    <w:rsid w:val="00251B8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17">
    <w:name w:val="xl117"/>
    <w:basedOn w:val="Normal"/>
    <w:uiPriority w:val="99"/>
    <w:rsid w:val="00251B87"/>
    <w:pPr>
      <w:pBdr>
        <w:bottom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8">
    <w:name w:val="xl118"/>
    <w:basedOn w:val="Normal"/>
    <w:uiPriority w:val="99"/>
    <w:rsid w:val="00251B87"/>
    <w:pPr>
      <w:pBdr>
        <w:bottom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19">
    <w:name w:val="xl119"/>
    <w:basedOn w:val="Normal"/>
    <w:uiPriority w:val="99"/>
    <w:rsid w:val="00251B8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20">
    <w:name w:val="xl120"/>
    <w:basedOn w:val="Normal"/>
    <w:uiPriority w:val="99"/>
    <w:rsid w:val="00251B87"/>
    <w:pPr>
      <w:pBdr>
        <w:top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1">
    <w:name w:val="xl121"/>
    <w:basedOn w:val="Normal"/>
    <w:uiPriority w:val="99"/>
    <w:rsid w:val="00251B87"/>
    <w:pP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2">
    <w:name w:val="xl122"/>
    <w:basedOn w:val="Normal"/>
    <w:uiPriority w:val="99"/>
    <w:rsid w:val="00251B87"/>
    <w:pPr>
      <w:shd w:val="clear" w:color="000000" w:fill="FFFFFF"/>
      <w:spacing w:before="100" w:beforeAutospacing="1" w:after="100" w:afterAutospacing="1"/>
      <w:jc w:val="center"/>
      <w:textAlignment w:val="center"/>
    </w:pPr>
    <w:rPr>
      <w:rFonts w:ascii="Cambria" w:hAnsi="Cambria"/>
      <w:sz w:val="14"/>
      <w:szCs w:val="14"/>
    </w:rPr>
  </w:style>
  <w:style w:type="paragraph" w:customStyle="1" w:styleId="xl123">
    <w:name w:val="xl123"/>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4">
    <w:name w:val="xl124"/>
    <w:basedOn w:val="Normal"/>
    <w:uiPriority w:val="99"/>
    <w:rsid w:val="00251B87"/>
    <w:pPr>
      <w:pBdr>
        <w:bottom w:val="single" w:sz="4" w:space="0" w:color="auto"/>
      </w:pBd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25">
    <w:name w:val="xl125"/>
    <w:basedOn w:val="Normal"/>
    <w:uiPriority w:val="99"/>
    <w:rsid w:val="00251B87"/>
    <w:pPr>
      <w:pBdr>
        <w:top w:val="single" w:sz="4" w:space="0" w:color="auto"/>
      </w:pBdr>
      <w:shd w:val="clear" w:color="000000" w:fill="FFFFFF"/>
      <w:spacing w:before="100" w:beforeAutospacing="1" w:after="100" w:afterAutospacing="1"/>
    </w:pPr>
    <w:rPr>
      <w:rFonts w:ascii="Cambria" w:hAnsi="Cambria"/>
      <w:sz w:val="14"/>
      <w:szCs w:val="14"/>
    </w:rPr>
  </w:style>
  <w:style w:type="paragraph" w:customStyle="1" w:styleId="xl126">
    <w:name w:val="xl126"/>
    <w:basedOn w:val="Normal"/>
    <w:uiPriority w:val="99"/>
    <w:rsid w:val="00251B87"/>
    <w:pPr>
      <w:pBdr>
        <w:top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7">
    <w:name w:val="xl127"/>
    <w:basedOn w:val="Normal"/>
    <w:uiPriority w:val="99"/>
    <w:rsid w:val="00251B87"/>
    <w:pPr>
      <w:pBdr>
        <w:bottom w:val="single" w:sz="4" w:space="0" w:color="auto"/>
      </w:pBdr>
      <w:shd w:val="clear" w:color="000000" w:fill="FFFFFF"/>
      <w:spacing w:before="100" w:beforeAutospacing="1" w:after="100" w:afterAutospacing="1"/>
      <w:jc w:val="center"/>
      <w:textAlignment w:val="top"/>
    </w:pPr>
    <w:rPr>
      <w:rFonts w:ascii="Cambria" w:hAnsi="Cambria"/>
      <w:color w:val="000000"/>
      <w:sz w:val="14"/>
      <w:szCs w:val="14"/>
    </w:rPr>
  </w:style>
  <w:style w:type="paragraph" w:customStyle="1" w:styleId="xl128">
    <w:name w:val="xl128"/>
    <w:basedOn w:val="Normal"/>
    <w:uiPriority w:val="99"/>
    <w:rsid w:val="00251B87"/>
    <w:pPr>
      <w:shd w:val="clear" w:color="000000" w:fill="FFFFFF"/>
      <w:spacing w:before="100" w:beforeAutospacing="1" w:after="100" w:afterAutospacing="1"/>
      <w:jc w:val="center"/>
    </w:pPr>
    <w:rPr>
      <w:rFonts w:ascii="Cambria" w:hAnsi="Cambria"/>
      <w:sz w:val="14"/>
      <w:szCs w:val="14"/>
    </w:rPr>
  </w:style>
  <w:style w:type="paragraph" w:customStyle="1" w:styleId="xl129">
    <w:name w:val="xl129"/>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130">
    <w:name w:val="xl130"/>
    <w:basedOn w:val="Normal"/>
    <w:uiPriority w:val="99"/>
    <w:rsid w:val="00251B87"/>
    <w:pPr>
      <w:shd w:val="clear" w:color="000000" w:fill="FFFFFF"/>
      <w:spacing w:before="100" w:beforeAutospacing="1" w:after="100" w:afterAutospacing="1"/>
      <w:textAlignment w:val="top"/>
    </w:pPr>
    <w:rPr>
      <w:rFonts w:ascii="Cambria" w:hAnsi="Cambria"/>
      <w:color w:val="000000"/>
      <w:sz w:val="14"/>
      <w:szCs w:val="14"/>
    </w:rPr>
  </w:style>
  <w:style w:type="paragraph" w:customStyle="1" w:styleId="xl76">
    <w:name w:val="xl76"/>
    <w:basedOn w:val="Normal"/>
    <w:uiPriority w:val="99"/>
    <w:rsid w:val="00BA6FCE"/>
    <w:pPr>
      <w:shd w:val="clear" w:color="000000" w:fill="FFFFFF"/>
      <w:spacing w:before="100" w:beforeAutospacing="1" w:after="100" w:afterAutospacing="1"/>
    </w:pPr>
    <w:rPr>
      <w:rFonts w:ascii="Cambria" w:hAnsi="Cambria"/>
      <w:sz w:val="16"/>
      <w:szCs w:val="16"/>
    </w:rPr>
  </w:style>
  <w:style w:type="paragraph" w:customStyle="1" w:styleId="xl77">
    <w:name w:val="xl77"/>
    <w:basedOn w:val="Normal"/>
    <w:uiPriority w:val="99"/>
    <w:rsid w:val="00BA6FCE"/>
    <w:pPr>
      <w:shd w:val="clear" w:color="000000" w:fill="FFFFFF"/>
      <w:spacing w:before="100" w:beforeAutospacing="1" w:after="100" w:afterAutospacing="1"/>
      <w:jc w:val="center"/>
    </w:pPr>
    <w:rPr>
      <w:rFonts w:ascii="Cambria" w:hAnsi="Cambria"/>
      <w:sz w:val="16"/>
      <w:szCs w:val="16"/>
    </w:rPr>
  </w:style>
  <w:style w:type="paragraph" w:customStyle="1" w:styleId="xl78">
    <w:name w:val="xl78"/>
    <w:basedOn w:val="Normal"/>
    <w:uiPriority w:val="99"/>
    <w:rsid w:val="00BA6FCE"/>
    <w:pPr>
      <w:pBdr>
        <w:top w:val="single" w:sz="4" w:space="0" w:color="auto"/>
      </w:pBdr>
      <w:shd w:val="clear" w:color="000000" w:fill="FFFFFF"/>
      <w:spacing w:before="100" w:beforeAutospacing="1" w:after="100" w:afterAutospacing="1"/>
    </w:pPr>
    <w:rPr>
      <w:rFonts w:ascii="Cambria" w:hAnsi="Cambria"/>
      <w:sz w:val="16"/>
      <w:szCs w:val="16"/>
    </w:rPr>
  </w:style>
  <w:style w:type="paragraph" w:customStyle="1" w:styleId="xl79">
    <w:name w:val="xl79"/>
    <w:basedOn w:val="Normal"/>
    <w:uiPriority w:val="99"/>
    <w:rsid w:val="00BA6FCE"/>
    <w:pPr>
      <w:pBdr>
        <w:bottom w:val="single" w:sz="4" w:space="0" w:color="auto"/>
      </w:pBdr>
      <w:shd w:val="clear" w:color="000000" w:fill="FFFFFF"/>
      <w:spacing w:before="100" w:beforeAutospacing="1" w:after="100" w:afterAutospacing="1"/>
    </w:pPr>
    <w:rPr>
      <w:rFonts w:ascii="Cambria" w:hAnsi="Cambria"/>
      <w:sz w:val="16"/>
      <w:szCs w:val="16"/>
    </w:rPr>
  </w:style>
  <w:style w:type="paragraph" w:customStyle="1" w:styleId="xl80">
    <w:name w:val="xl80"/>
    <w:basedOn w:val="Normal"/>
    <w:uiPriority w:val="99"/>
    <w:rsid w:val="00BA6FCE"/>
    <w:pPr>
      <w:pBdr>
        <w:top w:val="single" w:sz="4" w:space="0" w:color="auto"/>
        <w:bottom w:val="single" w:sz="4" w:space="0" w:color="auto"/>
      </w:pBdr>
      <w:shd w:val="clear" w:color="000000" w:fill="FFFFFF"/>
      <w:spacing w:before="100" w:beforeAutospacing="1" w:after="100" w:afterAutospacing="1"/>
    </w:pPr>
    <w:rPr>
      <w:rFonts w:ascii="Cambria" w:hAnsi="Cambria"/>
      <w:sz w:val="16"/>
      <w:szCs w:val="16"/>
    </w:rPr>
  </w:style>
  <w:style w:type="paragraph" w:customStyle="1" w:styleId="xl81">
    <w:name w:val="xl81"/>
    <w:basedOn w:val="Normal"/>
    <w:uiPriority w:val="99"/>
    <w:rsid w:val="00BA6FCE"/>
    <w:pPr>
      <w:shd w:val="clear" w:color="000000" w:fill="FFFFFF"/>
      <w:spacing w:before="100" w:beforeAutospacing="1" w:after="100" w:afterAutospacing="1"/>
      <w:textAlignment w:val="top"/>
    </w:pPr>
    <w:rPr>
      <w:rFonts w:ascii="Cambria" w:hAnsi="Cambria"/>
      <w:color w:val="000000"/>
      <w:sz w:val="16"/>
      <w:szCs w:val="16"/>
    </w:rPr>
  </w:style>
  <w:style w:type="character" w:customStyle="1" w:styleId="st1">
    <w:name w:val="st1"/>
    <w:uiPriority w:val="99"/>
    <w:rsid w:val="00585478"/>
  </w:style>
  <w:style w:type="paragraph" w:customStyle="1" w:styleId="Figura">
    <w:name w:val="Figura"/>
    <w:basedOn w:val="Normal"/>
    <w:uiPriority w:val="99"/>
    <w:rsid w:val="00116E7C"/>
    <w:pPr>
      <w:spacing w:line="360" w:lineRule="auto"/>
      <w:jc w:val="both"/>
    </w:pPr>
    <w:rPr>
      <w:color w:val="000000"/>
      <w:sz w:val="20"/>
    </w:rPr>
  </w:style>
  <w:style w:type="paragraph" w:styleId="ndicedeilustraes">
    <w:name w:val="table of figures"/>
    <w:basedOn w:val="Normal"/>
    <w:next w:val="Normal"/>
    <w:uiPriority w:val="99"/>
    <w:rsid w:val="00D4237A"/>
  </w:style>
  <w:style w:type="character" w:styleId="Refdecomentrio">
    <w:name w:val="annotation reference"/>
    <w:uiPriority w:val="99"/>
    <w:semiHidden/>
    <w:locked/>
    <w:rsid w:val="00824856"/>
    <w:rPr>
      <w:rFonts w:cs="Times New Roman"/>
      <w:sz w:val="16"/>
      <w:szCs w:val="16"/>
    </w:rPr>
  </w:style>
  <w:style w:type="paragraph" w:styleId="Textodecomentrio">
    <w:name w:val="annotation text"/>
    <w:basedOn w:val="Normal"/>
    <w:link w:val="TextodecomentrioCarcter"/>
    <w:uiPriority w:val="99"/>
    <w:semiHidden/>
    <w:locked/>
    <w:rsid w:val="00824856"/>
    <w:rPr>
      <w:sz w:val="20"/>
      <w:szCs w:val="20"/>
    </w:rPr>
  </w:style>
  <w:style w:type="character" w:customStyle="1" w:styleId="TextodecomentrioCarcter">
    <w:name w:val="Texto de comentário Carácter"/>
    <w:link w:val="Textodecomentrio"/>
    <w:uiPriority w:val="99"/>
    <w:semiHidden/>
    <w:locked/>
    <w:rsid w:val="00824856"/>
    <w:rPr>
      <w:rFonts w:cs="Times New Roman"/>
    </w:rPr>
  </w:style>
  <w:style w:type="paragraph" w:styleId="Assuntodecomentrio">
    <w:name w:val="annotation subject"/>
    <w:basedOn w:val="Textodecomentrio"/>
    <w:next w:val="Textodecomentrio"/>
    <w:link w:val="AssuntodecomentrioCarcter"/>
    <w:uiPriority w:val="99"/>
    <w:semiHidden/>
    <w:locked/>
    <w:rsid w:val="00824856"/>
    <w:rPr>
      <w:b/>
      <w:bCs/>
    </w:rPr>
  </w:style>
  <w:style w:type="character" w:customStyle="1" w:styleId="AssuntodecomentrioCarcter">
    <w:name w:val="Assunto de comentário Carácter"/>
    <w:link w:val="Assuntodecomentrio"/>
    <w:uiPriority w:val="99"/>
    <w:semiHidden/>
    <w:locked/>
    <w:rsid w:val="00824856"/>
    <w:rPr>
      <w:rFonts w:cs="Times New Roman"/>
      <w:b/>
      <w:bCs/>
    </w:rPr>
  </w:style>
  <w:style w:type="character" w:styleId="TextodoMarcadordePosio">
    <w:name w:val="Placeholder Text"/>
    <w:uiPriority w:val="99"/>
    <w:semiHidden/>
    <w:rsid w:val="00A52CB1"/>
    <w:rPr>
      <w:rFonts w:cs="Times New Roman"/>
      <w:color w:val="808080"/>
    </w:rPr>
  </w:style>
  <w:style w:type="paragraph" w:styleId="ndiceremissivo1">
    <w:name w:val="index 1"/>
    <w:basedOn w:val="Normal"/>
    <w:next w:val="Normal"/>
    <w:autoRedefine/>
    <w:uiPriority w:val="99"/>
    <w:semiHidden/>
    <w:unhideWhenUsed/>
    <w:locked/>
    <w:rsid w:val="00DD53DE"/>
    <w:pPr>
      <w:ind w:left="24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37899">
      <w:bodyDiv w:val="1"/>
      <w:marLeft w:val="0"/>
      <w:marRight w:val="0"/>
      <w:marTop w:val="0"/>
      <w:marBottom w:val="0"/>
      <w:divBdr>
        <w:top w:val="none" w:sz="0" w:space="0" w:color="auto"/>
        <w:left w:val="none" w:sz="0" w:space="0" w:color="auto"/>
        <w:bottom w:val="none" w:sz="0" w:space="0" w:color="auto"/>
        <w:right w:val="none" w:sz="0" w:space="0" w:color="auto"/>
      </w:divBdr>
    </w:div>
    <w:div w:id="484010852">
      <w:bodyDiv w:val="1"/>
      <w:marLeft w:val="0"/>
      <w:marRight w:val="0"/>
      <w:marTop w:val="0"/>
      <w:marBottom w:val="0"/>
      <w:divBdr>
        <w:top w:val="none" w:sz="0" w:space="0" w:color="auto"/>
        <w:left w:val="none" w:sz="0" w:space="0" w:color="auto"/>
        <w:bottom w:val="none" w:sz="0" w:space="0" w:color="auto"/>
        <w:right w:val="none" w:sz="0" w:space="0" w:color="auto"/>
      </w:divBdr>
      <w:divsChild>
        <w:div w:id="1818306323">
          <w:marLeft w:val="0"/>
          <w:marRight w:val="0"/>
          <w:marTop w:val="0"/>
          <w:marBottom w:val="0"/>
          <w:divBdr>
            <w:top w:val="none" w:sz="0" w:space="0" w:color="auto"/>
            <w:left w:val="none" w:sz="0" w:space="0" w:color="auto"/>
            <w:bottom w:val="none" w:sz="0" w:space="0" w:color="auto"/>
            <w:right w:val="none" w:sz="0" w:space="0" w:color="auto"/>
          </w:divBdr>
          <w:divsChild>
            <w:div w:id="728772481">
              <w:marLeft w:val="0"/>
              <w:marRight w:val="0"/>
              <w:marTop w:val="0"/>
              <w:marBottom w:val="0"/>
              <w:divBdr>
                <w:top w:val="none" w:sz="0" w:space="0" w:color="auto"/>
                <w:left w:val="none" w:sz="0" w:space="0" w:color="auto"/>
                <w:bottom w:val="none" w:sz="0" w:space="0" w:color="auto"/>
                <w:right w:val="none" w:sz="0" w:space="0" w:color="auto"/>
              </w:divBdr>
              <w:divsChild>
                <w:div w:id="131853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258">
      <w:marLeft w:val="0"/>
      <w:marRight w:val="0"/>
      <w:marTop w:val="0"/>
      <w:marBottom w:val="0"/>
      <w:divBdr>
        <w:top w:val="none" w:sz="0" w:space="0" w:color="auto"/>
        <w:left w:val="none" w:sz="0" w:space="0" w:color="auto"/>
        <w:bottom w:val="none" w:sz="0" w:space="0" w:color="auto"/>
        <w:right w:val="none" w:sz="0" w:space="0" w:color="auto"/>
      </w:divBdr>
      <w:divsChild>
        <w:div w:id="912815260">
          <w:marLeft w:val="0"/>
          <w:marRight w:val="0"/>
          <w:marTop w:val="0"/>
          <w:marBottom w:val="0"/>
          <w:divBdr>
            <w:top w:val="none" w:sz="0" w:space="0" w:color="auto"/>
            <w:left w:val="none" w:sz="0" w:space="0" w:color="auto"/>
            <w:bottom w:val="none" w:sz="0" w:space="0" w:color="auto"/>
            <w:right w:val="none" w:sz="0" w:space="0" w:color="auto"/>
          </w:divBdr>
          <w:divsChild>
            <w:div w:id="912815533">
              <w:marLeft w:val="0"/>
              <w:marRight w:val="0"/>
              <w:marTop w:val="0"/>
              <w:marBottom w:val="0"/>
              <w:divBdr>
                <w:top w:val="none" w:sz="0" w:space="0" w:color="auto"/>
                <w:left w:val="none" w:sz="0" w:space="0" w:color="auto"/>
                <w:bottom w:val="none" w:sz="0" w:space="0" w:color="auto"/>
                <w:right w:val="none" w:sz="0" w:space="0" w:color="auto"/>
              </w:divBdr>
              <w:divsChild>
                <w:div w:id="912815259">
                  <w:marLeft w:val="0"/>
                  <w:marRight w:val="0"/>
                  <w:marTop w:val="0"/>
                  <w:marBottom w:val="0"/>
                  <w:divBdr>
                    <w:top w:val="none" w:sz="0" w:space="0" w:color="auto"/>
                    <w:left w:val="none" w:sz="0" w:space="0" w:color="auto"/>
                    <w:bottom w:val="none" w:sz="0" w:space="0" w:color="auto"/>
                    <w:right w:val="none" w:sz="0" w:space="0" w:color="auto"/>
                  </w:divBdr>
                  <w:divsChild>
                    <w:div w:id="912815532">
                      <w:marLeft w:val="0"/>
                      <w:marRight w:val="0"/>
                      <w:marTop w:val="0"/>
                      <w:marBottom w:val="0"/>
                      <w:divBdr>
                        <w:top w:val="none" w:sz="0" w:space="0" w:color="auto"/>
                        <w:left w:val="none" w:sz="0" w:space="0" w:color="auto"/>
                        <w:bottom w:val="none" w:sz="0" w:space="0" w:color="auto"/>
                        <w:right w:val="none" w:sz="0" w:space="0" w:color="auto"/>
                      </w:divBdr>
                      <w:divsChild>
                        <w:div w:id="912815525">
                          <w:marLeft w:val="0"/>
                          <w:marRight w:val="0"/>
                          <w:marTop w:val="0"/>
                          <w:marBottom w:val="0"/>
                          <w:divBdr>
                            <w:top w:val="none" w:sz="0" w:space="0" w:color="auto"/>
                            <w:left w:val="none" w:sz="0" w:space="0" w:color="auto"/>
                            <w:bottom w:val="none" w:sz="0" w:space="0" w:color="auto"/>
                            <w:right w:val="none" w:sz="0" w:space="0" w:color="auto"/>
                          </w:divBdr>
                          <w:divsChild>
                            <w:div w:id="912815539">
                              <w:marLeft w:val="0"/>
                              <w:marRight w:val="0"/>
                              <w:marTop w:val="0"/>
                              <w:marBottom w:val="0"/>
                              <w:divBdr>
                                <w:top w:val="none" w:sz="0" w:space="0" w:color="auto"/>
                                <w:left w:val="none" w:sz="0" w:space="0" w:color="auto"/>
                                <w:bottom w:val="none" w:sz="0" w:space="0" w:color="auto"/>
                                <w:right w:val="none" w:sz="0" w:space="0" w:color="auto"/>
                              </w:divBdr>
                              <w:divsChild>
                                <w:div w:id="912815546">
                                  <w:marLeft w:val="0"/>
                                  <w:marRight w:val="0"/>
                                  <w:marTop w:val="0"/>
                                  <w:marBottom w:val="0"/>
                                  <w:divBdr>
                                    <w:top w:val="none" w:sz="0" w:space="0" w:color="auto"/>
                                    <w:left w:val="none" w:sz="0" w:space="0" w:color="auto"/>
                                    <w:bottom w:val="none" w:sz="0" w:space="0" w:color="auto"/>
                                    <w:right w:val="none" w:sz="0" w:space="0" w:color="auto"/>
                                  </w:divBdr>
                                  <w:divsChild>
                                    <w:div w:id="912815524">
                                      <w:marLeft w:val="0"/>
                                      <w:marRight w:val="0"/>
                                      <w:marTop w:val="0"/>
                                      <w:marBottom w:val="0"/>
                                      <w:divBdr>
                                        <w:top w:val="none" w:sz="0" w:space="0" w:color="auto"/>
                                        <w:left w:val="none" w:sz="0" w:space="0" w:color="auto"/>
                                        <w:bottom w:val="none" w:sz="0" w:space="0" w:color="auto"/>
                                        <w:right w:val="none" w:sz="0" w:space="0" w:color="auto"/>
                                      </w:divBdr>
                                      <w:divsChild>
                                        <w:div w:id="912815526">
                                          <w:marLeft w:val="0"/>
                                          <w:marRight w:val="0"/>
                                          <w:marTop w:val="0"/>
                                          <w:marBottom w:val="0"/>
                                          <w:divBdr>
                                            <w:top w:val="none" w:sz="0" w:space="0" w:color="auto"/>
                                            <w:left w:val="none" w:sz="0" w:space="0" w:color="auto"/>
                                            <w:bottom w:val="none" w:sz="0" w:space="0" w:color="auto"/>
                                            <w:right w:val="none" w:sz="0" w:space="0" w:color="auto"/>
                                          </w:divBdr>
                                          <w:divsChild>
                                            <w:div w:id="912815542">
                                              <w:marLeft w:val="0"/>
                                              <w:marRight w:val="0"/>
                                              <w:marTop w:val="0"/>
                                              <w:marBottom w:val="0"/>
                                              <w:divBdr>
                                                <w:top w:val="none" w:sz="0" w:space="0" w:color="auto"/>
                                                <w:left w:val="none" w:sz="0" w:space="0" w:color="auto"/>
                                                <w:bottom w:val="none" w:sz="0" w:space="0" w:color="auto"/>
                                                <w:right w:val="none" w:sz="0" w:space="0" w:color="auto"/>
                                              </w:divBdr>
                                              <w:divsChild>
                                                <w:div w:id="91281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2815262">
      <w:marLeft w:val="0"/>
      <w:marRight w:val="0"/>
      <w:marTop w:val="0"/>
      <w:marBottom w:val="0"/>
      <w:divBdr>
        <w:top w:val="none" w:sz="0" w:space="0" w:color="auto"/>
        <w:left w:val="none" w:sz="0" w:space="0" w:color="auto"/>
        <w:bottom w:val="none" w:sz="0" w:space="0" w:color="auto"/>
        <w:right w:val="none" w:sz="0" w:space="0" w:color="auto"/>
      </w:divBdr>
    </w:div>
    <w:div w:id="912815263">
      <w:marLeft w:val="0"/>
      <w:marRight w:val="0"/>
      <w:marTop w:val="0"/>
      <w:marBottom w:val="0"/>
      <w:divBdr>
        <w:top w:val="none" w:sz="0" w:space="0" w:color="auto"/>
        <w:left w:val="none" w:sz="0" w:space="0" w:color="auto"/>
        <w:bottom w:val="none" w:sz="0" w:space="0" w:color="auto"/>
        <w:right w:val="none" w:sz="0" w:space="0" w:color="auto"/>
      </w:divBdr>
    </w:div>
    <w:div w:id="912815264">
      <w:marLeft w:val="0"/>
      <w:marRight w:val="0"/>
      <w:marTop w:val="0"/>
      <w:marBottom w:val="0"/>
      <w:divBdr>
        <w:top w:val="none" w:sz="0" w:space="0" w:color="auto"/>
        <w:left w:val="none" w:sz="0" w:space="0" w:color="auto"/>
        <w:bottom w:val="none" w:sz="0" w:space="0" w:color="auto"/>
        <w:right w:val="none" w:sz="0" w:space="0" w:color="auto"/>
      </w:divBdr>
    </w:div>
    <w:div w:id="912815265">
      <w:marLeft w:val="0"/>
      <w:marRight w:val="0"/>
      <w:marTop w:val="0"/>
      <w:marBottom w:val="0"/>
      <w:divBdr>
        <w:top w:val="none" w:sz="0" w:space="0" w:color="auto"/>
        <w:left w:val="none" w:sz="0" w:space="0" w:color="auto"/>
        <w:bottom w:val="none" w:sz="0" w:space="0" w:color="auto"/>
        <w:right w:val="none" w:sz="0" w:space="0" w:color="auto"/>
      </w:divBdr>
    </w:div>
    <w:div w:id="912815266">
      <w:marLeft w:val="0"/>
      <w:marRight w:val="0"/>
      <w:marTop w:val="0"/>
      <w:marBottom w:val="0"/>
      <w:divBdr>
        <w:top w:val="none" w:sz="0" w:space="0" w:color="auto"/>
        <w:left w:val="none" w:sz="0" w:space="0" w:color="auto"/>
        <w:bottom w:val="none" w:sz="0" w:space="0" w:color="auto"/>
        <w:right w:val="none" w:sz="0" w:space="0" w:color="auto"/>
      </w:divBdr>
    </w:div>
    <w:div w:id="912815271">
      <w:marLeft w:val="0"/>
      <w:marRight w:val="0"/>
      <w:marTop w:val="0"/>
      <w:marBottom w:val="0"/>
      <w:divBdr>
        <w:top w:val="none" w:sz="0" w:space="0" w:color="auto"/>
        <w:left w:val="none" w:sz="0" w:space="0" w:color="auto"/>
        <w:bottom w:val="none" w:sz="0" w:space="0" w:color="auto"/>
        <w:right w:val="none" w:sz="0" w:space="0" w:color="auto"/>
      </w:divBdr>
    </w:div>
    <w:div w:id="912815273">
      <w:marLeft w:val="0"/>
      <w:marRight w:val="0"/>
      <w:marTop w:val="0"/>
      <w:marBottom w:val="0"/>
      <w:divBdr>
        <w:top w:val="none" w:sz="0" w:space="0" w:color="auto"/>
        <w:left w:val="none" w:sz="0" w:space="0" w:color="auto"/>
        <w:bottom w:val="none" w:sz="0" w:space="0" w:color="auto"/>
        <w:right w:val="none" w:sz="0" w:space="0" w:color="auto"/>
      </w:divBdr>
    </w:div>
    <w:div w:id="912815274">
      <w:marLeft w:val="0"/>
      <w:marRight w:val="0"/>
      <w:marTop w:val="0"/>
      <w:marBottom w:val="0"/>
      <w:divBdr>
        <w:top w:val="none" w:sz="0" w:space="0" w:color="auto"/>
        <w:left w:val="none" w:sz="0" w:space="0" w:color="auto"/>
        <w:bottom w:val="none" w:sz="0" w:space="0" w:color="auto"/>
        <w:right w:val="none" w:sz="0" w:space="0" w:color="auto"/>
      </w:divBdr>
    </w:div>
    <w:div w:id="912815275">
      <w:marLeft w:val="0"/>
      <w:marRight w:val="0"/>
      <w:marTop w:val="0"/>
      <w:marBottom w:val="0"/>
      <w:divBdr>
        <w:top w:val="none" w:sz="0" w:space="0" w:color="auto"/>
        <w:left w:val="none" w:sz="0" w:space="0" w:color="auto"/>
        <w:bottom w:val="none" w:sz="0" w:space="0" w:color="auto"/>
        <w:right w:val="none" w:sz="0" w:space="0" w:color="auto"/>
      </w:divBdr>
      <w:divsChild>
        <w:div w:id="912815388">
          <w:marLeft w:val="0"/>
          <w:marRight w:val="0"/>
          <w:marTop w:val="0"/>
          <w:marBottom w:val="0"/>
          <w:divBdr>
            <w:top w:val="none" w:sz="0" w:space="0" w:color="auto"/>
            <w:left w:val="none" w:sz="0" w:space="0" w:color="auto"/>
            <w:bottom w:val="none" w:sz="0" w:space="0" w:color="auto"/>
            <w:right w:val="none" w:sz="0" w:space="0" w:color="auto"/>
          </w:divBdr>
          <w:divsChild>
            <w:div w:id="912815362">
              <w:marLeft w:val="0"/>
              <w:marRight w:val="0"/>
              <w:marTop w:val="0"/>
              <w:marBottom w:val="0"/>
              <w:divBdr>
                <w:top w:val="none" w:sz="0" w:space="0" w:color="auto"/>
                <w:left w:val="none" w:sz="0" w:space="0" w:color="auto"/>
                <w:bottom w:val="none" w:sz="0" w:space="0" w:color="auto"/>
                <w:right w:val="none" w:sz="0" w:space="0" w:color="auto"/>
              </w:divBdr>
              <w:divsChild>
                <w:div w:id="912815336">
                  <w:marLeft w:val="0"/>
                  <w:marRight w:val="0"/>
                  <w:marTop w:val="0"/>
                  <w:marBottom w:val="0"/>
                  <w:divBdr>
                    <w:top w:val="none" w:sz="0" w:space="0" w:color="auto"/>
                    <w:left w:val="none" w:sz="0" w:space="0" w:color="auto"/>
                    <w:bottom w:val="none" w:sz="0" w:space="0" w:color="auto"/>
                    <w:right w:val="none" w:sz="0" w:space="0" w:color="auto"/>
                  </w:divBdr>
                  <w:divsChild>
                    <w:div w:id="912815296">
                      <w:marLeft w:val="0"/>
                      <w:marRight w:val="0"/>
                      <w:marTop w:val="0"/>
                      <w:marBottom w:val="0"/>
                      <w:divBdr>
                        <w:top w:val="none" w:sz="0" w:space="0" w:color="auto"/>
                        <w:left w:val="none" w:sz="0" w:space="0" w:color="auto"/>
                        <w:bottom w:val="none" w:sz="0" w:space="0" w:color="auto"/>
                        <w:right w:val="none" w:sz="0" w:space="0" w:color="auto"/>
                      </w:divBdr>
                      <w:divsChild>
                        <w:div w:id="912815315">
                          <w:marLeft w:val="0"/>
                          <w:marRight w:val="0"/>
                          <w:marTop w:val="0"/>
                          <w:marBottom w:val="0"/>
                          <w:divBdr>
                            <w:top w:val="none" w:sz="0" w:space="0" w:color="auto"/>
                            <w:left w:val="none" w:sz="0" w:space="0" w:color="auto"/>
                            <w:bottom w:val="none" w:sz="0" w:space="0" w:color="auto"/>
                            <w:right w:val="none" w:sz="0" w:space="0" w:color="auto"/>
                          </w:divBdr>
                          <w:divsChild>
                            <w:div w:id="912815385">
                              <w:marLeft w:val="0"/>
                              <w:marRight w:val="0"/>
                              <w:marTop w:val="0"/>
                              <w:marBottom w:val="0"/>
                              <w:divBdr>
                                <w:top w:val="none" w:sz="0" w:space="0" w:color="auto"/>
                                <w:left w:val="none" w:sz="0" w:space="0" w:color="auto"/>
                                <w:bottom w:val="none" w:sz="0" w:space="0" w:color="auto"/>
                                <w:right w:val="none" w:sz="0" w:space="0" w:color="auto"/>
                              </w:divBdr>
                              <w:divsChild>
                                <w:div w:id="912815369">
                                  <w:marLeft w:val="0"/>
                                  <w:marRight w:val="0"/>
                                  <w:marTop w:val="0"/>
                                  <w:marBottom w:val="0"/>
                                  <w:divBdr>
                                    <w:top w:val="none" w:sz="0" w:space="0" w:color="auto"/>
                                    <w:left w:val="none" w:sz="0" w:space="0" w:color="auto"/>
                                    <w:bottom w:val="none" w:sz="0" w:space="0" w:color="auto"/>
                                    <w:right w:val="none" w:sz="0" w:space="0" w:color="auto"/>
                                  </w:divBdr>
                                  <w:divsChild>
                                    <w:div w:id="912815269">
                                      <w:marLeft w:val="0"/>
                                      <w:marRight w:val="0"/>
                                      <w:marTop w:val="0"/>
                                      <w:marBottom w:val="0"/>
                                      <w:divBdr>
                                        <w:top w:val="none" w:sz="0" w:space="0" w:color="auto"/>
                                        <w:left w:val="none" w:sz="0" w:space="0" w:color="auto"/>
                                        <w:bottom w:val="none" w:sz="0" w:space="0" w:color="auto"/>
                                        <w:right w:val="none" w:sz="0" w:space="0" w:color="auto"/>
                                      </w:divBdr>
                                      <w:divsChild>
                                        <w:div w:id="912815293">
                                          <w:marLeft w:val="0"/>
                                          <w:marRight w:val="0"/>
                                          <w:marTop w:val="0"/>
                                          <w:marBottom w:val="0"/>
                                          <w:divBdr>
                                            <w:top w:val="none" w:sz="0" w:space="0" w:color="auto"/>
                                            <w:left w:val="none" w:sz="0" w:space="0" w:color="auto"/>
                                            <w:bottom w:val="none" w:sz="0" w:space="0" w:color="auto"/>
                                            <w:right w:val="none" w:sz="0" w:space="0" w:color="auto"/>
                                          </w:divBdr>
                                          <w:divsChild>
                                            <w:div w:id="912815330">
                                              <w:marLeft w:val="-4200"/>
                                              <w:marRight w:val="0"/>
                                              <w:marTop w:val="0"/>
                                              <w:marBottom w:val="0"/>
                                              <w:divBdr>
                                                <w:top w:val="none" w:sz="0" w:space="0" w:color="auto"/>
                                                <w:left w:val="none" w:sz="0" w:space="0" w:color="auto"/>
                                                <w:bottom w:val="none" w:sz="0" w:space="0" w:color="auto"/>
                                                <w:right w:val="none" w:sz="0" w:space="0" w:color="auto"/>
                                              </w:divBdr>
                                              <w:divsChild>
                                                <w:div w:id="912815434">
                                                  <w:marLeft w:val="0"/>
                                                  <w:marRight w:val="0"/>
                                                  <w:marTop w:val="0"/>
                                                  <w:marBottom w:val="0"/>
                                                  <w:divBdr>
                                                    <w:top w:val="none" w:sz="0" w:space="0" w:color="auto"/>
                                                    <w:left w:val="none" w:sz="0" w:space="0" w:color="auto"/>
                                                    <w:bottom w:val="none" w:sz="0" w:space="0" w:color="auto"/>
                                                    <w:right w:val="none" w:sz="0" w:space="0" w:color="auto"/>
                                                  </w:divBdr>
                                                  <w:divsChild>
                                                    <w:div w:id="912815410">
                                                      <w:marLeft w:val="0"/>
                                                      <w:marRight w:val="0"/>
                                                      <w:marTop w:val="0"/>
                                                      <w:marBottom w:val="0"/>
                                                      <w:divBdr>
                                                        <w:top w:val="none" w:sz="0" w:space="0" w:color="auto"/>
                                                        <w:left w:val="none" w:sz="0" w:space="0" w:color="auto"/>
                                                        <w:bottom w:val="none" w:sz="0" w:space="0" w:color="auto"/>
                                                        <w:right w:val="none" w:sz="0" w:space="0" w:color="auto"/>
                                                      </w:divBdr>
                                                      <w:divsChild>
                                                        <w:div w:id="912815292">
                                                          <w:marLeft w:val="4200"/>
                                                          <w:marRight w:val="0"/>
                                                          <w:marTop w:val="0"/>
                                                          <w:marBottom w:val="0"/>
                                                          <w:divBdr>
                                                            <w:top w:val="none" w:sz="0" w:space="0" w:color="auto"/>
                                                            <w:left w:val="none" w:sz="0" w:space="0" w:color="auto"/>
                                                            <w:bottom w:val="none" w:sz="0" w:space="0" w:color="auto"/>
                                                            <w:right w:val="none" w:sz="0" w:space="0" w:color="auto"/>
                                                          </w:divBdr>
                                                          <w:divsChild>
                                                            <w:div w:id="912815356">
                                                              <w:marLeft w:val="0"/>
                                                              <w:marRight w:val="0"/>
                                                              <w:marTop w:val="0"/>
                                                              <w:marBottom w:val="0"/>
                                                              <w:divBdr>
                                                                <w:top w:val="none" w:sz="0" w:space="0" w:color="auto"/>
                                                                <w:left w:val="none" w:sz="0" w:space="0" w:color="auto"/>
                                                                <w:bottom w:val="none" w:sz="0" w:space="0" w:color="auto"/>
                                                                <w:right w:val="none" w:sz="0" w:space="0" w:color="auto"/>
                                                              </w:divBdr>
                                                              <w:divsChild>
                                                                <w:div w:id="912815348">
                                                                  <w:marLeft w:val="0"/>
                                                                  <w:marRight w:val="0"/>
                                                                  <w:marTop w:val="0"/>
                                                                  <w:marBottom w:val="0"/>
                                                                  <w:divBdr>
                                                                    <w:top w:val="none" w:sz="0" w:space="0" w:color="auto"/>
                                                                    <w:left w:val="none" w:sz="0" w:space="0" w:color="auto"/>
                                                                    <w:bottom w:val="none" w:sz="0" w:space="0" w:color="auto"/>
                                                                    <w:right w:val="none" w:sz="0" w:space="0" w:color="auto"/>
                                                                  </w:divBdr>
                                                                  <w:divsChild>
                                                                    <w:div w:id="912815424">
                                                                      <w:marLeft w:val="0"/>
                                                                      <w:marRight w:val="0"/>
                                                                      <w:marTop w:val="0"/>
                                                                      <w:marBottom w:val="0"/>
                                                                      <w:divBdr>
                                                                        <w:top w:val="none" w:sz="0" w:space="0" w:color="auto"/>
                                                                        <w:left w:val="none" w:sz="0" w:space="0" w:color="auto"/>
                                                                        <w:bottom w:val="none" w:sz="0" w:space="0" w:color="auto"/>
                                                                        <w:right w:val="none" w:sz="0" w:space="0" w:color="auto"/>
                                                                      </w:divBdr>
                                                                      <w:divsChild>
                                                                        <w:div w:id="912815414">
                                                                          <w:marLeft w:val="0"/>
                                                                          <w:marRight w:val="0"/>
                                                                          <w:marTop w:val="0"/>
                                                                          <w:marBottom w:val="0"/>
                                                                          <w:divBdr>
                                                                            <w:top w:val="none" w:sz="0" w:space="0" w:color="auto"/>
                                                                            <w:left w:val="none" w:sz="0" w:space="0" w:color="auto"/>
                                                                            <w:bottom w:val="none" w:sz="0" w:space="0" w:color="auto"/>
                                                                            <w:right w:val="none" w:sz="0" w:space="0" w:color="auto"/>
                                                                          </w:divBdr>
                                                                          <w:divsChild>
                                                                            <w:div w:id="912815300">
                                                                              <w:marLeft w:val="0"/>
                                                                              <w:marRight w:val="0"/>
                                                                              <w:marTop w:val="0"/>
                                                                              <w:marBottom w:val="0"/>
                                                                              <w:divBdr>
                                                                                <w:top w:val="none" w:sz="0" w:space="0" w:color="auto"/>
                                                                                <w:left w:val="none" w:sz="0" w:space="0" w:color="auto"/>
                                                                                <w:bottom w:val="none" w:sz="0" w:space="0" w:color="auto"/>
                                                                                <w:right w:val="none" w:sz="0" w:space="0" w:color="auto"/>
                                                                              </w:divBdr>
                                                                              <w:divsChild>
                                                                                <w:div w:id="912815270">
                                                                                  <w:marLeft w:val="0"/>
                                                                                  <w:marRight w:val="0"/>
                                                                                  <w:marTop w:val="0"/>
                                                                                  <w:marBottom w:val="0"/>
                                                                                  <w:divBdr>
                                                                                    <w:top w:val="none" w:sz="0" w:space="0" w:color="auto"/>
                                                                                    <w:left w:val="none" w:sz="0" w:space="0" w:color="auto"/>
                                                                                    <w:bottom w:val="none" w:sz="0" w:space="0" w:color="auto"/>
                                                                                    <w:right w:val="none" w:sz="0" w:space="0" w:color="auto"/>
                                                                                  </w:divBdr>
                                                                                  <w:divsChild>
                                                                                    <w:div w:id="912815416">
                                                                                      <w:marLeft w:val="0"/>
                                                                                      <w:marRight w:val="0"/>
                                                                                      <w:marTop w:val="225"/>
                                                                                      <w:marBottom w:val="225"/>
                                                                                      <w:divBdr>
                                                                                        <w:top w:val="single" w:sz="6" w:space="0" w:color="666666"/>
                                                                                        <w:left w:val="single" w:sz="6" w:space="0" w:color="666666"/>
                                                                                        <w:bottom w:val="single" w:sz="6" w:space="0" w:color="666666"/>
                                                                                        <w:right w:val="single" w:sz="6" w:space="0" w:color="666666"/>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2815276">
      <w:marLeft w:val="0"/>
      <w:marRight w:val="0"/>
      <w:marTop w:val="0"/>
      <w:marBottom w:val="0"/>
      <w:divBdr>
        <w:top w:val="none" w:sz="0" w:space="0" w:color="auto"/>
        <w:left w:val="none" w:sz="0" w:space="0" w:color="auto"/>
        <w:bottom w:val="none" w:sz="0" w:space="0" w:color="auto"/>
        <w:right w:val="none" w:sz="0" w:space="0" w:color="auto"/>
      </w:divBdr>
    </w:div>
    <w:div w:id="912815277">
      <w:marLeft w:val="0"/>
      <w:marRight w:val="0"/>
      <w:marTop w:val="0"/>
      <w:marBottom w:val="0"/>
      <w:divBdr>
        <w:top w:val="none" w:sz="0" w:space="0" w:color="auto"/>
        <w:left w:val="none" w:sz="0" w:space="0" w:color="auto"/>
        <w:bottom w:val="none" w:sz="0" w:space="0" w:color="auto"/>
        <w:right w:val="none" w:sz="0" w:space="0" w:color="auto"/>
      </w:divBdr>
      <w:divsChild>
        <w:div w:id="912815406">
          <w:marLeft w:val="0"/>
          <w:marRight w:val="0"/>
          <w:marTop w:val="0"/>
          <w:marBottom w:val="0"/>
          <w:divBdr>
            <w:top w:val="none" w:sz="0" w:space="0" w:color="auto"/>
            <w:left w:val="none" w:sz="0" w:space="0" w:color="auto"/>
            <w:bottom w:val="none" w:sz="0" w:space="0" w:color="auto"/>
            <w:right w:val="none" w:sz="0" w:space="0" w:color="auto"/>
          </w:divBdr>
          <w:divsChild>
            <w:div w:id="912815408">
              <w:marLeft w:val="0"/>
              <w:marRight w:val="0"/>
              <w:marTop w:val="0"/>
              <w:marBottom w:val="0"/>
              <w:divBdr>
                <w:top w:val="none" w:sz="0" w:space="0" w:color="auto"/>
                <w:left w:val="none" w:sz="0" w:space="0" w:color="auto"/>
                <w:bottom w:val="none" w:sz="0" w:space="0" w:color="auto"/>
                <w:right w:val="none" w:sz="0" w:space="0" w:color="auto"/>
              </w:divBdr>
              <w:divsChild>
                <w:div w:id="912815438">
                  <w:marLeft w:val="0"/>
                  <w:marRight w:val="0"/>
                  <w:marTop w:val="0"/>
                  <w:marBottom w:val="0"/>
                  <w:divBdr>
                    <w:top w:val="none" w:sz="0" w:space="0" w:color="auto"/>
                    <w:left w:val="none" w:sz="0" w:space="0" w:color="auto"/>
                    <w:bottom w:val="none" w:sz="0" w:space="0" w:color="auto"/>
                    <w:right w:val="none" w:sz="0" w:space="0" w:color="auto"/>
                  </w:divBdr>
                  <w:divsChild>
                    <w:div w:id="912815370">
                      <w:marLeft w:val="0"/>
                      <w:marRight w:val="0"/>
                      <w:marTop w:val="0"/>
                      <w:marBottom w:val="0"/>
                      <w:divBdr>
                        <w:top w:val="none" w:sz="0" w:space="0" w:color="auto"/>
                        <w:left w:val="none" w:sz="0" w:space="0" w:color="auto"/>
                        <w:bottom w:val="none" w:sz="0" w:space="0" w:color="auto"/>
                        <w:right w:val="none" w:sz="0" w:space="0" w:color="auto"/>
                      </w:divBdr>
                      <w:divsChild>
                        <w:div w:id="912815267">
                          <w:marLeft w:val="0"/>
                          <w:marRight w:val="0"/>
                          <w:marTop w:val="0"/>
                          <w:marBottom w:val="0"/>
                          <w:divBdr>
                            <w:top w:val="none" w:sz="0" w:space="0" w:color="auto"/>
                            <w:left w:val="none" w:sz="0" w:space="0" w:color="auto"/>
                            <w:bottom w:val="none" w:sz="0" w:space="0" w:color="auto"/>
                            <w:right w:val="none" w:sz="0" w:space="0" w:color="auto"/>
                          </w:divBdr>
                          <w:divsChild>
                            <w:div w:id="912815409">
                              <w:marLeft w:val="0"/>
                              <w:marRight w:val="0"/>
                              <w:marTop w:val="315"/>
                              <w:marBottom w:val="0"/>
                              <w:divBdr>
                                <w:top w:val="none" w:sz="0" w:space="0" w:color="auto"/>
                                <w:left w:val="none" w:sz="0" w:space="0" w:color="auto"/>
                                <w:bottom w:val="none" w:sz="0" w:space="0" w:color="auto"/>
                                <w:right w:val="none" w:sz="0" w:space="0" w:color="auto"/>
                              </w:divBdr>
                              <w:divsChild>
                                <w:div w:id="912815367">
                                  <w:marLeft w:val="1980"/>
                                  <w:marRight w:val="3810"/>
                                  <w:marTop w:val="0"/>
                                  <w:marBottom w:val="0"/>
                                  <w:divBdr>
                                    <w:top w:val="none" w:sz="0" w:space="0" w:color="auto"/>
                                    <w:left w:val="none" w:sz="0" w:space="0" w:color="auto"/>
                                    <w:bottom w:val="none" w:sz="0" w:space="0" w:color="auto"/>
                                    <w:right w:val="none" w:sz="0" w:space="0" w:color="auto"/>
                                  </w:divBdr>
                                  <w:divsChild>
                                    <w:div w:id="912815321">
                                      <w:marLeft w:val="0"/>
                                      <w:marRight w:val="0"/>
                                      <w:marTop w:val="0"/>
                                      <w:marBottom w:val="0"/>
                                      <w:divBdr>
                                        <w:top w:val="none" w:sz="0" w:space="0" w:color="auto"/>
                                        <w:left w:val="none" w:sz="0" w:space="0" w:color="auto"/>
                                        <w:bottom w:val="none" w:sz="0" w:space="0" w:color="auto"/>
                                        <w:right w:val="none" w:sz="0" w:space="0" w:color="auto"/>
                                      </w:divBdr>
                                      <w:divsChild>
                                        <w:div w:id="912815322">
                                          <w:marLeft w:val="0"/>
                                          <w:marRight w:val="0"/>
                                          <w:marTop w:val="0"/>
                                          <w:marBottom w:val="0"/>
                                          <w:divBdr>
                                            <w:top w:val="none" w:sz="0" w:space="0" w:color="auto"/>
                                            <w:left w:val="none" w:sz="0" w:space="0" w:color="auto"/>
                                            <w:bottom w:val="none" w:sz="0" w:space="0" w:color="auto"/>
                                            <w:right w:val="none" w:sz="0" w:space="0" w:color="auto"/>
                                          </w:divBdr>
                                          <w:divsChild>
                                            <w:div w:id="912815299">
                                              <w:marLeft w:val="0"/>
                                              <w:marRight w:val="0"/>
                                              <w:marTop w:val="0"/>
                                              <w:marBottom w:val="0"/>
                                              <w:divBdr>
                                                <w:top w:val="none" w:sz="0" w:space="0" w:color="auto"/>
                                                <w:left w:val="none" w:sz="0" w:space="0" w:color="auto"/>
                                                <w:bottom w:val="none" w:sz="0" w:space="0" w:color="auto"/>
                                                <w:right w:val="none" w:sz="0" w:space="0" w:color="auto"/>
                                              </w:divBdr>
                                              <w:divsChild>
                                                <w:div w:id="91281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2815280">
      <w:marLeft w:val="0"/>
      <w:marRight w:val="0"/>
      <w:marTop w:val="0"/>
      <w:marBottom w:val="0"/>
      <w:divBdr>
        <w:top w:val="none" w:sz="0" w:space="0" w:color="auto"/>
        <w:left w:val="none" w:sz="0" w:space="0" w:color="auto"/>
        <w:bottom w:val="none" w:sz="0" w:space="0" w:color="auto"/>
        <w:right w:val="none" w:sz="0" w:space="0" w:color="auto"/>
      </w:divBdr>
    </w:div>
    <w:div w:id="912815283">
      <w:marLeft w:val="0"/>
      <w:marRight w:val="0"/>
      <w:marTop w:val="0"/>
      <w:marBottom w:val="0"/>
      <w:divBdr>
        <w:top w:val="none" w:sz="0" w:space="0" w:color="auto"/>
        <w:left w:val="none" w:sz="0" w:space="0" w:color="auto"/>
        <w:bottom w:val="none" w:sz="0" w:space="0" w:color="auto"/>
        <w:right w:val="none" w:sz="0" w:space="0" w:color="auto"/>
      </w:divBdr>
      <w:divsChild>
        <w:div w:id="912815343">
          <w:marLeft w:val="0"/>
          <w:marRight w:val="0"/>
          <w:marTop w:val="0"/>
          <w:marBottom w:val="0"/>
          <w:divBdr>
            <w:top w:val="none" w:sz="0" w:space="0" w:color="auto"/>
            <w:left w:val="none" w:sz="0" w:space="0" w:color="auto"/>
            <w:bottom w:val="none" w:sz="0" w:space="0" w:color="auto"/>
            <w:right w:val="none" w:sz="0" w:space="0" w:color="auto"/>
          </w:divBdr>
          <w:divsChild>
            <w:div w:id="91281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284">
      <w:marLeft w:val="0"/>
      <w:marRight w:val="0"/>
      <w:marTop w:val="0"/>
      <w:marBottom w:val="0"/>
      <w:divBdr>
        <w:top w:val="none" w:sz="0" w:space="0" w:color="auto"/>
        <w:left w:val="none" w:sz="0" w:space="0" w:color="auto"/>
        <w:bottom w:val="none" w:sz="0" w:space="0" w:color="auto"/>
        <w:right w:val="none" w:sz="0" w:space="0" w:color="auto"/>
      </w:divBdr>
    </w:div>
    <w:div w:id="912815286">
      <w:marLeft w:val="0"/>
      <w:marRight w:val="0"/>
      <w:marTop w:val="0"/>
      <w:marBottom w:val="0"/>
      <w:divBdr>
        <w:top w:val="none" w:sz="0" w:space="0" w:color="auto"/>
        <w:left w:val="none" w:sz="0" w:space="0" w:color="auto"/>
        <w:bottom w:val="none" w:sz="0" w:space="0" w:color="auto"/>
        <w:right w:val="none" w:sz="0" w:space="0" w:color="auto"/>
      </w:divBdr>
      <w:divsChild>
        <w:div w:id="912815364">
          <w:marLeft w:val="0"/>
          <w:marRight w:val="0"/>
          <w:marTop w:val="0"/>
          <w:marBottom w:val="0"/>
          <w:divBdr>
            <w:top w:val="none" w:sz="0" w:space="0" w:color="auto"/>
            <w:left w:val="none" w:sz="0" w:space="0" w:color="auto"/>
            <w:bottom w:val="none" w:sz="0" w:space="0" w:color="auto"/>
            <w:right w:val="none" w:sz="0" w:space="0" w:color="auto"/>
          </w:divBdr>
          <w:divsChild>
            <w:div w:id="912815384">
              <w:marLeft w:val="0"/>
              <w:marRight w:val="0"/>
              <w:marTop w:val="0"/>
              <w:marBottom w:val="0"/>
              <w:divBdr>
                <w:top w:val="none" w:sz="0" w:space="0" w:color="auto"/>
                <w:left w:val="none" w:sz="0" w:space="0" w:color="auto"/>
                <w:bottom w:val="none" w:sz="0" w:space="0" w:color="auto"/>
                <w:right w:val="none" w:sz="0" w:space="0" w:color="auto"/>
              </w:divBdr>
              <w:divsChild>
                <w:div w:id="9128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287">
      <w:marLeft w:val="0"/>
      <w:marRight w:val="0"/>
      <w:marTop w:val="0"/>
      <w:marBottom w:val="0"/>
      <w:divBdr>
        <w:top w:val="none" w:sz="0" w:space="0" w:color="auto"/>
        <w:left w:val="none" w:sz="0" w:space="0" w:color="auto"/>
        <w:bottom w:val="none" w:sz="0" w:space="0" w:color="auto"/>
        <w:right w:val="none" w:sz="0" w:space="0" w:color="auto"/>
      </w:divBdr>
      <w:divsChild>
        <w:div w:id="912815378">
          <w:marLeft w:val="720"/>
          <w:marRight w:val="720"/>
          <w:marTop w:val="100"/>
          <w:marBottom w:val="100"/>
          <w:divBdr>
            <w:top w:val="none" w:sz="0" w:space="0" w:color="auto"/>
            <w:left w:val="none" w:sz="0" w:space="0" w:color="auto"/>
            <w:bottom w:val="none" w:sz="0" w:space="0" w:color="auto"/>
            <w:right w:val="none" w:sz="0" w:space="0" w:color="auto"/>
          </w:divBdr>
        </w:div>
      </w:divsChild>
    </w:div>
    <w:div w:id="912815288">
      <w:marLeft w:val="0"/>
      <w:marRight w:val="0"/>
      <w:marTop w:val="0"/>
      <w:marBottom w:val="0"/>
      <w:divBdr>
        <w:top w:val="none" w:sz="0" w:space="0" w:color="auto"/>
        <w:left w:val="none" w:sz="0" w:space="0" w:color="auto"/>
        <w:bottom w:val="none" w:sz="0" w:space="0" w:color="auto"/>
        <w:right w:val="none" w:sz="0" w:space="0" w:color="auto"/>
      </w:divBdr>
    </w:div>
    <w:div w:id="912815297">
      <w:marLeft w:val="0"/>
      <w:marRight w:val="0"/>
      <w:marTop w:val="0"/>
      <w:marBottom w:val="0"/>
      <w:divBdr>
        <w:top w:val="none" w:sz="0" w:space="0" w:color="auto"/>
        <w:left w:val="none" w:sz="0" w:space="0" w:color="auto"/>
        <w:bottom w:val="none" w:sz="0" w:space="0" w:color="auto"/>
        <w:right w:val="none" w:sz="0" w:space="0" w:color="auto"/>
      </w:divBdr>
    </w:div>
    <w:div w:id="912815298">
      <w:marLeft w:val="0"/>
      <w:marRight w:val="0"/>
      <w:marTop w:val="0"/>
      <w:marBottom w:val="0"/>
      <w:divBdr>
        <w:top w:val="none" w:sz="0" w:space="0" w:color="auto"/>
        <w:left w:val="none" w:sz="0" w:space="0" w:color="auto"/>
        <w:bottom w:val="none" w:sz="0" w:space="0" w:color="auto"/>
        <w:right w:val="none" w:sz="0" w:space="0" w:color="auto"/>
      </w:divBdr>
    </w:div>
    <w:div w:id="912815301">
      <w:marLeft w:val="0"/>
      <w:marRight w:val="0"/>
      <w:marTop w:val="0"/>
      <w:marBottom w:val="0"/>
      <w:divBdr>
        <w:top w:val="none" w:sz="0" w:space="0" w:color="auto"/>
        <w:left w:val="none" w:sz="0" w:space="0" w:color="auto"/>
        <w:bottom w:val="none" w:sz="0" w:space="0" w:color="auto"/>
        <w:right w:val="none" w:sz="0" w:space="0" w:color="auto"/>
      </w:divBdr>
      <w:divsChild>
        <w:div w:id="912815374">
          <w:marLeft w:val="0"/>
          <w:marRight w:val="0"/>
          <w:marTop w:val="0"/>
          <w:marBottom w:val="0"/>
          <w:divBdr>
            <w:top w:val="none" w:sz="0" w:space="0" w:color="auto"/>
            <w:left w:val="none" w:sz="0" w:space="0" w:color="auto"/>
            <w:bottom w:val="none" w:sz="0" w:space="0" w:color="auto"/>
            <w:right w:val="none" w:sz="0" w:space="0" w:color="auto"/>
          </w:divBdr>
          <w:divsChild>
            <w:div w:id="91281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303">
      <w:marLeft w:val="0"/>
      <w:marRight w:val="0"/>
      <w:marTop w:val="0"/>
      <w:marBottom w:val="0"/>
      <w:divBdr>
        <w:top w:val="none" w:sz="0" w:space="0" w:color="auto"/>
        <w:left w:val="none" w:sz="0" w:space="0" w:color="auto"/>
        <w:bottom w:val="none" w:sz="0" w:space="0" w:color="auto"/>
        <w:right w:val="none" w:sz="0" w:space="0" w:color="auto"/>
      </w:divBdr>
    </w:div>
    <w:div w:id="912815304">
      <w:marLeft w:val="0"/>
      <w:marRight w:val="0"/>
      <w:marTop w:val="0"/>
      <w:marBottom w:val="0"/>
      <w:divBdr>
        <w:top w:val="none" w:sz="0" w:space="0" w:color="auto"/>
        <w:left w:val="none" w:sz="0" w:space="0" w:color="auto"/>
        <w:bottom w:val="none" w:sz="0" w:space="0" w:color="auto"/>
        <w:right w:val="none" w:sz="0" w:space="0" w:color="auto"/>
      </w:divBdr>
      <w:divsChild>
        <w:div w:id="912815328">
          <w:marLeft w:val="0"/>
          <w:marRight w:val="0"/>
          <w:marTop w:val="0"/>
          <w:marBottom w:val="0"/>
          <w:divBdr>
            <w:top w:val="none" w:sz="0" w:space="0" w:color="auto"/>
            <w:left w:val="none" w:sz="0" w:space="0" w:color="auto"/>
            <w:bottom w:val="none" w:sz="0" w:space="0" w:color="auto"/>
            <w:right w:val="none" w:sz="0" w:space="0" w:color="auto"/>
          </w:divBdr>
          <w:divsChild>
            <w:div w:id="91281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305">
      <w:marLeft w:val="0"/>
      <w:marRight w:val="0"/>
      <w:marTop w:val="0"/>
      <w:marBottom w:val="0"/>
      <w:divBdr>
        <w:top w:val="none" w:sz="0" w:space="0" w:color="auto"/>
        <w:left w:val="none" w:sz="0" w:space="0" w:color="auto"/>
        <w:bottom w:val="none" w:sz="0" w:space="0" w:color="auto"/>
        <w:right w:val="none" w:sz="0" w:space="0" w:color="auto"/>
      </w:divBdr>
    </w:div>
    <w:div w:id="912815306">
      <w:marLeft w:val="0"/>
      <w:marRight w:val="0"/>
      <w:marTop w:val="0"/>
      <w:marBottom w:val="0"/>
      <w:divBdr>
        <w:top w:val="none" w:sz="0" w:space="0" w:color="auto"/>
        <w:left w:val="none" w:sz="0" w:space="0" w:color="auto"/>
        <w:bottom w:val="none" w:sz="0" w:space="0" w:color="auto"/>
        <w:right w:val="none" w:sz="0" w:space="0" w:color="auto"/>
      </w:divBdr>
    </w:div>
    <w:div w:id="912815307">
      <w:marLeft w:val="0"/>
      <w:marRight w:val="0"/>
      <w:marTop w:val="0"/>
      <w:marBottom w:val="0"/>
      <w:divBdr>
        <w:top w:val="none" w:sz="0" w:space="0" w:color="auto"/>
        <w:left w:val="none" w:sz="0" w:space="0" w:color="auto"/>
        <w:bottom w:val="none" w:sz="0" w:space="0" w:color="auto"/>
        <w:right w:val="none" w:sz="0" w:space="0" w:color="auto"/>
      </w:divBdr>
    </w:div>
    <w:div w:id="912815308">
      <w:marLeft w:val="0"/>
      <w:marRight w:val="0"/>
      <w:marTop w:val="0"/>
      <w:marBottom w:val="0"/>
      <w:divBdr>
        <w:top w:val="none" w:sz="0" w:space="0" w:color="auto"/>
        <w:left w:val="none" w:sz="0" w:space="0" w:color="auto"/>
        <w:bottom w:val="none" w:sz="0" w:space="0" w:color="auto"/>
        <w:right w:val="none" w:sz="0" w:space="0" w:color="auto"/>
      </w:divBdr>
    </w:div>
    <w:div w:id="912815309">
      <w:marLeft w:val="0"/>
      <w:marRight w:val="0"/>
      <w:marTop w:val="0"/>
      <w:marBottom w:val="0"/>
      <w:divBdr>
        <w:top w:val="none" w:sz="0" w:space="0" w:color="auto"/>
        <w:left w:val="none" w:sz="0" w:space="0" w:color="auto"/>
        <w:bottom w:val="none" w:sz="0" w:space="0" w:color="auto"/>
        <w:right w:val="none" w:sz="0" w:space="0" w:color="auto"/>
      </w:divBdr>
    </w:div>
    <w:div w:id="912815312">
      <w:marLeft w:val="0"/>
      <w:marRight w:val="0"/>
      <w:marTop w:val="0"/>
      <w:marBottom w:val="0"/>
      <w:divBdr>
        <w:top w:val="none" w:sz="0" w:space="0" w:color="auto"/>
        <w:left w:val="none" w:sz="0" w:space="0" w:color="auto"/>
        <w:bottom w:val="none" w:sz="0" w:space="0" w:color="auto"/>
        <w:right w:val="none" w:sz="0" w:space="0" w:color="auto"/>
      </w:divBdr>
    </w:div>
    <w:div w:id="912815313">
      <w:marLeft w:val="0"/>
      <w:marRight w:val="0"/>
      <w:marTop w:val="0"/>
      <w:marBottom w:val="0"/>
      <w:divBdr>
        <w:top w:val="none" w:sz="0" w:space="0" w:color="auto"/>
        <w:left w:val="none" w:sz="0" w:space="0" w:color="auto"/>
        <w:bottom w:val="none" w:sz="0" w:space="0" w:color="auto"/>
        <w:right w:val="none" w:sz="0" w:space="0" w:color="auto"/>
      </w:divBdr>
      <w:divsChild>
        <w:div w:id="912815358">
          <w:marLeft w:val="0"/>
          <w:marRight w:val="0"/>
          <w:marTop w:val="0"/>
          <w:marBottom w:val="0"/>
          <w:divBdr>
            <w:top w:val="none" w:sz="0" w:space="0" w:color="auto"/>
            <w:left w:val="none" w:sz="0" w:space="0" w:color="auto"/>
            <w:bottom w:val="none" w:sz="0" w:space="0" w:color="auto"/>
            <w:right w:val="none" w:sz="0" w:space="0" w:color="auto"/>
          </w:divBdr>
          <w:divsChild>
            <w:div w:id="91281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317">
      <w:marLeft w:val="0"/>
      <w:marRight w:val="0"/>
      <w:marTop w:val="0"/>
      <w:marBottom w:val="0"/>
      <w:divBdr>
        <w:top w:val="none" w:sz="0" w:space="0" w:color="auto"/>
        <w:left w:val="none" w:sz="0" w:space="0" w:color="auto"/>
        <w:bottom w:val="none" w:sz="0" w:space="0" w:color="auto"/>
        <w:right w:val="none" w:sz="0" w:space="0" w:color="auto"/>
      </w:divBdr>
    </w:div>
    <w:div w:id="912815318">
      <w:marLeft w:val="0"/>
      <w:marRight w:val="0"/>
      <w:marTop w:val="0"/>
      <w:marBottom w:val="0"/>
      <w:divBdr>
        <w:top w:val="none" w:sz="0" w:space="0" w:color="auto"/>
        <w:left w:val="none" w:sz="0" w:space="0" w:color="auto"/>
        <w:bottom w:val="none" w:sz="0" w:space="0" w:color="auto"/>
        <w:right w:val="none" w:sz="0" w:space="0" w:color="auto"/>
      </w:divBdr>
    </w:div>
    <w:div w:id="912815320">
      <w:marLeft w:val="0"/>
      <w:marRight w:val="0"/>
      <w:marTop w:val="0"/>
      <w:marBottom w:val="0"/>
      <w:divBdr>
        <w:top w:val="none" w:sz="0" w:space="0" w:color="auto"/>
        <w:left w:val="none" w:sz="0" w:space="0" w:color="auto"/>
        <w:bottom w:val="none" w:sz="0" w:space="0" w:color="auto"/>
        <w:right w:val="none" w:sz="0" w:space="0" w:color="auto"/>
      </w:divBdr>
    </w:div>
    <w:div w:id="912815323">
      <w:marLeft w:val="0"/>
      <w:marRight w:val="0"/>
      <w:marTop w:val="0"/>
      <w:marBottom w:val="0"/>
      <w:divBdr>
        <w:top w:val="none" w:sz="0" w:space="0" w:color="auto"/>
        <w:left w:val="none" w:sz="0" w:space="0" w:color="auto"/>
        <w:bottom w:val="none" w:sz="0" w:space="0" w:color="auto"/>
        <w:right w:val="none" w:sz="0" w:space="0" w:color="auto"/>
      </w:divBdr>
    </w:div>
    <w:div w:id="912815325">
      <w:marLeft w:val="0"/>
      <w:marRight w:val="0"/>
      <w:marTop w:val="0"/>
      <w:marBottom w:val="0"/>
      <w:divBdr>
        <w:top w:val="none" w:sz="0" w:space="0" w:color="auto"/>
        <w:left w:val="none" w:sz="0" w:space="0" w:color="auto"/>
        <w:bottom w:val="none" w:sz="0" w:space="0" w:color="auto"/>
        <w:right w:val="none" w:sz="0" w:space="0" w:color="auto"/>
      </w:divBdr>
    </w:div>
    <w:div w:id="912815326">
      <w:marLeft w:val="0"/>
      <w:marRight w:val="0"/>
      <w:marTop w:val="0"/>
      <w:marBottom w:val="0"/>
      <w:divBdr>
        <w:top w:val="none" w:sz="0" w:space="0" w:color="auto"/>
        <w:left w:val="none" w:sz="0" w:space="0" w:color="auto"/>
        <w:bottom w:val="none" w:sz="0" w:space="0" w:color="auto"/>
        <w:right w:val="none" w:sz="0" w:space="0" w:color="auto"/>
      </w:divBdr>
    </w:div>
    <w:div w:id="912815327">
      <w:marLeft w:val="0"/>
      <w:marRight w:val="0"/>
      <w:marTop w:val="0"/>
      <w:marBottom w:val="0"/>
      <w:divBdr>
        <w:top w:val="none" w:sz="0" w:space="0" w:color="auto"/>
        <w:left w:val="none" w:sz="0" w:space="0" w:color="auto"/>
        <w:bottom w:val="none" w:sz="0" w:space="0" w:color="auto"/>
        <w:right w:val="none" w:sz="0" w:space="0" w:color="auto"/>
      </w:divBdr>
      <w:divsChild>
        <w:div w:id="912815396">
          <w:marLeft w:val="0"/>
          <w:marRight w:val="0"/>
          <w:marTop w:val="0"/>
          <w:marBottom w:val="0"/>
          <w:divBdr>
            <w:top w:val="none" w:sz="0" w:space="0" w:color="auto"/>
            <w:left w:val="none" w:sz="0" w:space="0" w:color="auto"/>
            <w:bottom w:val="none" w:sz="0" w:space="0" w:color="auto"/>
            <w:right w:val="none" w:sz="0" w:space="0" w:color="auto"/>
          </w:divBdr>
          <w:divsChild>
            <w:div w:id="912815344">
              <w:marLeft w:val="0"/>
              <w:marRight w:val="0"/>
              <w:marTop w:val="0"/>
              <w:marBottom w:val="0"/>
              <w:divBdr>
                <w:top w:val="none" w:sz="0" w:space="0" w:color="auto"/>
                <w:left w:val="none" w:sz="0" w:space="0" w:color="auto"/>
                <w:bottom w:val="none" w:sz="0" w:space="0" w:color="auto"/>
                <w:right w:val="none" w:sz="0" w:space="0" w:color="auto"/>
              </w:divBdr>
              <w:divsChild>
                <w:div w:id="912815423">
                  <w:marLeft w:val="0"/>
                  <w:marRight w:val="0"/>
                  <w:marTop w:val="0"/>
                  <w:marBottom w:val="0"/>
                  <w:divBdr>
                    <w:top w:val="none" w:sz="0" w:space="0" w:color="auto"/>
                    <w:left w:val="none" w:sz="0" w:space="0" w:color="auto"/>
                    <w:bottom w:val="none" w:sz="0" w:space="0" w:color="auto"/>
                    <w:right w:val="none" w:sz="0" w:space="0" w:color="auto"/>
                  </w:divBdr>
                  <w:divsChild>
                    <w:div w:id="912815418">
                      <w:marLeft w:val="720"/>
                      <w:marRight w:val="720"/>
                      <w:marTop w:val="100"/>
                      <w:marBottom w:val="100"/>
                      <w:divBdr>
                        <w:top w:val="single" w:sz="6" w:space="6" w:color="49768C"/>
                        <w:left w:val="single" w:sz="6" w:space="18" w:color="49768C"/>
                        <w:bottom w:val="single" w:sz="6" w:space="6" w:color="49768C"/>
                        <w:right w:val="single" w:sz="6" w:space="24" w:color="49768C"/>
                      </w:divBdr>
                    </w:div>
                  </w:divsChild>
                </w:div>
              </w:divsChild>
            </w:div>
          </w:divsChild>
        </w:div>
      </w:divsChild>
    </w:div>
    <w:div w:id="912815329">
      <w:marLeft w:val="0"/>
      <w:marRight w:val="0"/>
      <w:marTop w:val="0"/>
      <w:marBottom w:val="0"/>
      <w:divBdr>
        <w:top w:val="none" w:sz="0" w:space="0" w:color="auto"/>
        <w:left w:val="none" w:sz="0" w:space="0" w:color="auto"/>
        <w:bottom w:val="none" w:sz="0" w:space="0" w:color="auto"/>
        <w:right w:val="none" w:sz="0" w:space="0" w:color="auto"/>
      </w:divBdr>
    </w:div>
    <w:div w:id="912815331">
      <w:marLeft w:val="0"/>
      <w:marRight w:val="0"/>
      <w:marTop w:val="0"/>
      <w:marBottom w:val="0"/>
      <w:divBdr>
        <w:top w:val="none" w:sz="0" w:space="0" w:color="auto"/>
        <w:left w:val="none" w:sz="0" w:space="0" w:color="auto"/>
        <w:bottom w:val="none" w:sz="0" w:space="0" w:color="auto"/>
        <w:right w:val="none" w:sz="0" w:space="0" w:color="auto"/>
      </w:divBdr>
      <w:divsChild>
        <w:div w:id="912815281">
          <w:marLeft w:val="0"/>
          <w:marRight w:val="0"/>
          <w:marTop w:val="0"/>
          <w:marBottom w:val="0"/>
          <w:divBdr>
            <w:top w:val="none" w:sz="0" w:space="0" w:color="auto"/>
            <w:left w:val="none" w:sz="0" w:space="0" w:color="auto"/>
            <w:bottom w:val="none" w:sz="0" w:space="0" w:color="auto"/>
            <w:right w:val="none" w:sz="0" w:space="0" w:color="auto"/>
          </w:divBdr>
          <w:divsChild>
            <w:div w:id="912815400">
              <w:marLeft w:val="0"/>
              <w:marRight w:val="0"/>
              <w:marTop w:val="0"/>
              <w:marBottom w:val="0"/>
              <w:divBdr>
                <w:top w:val="none" w:sz="0" w:space="0" w:color="auto"/>
                <w:left w:val="none" w:sz="0" w:space="0" w:color="auto"/>
                <w:bottom w:val="none" w:sz="0" w:space="0" w:color="auto"/>
                <w:right w:val="none" w:sz="0" w:space="0" w:color="auto"/>
              </w:divBdr>
              <w:divsChild>
                <w:div w:id="91281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432">
          <w:marLeft w:val="0"/>
          <w:marRight w:val="0"/>
          <w:marTop w:val="0"/>
          <w:marBottom w:val="0"/>
          <w:divBdr>
            <w:top w:val="none" w:sz="0" w:space="0" w:color="auto"/>
            <w:left w:val="none" w:sz="0" w:space="0" w:color="auto"/>
            <w:bottom w:val="none" w:sz="0" w:space="0" w:color="auto"/>
            <w:right w:val="none" w:sz="0" w:space="0" w:color="auto"/>
          </w:divBdr>
          <w:divsChild>
            <w:div w:id="912815413">
              <w:marLeft w:val="0"/>
              <w:marRight w:val="0"/>
              <w:marTop w:val="0"/>
              <w:marBottom w:val="0"/>
              <w:divBdr>
                <w:top w:val="none" w:sz="0" w:space="0" w:color="auto"/>
                <w:left w:val="none" w:sz="0" w:space="0" w:color="auto"/>
                <w:bottom w:val="none" w:sz="0" w:space="0" w:color="auto"/>
                <w:right w:val="none" w:sz="0" w:space="0" w:color="auto"/>
              </w:divBdr>
              <w:divsChild>
                <w:div w:id="91281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333">
      <w:marLeft w:val="0"/>
      <w:marRight w:val="0"/>
      <w:marTop w:val="0"/>
      <w:marBottom w:val="0"/>
      <w:divBdr>
        <w:top w:val="none" w:sz="0" w:space="0" w:color="auto"/>
        <w:left w:val="none" w:sz="0" w:space="0" w:color="auto"/>
        <w:bottom w:val="none" w:sz="0" w:space="0" w:color="auto"/>
        <w:right w:val="none" w:sz="0" w:space="0" w:color="auto"/>
      </w:divBdr>
    </w:div>
    <w:div w:id="912815334">
      <w:marLeft w:val="0"/>
      <w:marRight w:val="0"/>
      <w:marTop w:val="0"/>
      <w:marBottom w:val="0"/>
      <w:divBdr>
        <w:top w:val="none" w:sz="0" w:space="0" w:color="auto"/>
        <w:left w:val="none" w:sz="0" w:space="0" w:color="auto"/>
        <w:bottom w:val="none" w:sz="0" w:space="0" w:color="auto"/>
        <w:right w:val="none" w:sz="0" w:space="0" w:color="auto"/>
      </w:divBdr>
    </w:div>
    <w:div w:id="912815335">
      <w:marLeft w:val="0"/>
      <w:marRight w:val="0"/>
      <w:marTop w:val="0"/>
      <w:marBottom w:val="0"/>
      <w:divBdr>
        <w:top w:val="none" w:sz="0" w:space="0" w:color="auto"/>
        <w:left w:val="none" w:sz="0" w:space="0" w:color="auto"/>
        <w:bottom w:val="none" w:sz="0" w:space="0" w:color="auto"/>
        <w:right w:val="none" w:sz="0" w:space="0" w:color="auto"/>
      </w:divBdr>
    </w:div>
    <w:div w:id="912815342">
      <w:marLeft w:val="0"/>
      <w:marRight w:val="0"/>
      <w:marTop w:val="0"/>
      <w:marBottom w:val="0"/>
      <w:divBdr>
        <w:top w:val="none" w:sz="0" w:space="0" w:color="auto"/>
        <w:left w:val="none" w:sz="0" w:space="0" w:color="auto"/>
        <w:bottom w:val="none" w:sz="0" w:space="0" w:color="auto"/>
        <w:right w:val="none" w:sz="0" w:space="0" w:color="auto"/>
      </w:divBdr>
    </w:div>
    <w:div w:id="912815346">
      <w:marLeft w:val="0"/>
      <w:marRight w:val="0"/>
      <w:marTop w:val="0"/>
      <w:marBottom w:val="0"/>
      <w:divBdr>
        <w:top w:val="none" w:sz="0" w:space="0" w:color="auto"/>
        <w:left w:val="none" w:sz="0" w:space="0" w:color="auto"/>
        <w:bottom w:val="none" w:sz="0" w:space="0" w:color="auto"/>
        <w:right w:val="none" w:sz="0" w:space="0" w:color="auto"/>
      </w:divBdr>
    </w:div>
    <w:div w:id="912815347">
      <w:marLeft w:val="0"/>
      <w:marRight w:val="0"/>
      <w:marTop w:val="0"/>
      <w:marBottom w:val="0"/>
      <w:divBdr>
        <w:top w:val="none" w:sz="0" w:space="0" w:color="auto"/>
        <w:left w:val="none" w:sz="0" w:space="0" w:color="auto"/>
        <w:bottom w:val="none" w:sz="0" w:space="0" w:color="auto"/>
        <w:right w:val="none" w:sz="0" w:space="0" w:color="auto"/>
      </w:divBdr>
    </w:div>
    <w:div w:id="912815349">
      <w:marLeft w:val="0"/>
      <w:marRight w:val="0"/>
      <w:marTop w:val="0"/>
      <w:marBottom w:val="0"/>
      <w:divBdr>
        <w:top w:val="none" w:sz="0" w:space="0" w:color="auto"/>
        <w:left w:val="none" w:sz="0" w:space="0" w:color="auto"/>
        <w:bottom w:val="none" w:sz="0" w:space="0" w:color="auto"/>
        <w:right w:val="none" w:sz="0" w:space="0" w:color="auto"/>
      </w:divBdr>
    </w:div>
    <w:div w:id="912815352">
      <w:marLeft w:val="0"/>
      <w:marRight w:val="0"/>
      <w:marTop w:val="0"/>
      <w:marBottom w:val="0"/>
      <w:divBdr>
        <w:top w:val="none" w:sz="0" w:space="0" w:color="auto"/>
        <w:left w:val="none" w:sz="0" w:space="0" w:color="auto"/>
        <w:bottom w:val="none" w:sz="0" w:space="0" w:color="auto"/>
        <w:right w:val="none" w:sz="0" w:space="0" w:color="auto"/>
      </w:divBdr>
    </w:div>
    <w:div w:id="912815353">
      <w:marLeft w:val="0"/>
      <w:marRight w:val="0"/>
      <w:marTop w:val="0"/>
      <w:marBottom w:val="0"/>
      <w:divBdr>
        <w:top w:val="none" w:sz="0" w:space="0" w:color="auto"/>
        <w:left w:val="none" w:sz="0" w:space="0" w:color="auto"/>
        <w:bottom w:val="none" w:sz="0" w:space="0" w:color="auto"/>
        <w:right w:val="none" w:sz="0" w:space="0" w:color="auto"/>
      </w:divBdr>
      <w:divsChild>
        <w:div w:id="912815430">
          <w:marLeft w:val="0"/>
          <w:marRight w:val="0"/>
          <w:marTop w:val="0"/>
          <w:marBottom w:val="0"/>
          <w:divBdr>
            <w:top w:val="none" w:sz="0" w:space="0" w:color="auto"/>
            <w:left w:val="none" w:sz="0" w:space="0" w:color="auto"/>
            <w:bottom w:val="none" w:sz="0" w:space="0" w:color="auto"/>
            <w:right w:val="none" w:sz="0" w:space="0" w:color="auto"/>
          </w:divBdr>
          <w:divsChild>
            <w:div w:id="9128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354">
      <w:marLeft w:val="0"/>
      <w:marRight w:val="0"/>
      <w:marTop w:val="0"/>
      <w:marBottom w:val="0"/>
      <w:divBdr>
        <w:top w:val="none" w:sz="0" w:space="0" w:color="auto"/>
        <w:left w:val="none" w:sz="0" w:space="0" w:color="auto"/>
        <w:bottom w:val="none" w:sz="0" w:space="0" w:color="auto"/>
        <w:right w:val="none" w:sz="0" w:space="0" w:color="auto"/>
      </w:divBdr>
    </w:div>
    <w:div w:id="912815355">
      <w:marLeft w:val="0"/>
      <w:marRight w:val="0"/>
      <w:marTop w:val="0"/>
      <w:marBottom w:val="0"/>
      <w:divBdr>
        <w:top w:val="none" w:sz="0" w:space="0" w:color="auto"/>
        <w:left w:val="none" w:sz="0" w:space="0" w:color="auto"/>
        <w:bottom w:val="none" w:sz="0" w:space="0" w:color="auto"/>
        <w:right w:val="none" w:sz="0" w:space="0" w:color="auto"/>
      </w:divBdr>
    </w:div>
    <w:div w:id="912815357">
      <w:marLeft w:val="0"/>
      <w:marRight w:val="0"/>
      <w:marTop w:val="0"/>
      <w:marBottom w:val="0"/>
      <w:divBdr>
        <w:top w:val="none" w:sz="0" w:space="0" w:color="auto"/>
        <w:left w:val="none" w:sz="0" w:space="0" w:color="auto"/>
        <w:bottom w:val="none" w:sz="0" w:space="0" w:color="auto"/>
        <w:right w:val="none" w:sz="0" w:space="0" w:color="auto"/>
      </w:divBdr>
      <w:divsChild>
        <w:div w:id="912815338">
          <w:marLeft w:val="0"/>
          <w:marRight w:val="0"/>
          <w:marTop w:val="0"/>
          <w:marBottom w:val="0"/>
          <w:divBdr>
            <w:top w:val="none" w:sz="0" w:space="0" w:color="auto"/>
            <w:left w:val="none" w:sz="0" w:space="0" w:color="auto"/>
            <w:bottom w:val="none" w:sz="0" w:space="0" w:color="auto"/>
            <w:right w:val="none" w:sz="0" w:space="0" w:color="auto"/>
          </w:divBdr>
          <w:divsChild>
            <w:div w:id="912815314">
              <w:marLeft w:val="0"/>
              <w:marRight w:val="0"/>
              <w:marTop w:val="0"/>
              <w:marBottom w:val="0"/>
              <w:divBdr>
                <w:top w:val="none" w:sz="0" w:space="0" w:color="auto"/>
                <w:left w:val="none" w:sz="0" w:space="0" w:color="auto"/>
                <w:bottom w:val="none" w:sz="0" w:space="0" w:color="auto"/>
                <w:right w:val="none" w:sz="0" w:space="0" w:color="auto"/>
              </w:divBdr>
              <w:divsChild>
                <w:div w:id="912815383">
                  <w:marLeft w:val="0"/>
                  <w:marRight w:val="0"/>
                  <w:marTop w:val="0"/>
                  <w:marBottom w:val="0"/>
                  <w:divBdr>
                    <w:top w:val="none" w:sz="0" w:space="0" w:color="auto"/>
                    <w:left w:val="none" w:sz="0" w:space="0" w:color="auto"/>
                    <w:bottom w:val="none" w:sz="0" w:space="0" w:color="auto"/>
                    <w:right w:val="none" w:sz="0" w:space="0" w:color="auto"/>
                  </w:divBdr>
                  <w:divsChild>
                    <w:div w:id="912815302">
                      <w:marLeft w:val="0"/>
                      <w:marRight w:val="0"/>
                      <w:marTop w:val="0"/>
                      <w:marBottom w:val="0"/>
                      <w:divBdr>
                        <w:top w:val="none" w:sz="0" w:space="0" w:color="auto"/>
                        <w:left w:val="none" w:sz="0" w:space="0" w:color="auto"/>
                        <w:bottom w:val="none" w:sz="0" w:space="0" w:color="auto"/>
                        <w:right w:val="none" w:sz="0" w:space="0" w:color="auto"/>
                      </w:divBdr>
                      <w:divsChild>
                        <w:div w:id="912815311">
                          <w:marLeft w:val="0"/>
                          <w:marRight w:val="0"/>
                          <w:marTop w:val="0"/>
                          <w:marBottom w:val="0"/>
                          <w:divBdr>
                            <w:top w:val="none" w:sz="0" w:space="0" w:color="auto"/>
                            <w:left w:val="none" w:sz="0" w:space="0" w:color="auto"/>
                            <w:bottom w:val="none" w:sz="0" w:space="0" w:color="auto"/>
                            <w:right w:val="none" w:sz="0" w:space="0" w:color="auto"/>
                          </w:divBdr>
                          <w:divsChild>
                            <w:div w:id="912815339">
                              <w:marLeft w:val="0"/>
                              <w:marRight w:val="0"/>
                              <w:marTop w:val="0"/>
                              <w:marBottom w:val="0"/>
                              <w:divBdr>
                                <w:top w:val="none" w:sz="0" w:space="0" w:color="auto"/>
                                <w:left w:val="none" w:sz="0" w:space="0" w:color="auto"/>
                                <w:bottom w:val="none" w:sz="0" w:space="0" w:color="auto"/>
                                <w:right w:val="none" w:sz="0" w:space="0" w:color="auto"/>
                              </w:divBdr>
                              <w:divsChild>
                                <w:div w:id="912815436">
                                  <w:marLeft w:val="0"/>
                                  <w:marRight w:val="0"/>
                                  <w:marTop w:val="0"/>
                                  <w:marBottom w:val="0"/>
                                  <w:divBdr>
                                    <w:top w:val="none" w:sz="0" w:space="0" w:color="auto"/>
                                    <w:left w:val="none" w:sz="0" w:space="0" w:color="auto"/>
                                    <w:bottom w:val="none" w:sz="0" w:space="0" w:color="auto"/>
                                    <w:right w:val="none" w:sz="0" w:space="0" w:color="auto"/>
                                  </w:divBdr>
                                  <w:divsChild>
                                    <w:div w:id="912815340">
                                      <w:marLeft w:val="0"/>
                                      <w:marRight w:val="0"/>
                                      <w:marTop w:val="0"/>
                                      <w:marBottom w:val="0"/>
                                      <w:divBdr>
                                        <w:top w:val="none" w:sz="0" w:space="0" w:color="auto"/>
                                        <w:left w:val="none" w:sz="0" w:space="0" w:color="auto"/>
                                        <w:bottom w:val="none" w:sz="0" w:space="0" w:color="auto"/>
                                        <w:right w:val="none" w:sz="0" w:space="0" w:color="auto"/>
                                      </w:divBdr>
                                      <w:divsChild>
                                        <w:div w:id="912815291">
                                          <w:marLeft w:val="0"/>
                                          <w:marRight w:val="0"/>
                                          <w:marTop w:val="0"/>
                                          <w:marBottom w:val="0"/>
                                          <w:divBdr>
                                            <w:top w:val="none" w:sz="0" w:space="0" w:color="auto"/>
                                            <w:left w:val="none" w:sz="0" w:space="0" w:color="auto"/>
                                            <w:bottom w:val="none" w:sz="0" w:space="0" w:color="auto"/>
                                            <w:right w:val="none" w:sz="0" w:space="0" w:color="auto"/>
                                          </w:divBdr>
                                          <w:divsChild>
                                            <w:div w:id="912815268">
                                              <w:marLeft w:val="0"/>
                                              <w:marRight w:val="0"/>
                                              <w:marTop w:val="0"/>
                                              <w:marBottom w:val="0"/>
                                              <w:divBdr>
                                                <w:top w:val="none" w:sz="0" w:space="0" w:color="auto"/>
                                                <w:left w:val="none" w:sz="0" w:space="0" w:color="auto"/>
                                                <w:bottom w:val="none" w:sz="0" w:space="0" w:color="auto"/>
                                                <w:right w:val="none" w:sz="0" w:space="0" w:color="auto"/>
                                              </w:divBdr>
                                              <w:divsChild>
                                                <w:div w:id="912815324">
                                                  <w:marLeft w:val="0"/>
                                                  <w:marRight w:val="0"/>
                                                  <w:marTop w:val="0"/>
                                                  <w:marBottom w:val="0"/>
                                                  <w:divBdr>
                                                    <w:top w:val="none" w:sz="0" w:space="0" w:color="auto"/>
                                                    <w:left w:val="none" w:sz="0" w:space="0" w:color="auto"/>
                                                    <w:bottom w:val="none" w:sz="0" w:space="0" w:color="auto"/>
                                                    <w:right w:val="none" w:sz="0" w:space="0" w:color="auto"/>
                                                  </w:divBdr>
                                                  <w:divsChild>
                                                    <w:div w:id="912815405">
                                                      <w:marLeft w:val="0"/>
                                                      <w:marRight w:val="0"/>
                                                      <w:marTop w:val="0"/>
                                                      <w:marBottom w:val="0"/>
                                                      <w:divBdr>
                                                        <w:top w:val="none" w:sz="0" w:space="0" w:color="auto"/>
                                                        <w:left w:val="none" w:sz="0" w:space="0" w:color="auto"/>
                                                        <w:bottom w:val="none" w:sz="0" w:space="0" w:color="auto"/>
                                                        <w:right w:val="none" w:sz="0" w:space="0" w:color="auto"/>
                                                      </w:divBdr>
                                                      <w:divsChild>
                                                        <w:div w:id="912815425">
                                                          <w:marLeft w:val="3000"/>
                                                          <w:marRight w:val="0"/>
                                                          <w:marTop w:val="0"/>
                                                          <w:marBottom w:val="0"/>
                                                          <w:divBdr>
                                                            <w:top w:val="none" w:sz="0" w:space="0" w:color="auto"/>
                                                            <w:left w:val="none" w:sz="0" w:space="0" w:color="auto"/>
                                                            <w:bottom w:val="none" w:sz="0" w:space="0" w:color="auto"/>
                                                            <w:right w:val="none" w:sz="0" w:space="0" w:color="auto"/>
                                                          </w:divBdr>
                                                          <w:divsChild>
                                                            <w:div w:id="912815279">
                                                              <w:marLeft w:val="0"/>
                                                              <w:marRight w:val="0"/>
                                                              <w:marTop w:val="0"/>
                                                              <w:marBottom w:val="0"/>
                                                              <w:divBdr>
                                                                <w:top w:val="none" w:sz="0" w:space="0" w:color="auto"/>
                                                                <w:left w:val="none" w:sz="0" w:space="0" w:color="auto"/>
                                                                <w:bottom w:val="none" w:sz="0" w:space="0" w:color="auto"/>
                                                                <w:right w:val="none" w:sz="0" w:space="0" w:color="auto"/>
                                                              </w:divBdr>
                                                              <w:divsChild>
                                                                <w:div w:id="912815290">
                                                                  <w:marLeft w:val="0"/>
                                                                  <w:marRight w:val="0"/>
                                                                  <w:marTop w:val="0"/>
                                                                  <w:marBottom w:val="0"/>
                                                                  <w:divBdr>
                                                                    <w:top w:val="none" w:sz="0" w:space="0" w:color="auto"/>
                                                                    <w:left w:val="none" w:sz="0" w:space="0" w:color="auto"/>
                                                                    <w:bottom w:val="none" w:sz="0" w:space="0" w:color="auto"/>
                                                                    <w:right w:val="none" w:sz="0" w:space="0" w:color="auto"/>
                                                                  </w:divBdr>
                                                                  <w:divsChild>
                                                                    <w:div w:id="912815417">
                                                                      <w:marLeft w:val="0"/>
                                                                      <w:marRight w:val="0"/>
                                                                      <w:marTop w:val="0"/>
                                                                      <w:marBottom w:val="0"/>
                                                                      <w:divBdr>
                                                                        <w:top w:val="none" w:sz="0" w:space="0" w:color="auto"/>
                                                                        <w:left w:val="none" w:sz="0" w:space="0" w:color="auto"/>
                                                                        <w:bottom w:val="none" w:sz="0" w:space="0" w:color="auto"/>
                                                                        <w:right w:val="none" w:sz="0" w:space="0" w:color="auto"/>
                                                                      </w:divBdr>
                                                                      <w:divsChild>
                                                                        <w:div w:id="912815295">
                                                                          <w:marLeft w:val="0"/>
                                                                          <w:marRight w:val="0"/>
                                                                          <w:marTop w:val="0"/>
                                                                          <w:marBottom w:val="0"/>
                                                                          <w:divBdr>
                                                                            <w:top w:val="none" w:sz="0" w:space="0" w:color="auto"/>
                                                                            <w:left w:val="none" w:sz="0" w:space="0" w:color="auto"/>
                                                                            <w:bottom w:val="none" w:sz="0" w:space="0" w:color="auto"/>
                                                                            <w:right w:val="none" w:sz="0" w:space="0" w:color="auto"/>
                                                                          </w:divBdr>
                                                                          <w:divsChild>
                                                                            <w:div w:id="912815395">
                                                                              <w:marLeft w:val="0"/>
                                                                              <w:marRight w:val="0"/>
                                                                              <w:marTop w:val="0"/>
                                                                              <w:marBottom w:val="0"/>
                                                                              <w:divBdr>
                                                                                <w:top w:val="none" w:sz="0" w:space="0" w:color="auto"/>
                                                                                <w:left w:val="none" w:sz="0" w:space="0" w:color="auto"/>
                                                                                <w:bottom w:val="none" w:sz="0" w:space="0" w:color="auto"/>
                                                                                <w:right w:val="none" w:sz="0" w:space="0" w:color="auto"/>
                                                                              </w:divBdr>
                                                                              <w:divsChild>
                                                                                <w:div w:id="912815428">
                                                                                  <w:marLeft w:val="0"/>
                                                                                  <w:marRight w:val="0"/>
                                                                                  <w:marTop w:val="0"/>
                                                                                  <w:marBottom w:val="0"/>
                                                                                  <w:divBdr>
                                                                                    <w:top w:val="none" w:sz="0" w:space="0" w:color="auto"/>
                                                                                    <w:left w:val="none" w:sz="0" w:space="0" w:color="auto"/>
                                                                                    <w:bottom w:val="none" w:sz="0" w:space="0" w:color="auto"/>
                                                                                    <w:right w:val="none" w:sz="0" w:space="0" w:color="auto"/>
                                                                                  </w:divBdr>
                                                                                  <w:divsChild>
                                                                                    <w:div w:id="912815381">
                                                                                      <w:marLeft w:val="0"/>
                                                                                      <w:marRight w:val="0"/>
                                                                                      <w:marTop w:val="225"/>
                                                                                      <w:marBottom w:val="225"/>
                                                                                      <w:divBdr>
                                                                                        <w:top w:val="single" w:sz="6" w:space="0" w:color="666666"/>
                                                                                        <w:left w:val="single" w:sz="6" w:space="0" w:color="666666"/>
                                                                                        <w:bottom w:val="single" w:sz="6" w:space="0" w:color="666666"/>
                                                                                        <w:right w:val="single" w:sz="6" w:space="0" w:color="666666"/>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2815359">
      <w:marLeft w:val="0"/>
      <w:marRight w:val="0"/>
      <w:marTop w:val="0"/>
      <w:marBottom w:val="0"/>
      <w:divBdr>
        <w:top w:val="none" w:sz="0" w:space="0" w:color="auto"/>
        <w:left w:val="none" w:sz="0" w:space="0" w:color="auto"/>
        <w:bottom w:val="none" w:sz="0" w:space="0" w:color="auto"/>
        <w:right w:val="none" w:sz="0" w:space="0" w:color="auto"/>
      </w:divBdr>
      <w:divsChild>
        <w:div w:id="912815351">
          <w:marLeft w:val="255"/>
          <w:marRight w:val="0"/>
          <w:marTop w:val="0"/>
          <w:marBottom w:val="0"/>
          <w:divBdr>
            <w:top w:val="none" w:sz="0" w:space="0" w:color="auto"/>
            <w:left w:val="single" w:sz="2" w:space="0" w:color="2E2E2E"/>
            <w:bottom w:val="single" w:sz="2" w:space="0" w:color="2E2E2E"/>
            <w:right w:val="single" w:sz="2" w:space="0" w:color="2E2E2E"/>
          </w:divBdr>
          <w:divsChild>
            <w:div w:id="912815282">
              <w:marLeft w:val="0"/>
              <w:marRight w:val="0"/>
              <w:marTop w:val="15"/>
              <w:marBottom w:val="0"/>
              <w:divBdr>
                <w:top w:val="none" w:sz="0" w:space="0" w:color="auto"/>
                <w:left w:val="none" w:sz="0" w:space="0" w:color="auto"/>
                <w:bottom w:val="none" w:sz="0" w:space="0" w:color="auto"/>
                <w:right w:val="none" w:sz="0" w:space="0" w:color="auto"/>
              </w:divBdr>
              <w:divsChild>
                <w:div w:id="91281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363">
      <w:marLeft w:val="0"/>
      <w:marRight w:val="0"/>
      <w:marTop w:val="0"/>
      <w:marBottom w:val="0"/>
      <w:divBdr>
        <w:top w:val="none" w:sz="0" w:space="0" w:color="auto"/>
        <w:left w:val="none" w:sz="0" w:space="0" w:color="auto"/>
        <w:bottom w:val="none" w:sz="0" w:space="0" w:color="auto"/>
        <w:right w:val="none" w:sz="0" w:space="0" w:color="auto"/>
      </w:divBdr>
    </w:div>
    <w:div w:id="912815365">
      <w:marLeft w:val="0"/>
      <w:marRight w:val="0"/>
      <w:marTop w:val="0"/>
      <w:marBottom w:val="0"/>
      <w:divBdr>
        <w:top w:val="none" w:sz="0" w:space="0" w:color="auto"/>
        <w:left w:val="none" w:sz="0" w:space="0" w:color="auto"/>
        <w:bottom w:val="none" w:sz="0" w:space="0" w:color="auto"/>
        <w:right w:val="none" w:sz="0" w:space="0" w:color="auto"/>
      </w:divBdr>
    </w:div>
    <w:div w:id="912815371">
      <w:marLeft w:val="0"/>
      <w:marRight w:val="0"/>
      <w:marTop w:val="0"/>
      <w:marBottom w:val="0"/>
      <w:divBdr>
        <w:top w:val="none" w:sz="0" w:space="0" w:color="auto"/>
        <w:left w:val="none" w:sz="0" w:space="0" w:color="auto"/>
        <w:bottom w:val="none" w:sz="0" w:space="0" w:color="auto"/>
        <w:right w:val="none" w:sz="0" w:space="0" w:color="auto"/>
      </w:divBdr>
      <w:divsChild>
        <w:div w:id="912815319">
          <w:marLeft w:val="0"/>
          <w:marRight w:val="0"/>
          <w:marTop w:val="0"/>
          <w:marBottom w:val="0"/>
          <w:divBdr>
            <w:top w:val="none" w:sz="0" w:space="0" w:color="auto"/>
            <w:left w:val="none" w:sz="0" w:space="0" w:color="auto"/>
            <w:bottom w:val="none" w:sz="0" w:space="0" w:color="auto"/>
            <w:right w:val="none" w:sz="0" w:space="0" w:color="auto"/>
          </w:divBdr>
          <w:divsChild>
            <w:div w:id="912815391">
              <w:marLeft w:val="0"/>
              <w:marRight w:val="0"/>
              <w:marTop w:val="0"/>
              <w:marBottom w:val="0"/>
              <w:divBdr>
                <w:top w:val="none" w:sz="0" w:space="0" w:color="auto"/>
                <w:left w:val="none" w:sz="0" w:space="0" w:color="auto"/>
                <w:bottom w:val="none" w:sz="0" w:space="0" w:color="auto"/>
                <w:right w:val="none" w:sz="0" w:space="0" w:color="auto"/>
              </w:divBdr>
              <w:divsChild>
                <w:div w:id="91281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372">
      <w:marLeft w:val="0"/>
      <w:marRight w:val="0"/>
      <w:marTop w:val="0"/>
      <w:marBottom w:val="0"/>
      <w:divBdr>
        <w:top w:val="none" w:sz="0" w:space="0" w:color="auto"/>
        <w:left w:val="none" w:sz="0" w:space="0" w:color="auto"/>
        <w:bottom w:val="none" w:sz="0" w:space="0" w:color="auto"/>
        <w:right w:val="none" w:sz="0" w:space="0" w:color="auto"/>
      </w:divBdr>
    </w:div>
    <w:div w:id="912815373">
      <w:marLeft w:val="0"/>
      <w:marRight w:val="0"/>
      <w:marTop w:val="0"/>
      <w:marBottom w:val="0"/>
      <w:divBdr>
        <w:top w:val="none" w:sz="0" w:space="0" w:color="auto"/>
        <w:left w:val="none" w:sz="0" w:space="0" w:color="auto"/>
        <w:bottom w:val="none" w:sz="0" w:space="0" w:color="auto"/>
        <w:right w:val="none" w:sz="0" w:space="0" w:color="auto"/>
      </w:divBdr>
    </w:div>
    <w:div w:id="912815376">
      <w:marLeft w:val="0"/>
      <w:marRight w:val="0"/>
      <w:marTop w:val="0"/>
      <w:marBottom w:val="0"/>
      <w:divBdr>
        <w:top w:val="none" w:sz="0" w:space="0" w:color="auto"/>
        <w:left w:val="none" w:sz="0" w:space="0" w:color="auto"/>
        <w:bottom w:val="none" w:sz="0" w:space="0" w:color="auto"/>
        <w:right w:val="none" w:sz="0" w:space="0" w:color="auto"/>
      </w:divBdr>
      <w:divsChild>
        <w:div w:id="912815399">
          <w:marLeft w:val="255"/>
          <w:marRight w:val="0"/>
          <w:marTop w:val="0"/>
          <w:marBottom w:val="0"/>
          <w:divBdr>
            <w:top w:val="none" w:sz="0" w:space="0" w:color="auto"/>
            <w:left w:val="single" w:sz="2" w:space="0" w:color="2E2E2E"/>
            <w:bottom w:val="single" w:sz="2" w:space="0" w:color="2E2E2E"/>
            <w:right w:val="single" w:sz="2" w:space="0" w:color="2E2E2E"/>
          </w:divBdr>
          <w:divsChild>
            <w:div w:id="912815429">
              <w:marLeft w:val="0"/>
              <w:marRight w:val="0"/>
              <w:marTop w:val="15"/>
              <w:marBottom w:val="0"/>
              <w:divBdr>
                <w:top w:val="none" w:sz="0" w:space="0" w:color="auto"/>
                <w:left w:val="none" w:sz="0" w:space="0" w:color="auto"/>
                <w:bottom w:val="none" w:sz="0" w:space="0" w:color="auto"/>
                <w:right w:val="none" w:sz="0" w:space="0" w:color="auto"/>
              </w:divBdr>
              <w:divsChild>
                <w:div w:id="912815337">
                  <w:marLeft w:val="0"/>
                  <w:marRight w:val="0"/>
                  <w:marTop w:val="0"/>
                  <w:marBottom w:val="0"/>
                  <w:divBdr>
                    <w:top w:val="none" w:sz="0" w:space="0" w:color="auto"/>
                    <w:left w:val="none" w:sz="0" w:space="0" w:color="auto"/>
                    <w:bottom w:val="none" w:sz="0" w:space="0" w:color="auto"/>
                    <w:right w:val="none" w:sz="0" w:space="0" w:color="auto"/>
                  </w:divBdr>
                  <w:divsChild>
                    <w:div w:id="912815294">
                      <w:marLeft w:val="0"/>
                      <w:marRight w:val="0"/>
                      <w:marTop w:val="0"/>
                      <w:marBottom w:val="315"/>
                      <w:divBdr>
                        <w:top w:val="single" w:sz="6" w:space="0" w:color="D7D7D7"/>
                        <w:left w:val="single" w:sz="2" w:space="0" w:color="D7D7D7"/>
                        <w:bottom w:val="single" w:sz="6" w:space="0" w:color="D7D7D7"/>
                        <w:right w:val="single" w:sz="2" w:space="0" w:color="D7D7D7"/>
                      </w:divBdr>
                      <w:divsChild>
                        <w:div w:id="91281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815377">
      <w:marLeft w:val="0"/>
      <w:marRight w:val="0"/>
      <w:marTop w:val="0"/>
      <w:marBottom w:val="0"/>
      <w:divBdr>
        <w:top w:val="none" w:sz="0" w:space="0" w:color="auto"/>
        <w:left w:val="none" w:sz="0" w:space="0" w:color="auto"/>
        <w:bottom w:val="none" w:sz="0" w:space="0" w:color="auto"/>
        <w:right w:val="none" w:sz="0" w:space="0" w:color="auto"/>
      </w:divBdr>
    </w:div>
    <w:div w:id="912815379">
      <w:marLeft w:val="0"/>
      <w:marRight w:val="0"/>
      <w:marTop w:val="0"/>
      <w:marBottom w:val="0"/>
      <w:divBdr>
        <w:top w:val="none" w:sz="0" w:space="0" w:color="auto"/>
        <w:left w:val="none" w:sz="0" w:space="0" w:color="auto"/>
        <w:bottom w:val="none" w:sz="0" w:space="0" w:color="auto"/>
        <w:right w:val="none" w:sz="0" w:space="0" w:color="auto"/>
      </w:divBdr>
    </w:div>
    <w:div w:id="912815382">
      <w:marLeft w:val="0"/>
      <w:marRight w:val="0"/>
      <w:marTop w:val="0"/>
      <w:marBottom w:val="0"/>
      <w:divBdr>
        <w:top w:val="none" w:sz="0" w:space="0" w:color="auto"/>
        <w:left w:val="none" w:sz="0" w:space="0" w:color="auto"/>
        <w:bottom w:val="none" w:sz="0" w:space="0" w:color="auto"/>
        <w:right w:val="none" w:sz="0" w:space="0" w:color="auto"/>
      </w:divBdr>
    </w:div>
    <w:div w:id="912815386">
      <w:marLeft w:val="0"/>
      <w:marRight w:val="0"/>
      <w:marTop w:val="0"/>
      <w:marBottom w:val="0"/>
      <w:divBdr>
        <w:top w:val="none" w:sz="0" w:space="0" w:color="auto"/>
        <w:left w:val="none" w:sz="0" w:space="0" w:color="auto"/>
        <w:bottom w:val="none" w:sz="0" w:space="0" w:color="auto"/>
        <w:right w:val="none" w:sz="0" w:space="0" w:color="auto"/>
      </w:divBdr>
    </w:div>
    <w:div w:id="912815387">
      <w:marLeft w:val="0"/>
      <w:marRight w:val="0"/>
      <w:marTop w:val="0"/>
      <w:marBottom w:val="0"/>
      <w:divBdr>
        <w:top w:val="none" w:sz="0" w:space="0" w:color="auto"/>
        <w:left w:val="none" w:sz="0" w:space="0" w:color="auto"/>
        <w:bottom w:val="none" w:sz="0" w:space="0" w:color="auto"/>
        <w:right w:val="none" w:sz="0" w:space="0" w:color="auto"/>
      </w:divBdr>
      <w:divsChild>
        <w:div w:id="912815272">
          <w:marLeft w:val="0"/>
          <w:marRight w:val="0"/>
          <w:marTop w:val="0"/>
          <w:marBottom w:val="0"/>
          <w:divBdr>
            <w:top w:val="none" w:sz="0" w:space="0" w:color="auto"/>
            <w:left w:val="none" w:sz="0" w:space="0" w:color="auto"/>
            <w:bottom w:val="none" w:sz="0" w:space="0" w:color="auto"/>
            <w:right w:val="none" w:sz="0" w:space="0" w:color="auto"/>
          </w:divBdr>
          <w:divsChild>
            <w:div w:id="91281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389">
      <w:marLeft w:val="0"/>
      <w:marRight w:val="0"/>
      <w:marTop w:val="0"/>
      <w:marBottom w:val="0"/>
      <w:divBdr>
        <w:top w:val="none" w:sz="0" w:space="0" w:color="auto"/>
        <w:left w:val="none" w:sz="0" w:space="0" w:color="auto"/>
        <w:bottom w:val="none" w:sz="0" w:space="0" w:color="auto"/>
        <w:right w:val="none" w:sz="0" w:space="0" w:color="auto"/>
      </w:divBdr>
      <w:divsChild>
        <w:div w:id="912815285">
          <w:marLeft w:val="0"/>
          <w:marRight w:val="0"/>
          <w:marTop w:val="0"/>
          <w:marBottom w:val="0"/>
          <w:divBdr>
            <w:top w:val="none" w:sz="0" w:space="0" w:color="auto"/>
            <w:left w:val="none" w:sz="0" w:space="0" w:color="auto"/>
            <w:bottom w:val="none" w:sz="0" w:space="0" w:color="auto"/>
            <w:right w:val="none" w:sz="0" w:space="0" w:color="auto"/>
          </w:divBdr>
          <w:divsChild>
            <w:div w:id="912815437">
              <w:marLeft w:val="0"/>
              <w:marRight w:val="0"/>
              <w:marTop w:val="0"/>
              <w:marBottom w:val="0"/>
              <w:divBdr>
                <w:top w:val="none" w:sz="0" w:space="0" w:color="auto"/>
                <w:left w:val="none" w:sz="0" w:space="0" w:color="auto"/>
                <w:bottom w:val="none" w:sz="0" w:space="0" w:color="auto"/>
                <w:right w:val="none" w:sz="0" w:space="0" w:color="auto"/>
              </w:divBdr>
              <w:divsChild>
                <w:div w:id="912815345">
                  <w:marLeft w:val="0"/>
                  <w:marRight w:val="0"/>
                  <w:marTop w:val="0"/>
                  <w:marBottom w:val="0"/>
                  <w:divBdr>
                    <w:top w:val="none" w:sz="0" w:space="0" w:color="auto"/>
                    <w:left w:val="none" w:sz="0" w:space="0" w:color="auto"/>
                    <w:bottom w:val="none" w:sz="0" w:space="0" w:color="auto"/>
                    <w:right w:val="none" w:sz="0" w:space="0" w:color="auto"/>
                  </w:divBdr>
                  <w:divsChild>
                    <w:div w:id="912815332">
                      <w:marLeft w:val="720"/>
                      <w:marRight w:val="720"/>
                      <w:marTop w:val="100"/>
                      <w:marBottom w:val="100"/>
                      <w:divBdr>
                        <w:top w:val="single" w:sz="6" w:space="6" w:color="49768C"/>
                        <w:left w:val="single" w:sz="6" w:space="18" w:color="49768C"/>
                        <w:bottom w:val="single" w:sz="6" w:space="6" w:color="49768C"/>
                        <w:right w:val="single" w:sz="6" w:space="24" w:color="49768C"/>
                      </w:divBdr>
                    </w:div>
                  </w:divsChild>
                </w:div>
              </w:divsChild>
            </w:div>
          </w:divsChild>
        </w:div>
      </w:divsChild>
    </w:div>
    <w:div w:id="912815390">
      <w:marLeft w:val="0"/>
      <w:marRight w:val="0"/>
      <w:marTop w:val="0"/>
      <w:marBottom w:val="0"/>
      <w:divBdr>
        <w:top w:val="none" w:sz="0" w:space="0" w:color="auto"/>
        <w:left w:val="none" w:sz="0" w:space="0" w:color="auto"/>
        <w:bottom w:val="none" w:sz="0" w:space="0" w:color="auto"/>
        <w:right w:val="none" w:sz="0" w:space="0" w:color="auto"/>
      </w:divBdr>
    </w:div>
    <w:div w:id="912815392">
      <w:marLeft w:val="0"/>
      <w:marRight w:val="0"/>
      <w:marTop w:val="0"/>
      <w:marBottom w:val="0"/>
      <w:divBdr>
        <w:top w:val="none" w:sz="0" w:space="0" w:color="auto"/>
        <w:left w:val="none" w:sz="0" w:space="0" w:color="auto"/>
        <w:bottom w:val="none" w:sz="0" w:space="0" w:color="auto"/>
        <w:right w:val="none" w:sz="0" w:space="0" w:color="auto"/>
      </w:divBdr>
    </w:div>
    <w:div w:id="912815394">
      <w:marLeft w:val="0"/>
      <w:marRight w:val="0"/>
      <w:marTop w:val="0"/>
      <w:marBottom w:val="0"/>
      <w:divBdr>
        <w:top w:val="none" w:sz="0" w:space="0" w:color="auto"/>
        <w:left w:val="none" w:sz="0" w:space="0" w:color="auto"/>
        <w:bottom w:val="none" w:sz="0" w:space="0" w:color="auto"/>
        <w:right w:val="none" w:sz="0" w:space="0" w:color="auto"/>
      </w:divBdr>
    </w:div>
    <w:div w:id="912815401">
      <w:marLeft w:val="0"/>
      <w:marRight w:val="0"/>
      <w:marTop w:val="0"/>
      <w:marBottom w:val="0"/>
      <w:divBdr>
        <w:top w:val="none" w:sz="0" w:space="0" w:color="auto"/>
        <w:left w:val="none" w:sz="0" w:space="0" w:color="auto"/>
        <w:bottom w:val="none" w:sz="0" w:space="0" w:color="auto"/>
        <w:right w:val="none" w:sz="0" w:space="0" w:color="auto"/>
      </w:divBdr>
    </w:div>
    <w:div w:id="912815402">
      <w:marLeft w:val="0"/>
      <w:marRight w:val="0"/>
      <w:marTop w:val="0"/>
      <w:marBottom w:val="0"/>
      <w:divBdr>
        <w:top w:val="none" w:sz="0" w:space="0" w:color="auto"/>
        <w:left w:val="none" w:sz="0" w:space="0" w:color="auto"/>
        <w:bottom w:val="none" w:sz="0" w:space="0" w:color="auto"/>
        <w:right w:val="none" w:sz="0" w:space="0" w:color="auto"/>
      </w:divBdr>
    </w:div>
    <w:div w:id="912815403">
      <w:marLeft w:val="0"/>
      <w:marRight w:val="0"/>
      <w:marTop w:val="0"/>
      <w:marBottom w:val="0"/>
      <w:divBdr>
        <w:top w:val="none" w:sz="0" w:space="0" w:color="auto"/>
        <w:left w:val="none" w:sz="0" w:space="0" w:color="auto"/>
        <w:bottom w:val="none" w:sz="0" w:space="0" w:color="auto"/>
        <w:right w:val="none" w:sz="0" w:space="0" w:color="auto"/>
      </w:divBdr>
    </w:div>
    <w:div w:id="912815404">
      <w:marLeft w:val="0"/>
      <w:marRight w:val="0"/>
      <w:marTop w:val="0"/>
      <w:marBottom w:val="0"/>
      <w:divBdr>
        <w:top w:val="none" w:sz="0" w:space="0" w:color="auto"/>
        <w:left w:val="none" w:sz="0" w:space="0" w:color="auto"/>
        <w:bottom w:val="none" w:sz="0" w:space="0" w:color="auto"/>
        <w:right w:val="none" w:sz="0" w:space="0" w:color="auto"/>
      </w:divBdr>
    </w:div>
    <w:div w:id="912815407">
      <w:marLeft w:val="0"/>
      <w:marRight w:val="0"/>
      <w:marTop w:val="0"/>
      <w:marBottom w:val="0"/>
      <w:divBdr>
        <w:top w:val="none" w:sz="0" w:space="0" w:color="auto"/>
        <w:left w:val="none" w:sz="0" w:space="0" w:color="auto"/>
        <w:bottom w:val="none" w:sz="0" w:space="0" w:color="auto"/>
        <w:right w:val="none" w:sz="0" w:space="0" w:color="auto"/>
      </w:divBdr>
    </w:div>
    <w:div w:id="912815411">
      <w:marLeft w:val="0"/>
      <w:marRight w:val="0"/>
      <w:marTop w:val="0"/>
      <w:marBottom w:val="0"/>
      <w:divBdr>
        <w:top w:val="none" w:sz="0" w:space="0" w:color="auto"/>
        <w:left w:val="none" w:sz="0" w:space="0" w:color="auto"/>
        <w:bottom w:val="none" w:sz="0" w:space="0" w:color="auto"/>
        <w:right w:val="none" w:sz="0" w:space="0" w:color="auto"/>
      </w:divBdr>
    </w:div>
    <w:div w:id="912815412">
      <w:marLeft w:val="0"/>
      <w:marRight w:val="0"/>
      <w:marTop w:val="0"/>
      <w:marBottom w:val="0"/>
      <w:divBdr>
        <w:top w:val="none" w:sz="0" w:space="0" w:color="auto"/>
        <w:left w:val="none" w:sz="0" w:space="0" w:color="auto"/>
        <w:bottom w:val="none" w:sz="0" w:space="0" w:color="auto"/>
        <w:right w:val="none" w:sz="0" w:space="0" w:color="auto"/>
      </w:divBdr>
    </w:div>
    <w:div w:id="912815415">
      <w:marLeft w:val="0"/>
      <w:marRight w:val="0"/>
      <w:marTop w:val="0"/>
      <w:marBottom w:val="0"/>
      <w:divBdr>
        <w:top w:val="none" w:sz="0" w:space="0" w:color="auto"/>
        <w:left w:val="none" w:sz="0" w:space="0" w:color="auto"/>
        <w:bottom w:val="none" w:sz="0" w:space="0" w:color="auto"/>
        <w:right w:val="none" w:sz="0" w:space="0" w:color="auto"/>
      </w:divBdr>
    </w:div>
    <w:div w:id="912815419">
      <w:marLeft w:val="0"/>
      <w:marRight w:val="0"/>
      <w:marTop w:val="0"/>
      <w:marBottom w:val="0"/>
      <w:divBdr>
        <w:top w:val="none" w:sz="0" w:space="0" w:color="auto"/>
        <w:left w:val="none" w:sz="0" w:space="0" w:color="auto"/>
        <w:bottom w:val="none" w:sz="0" w:space="0" w:color="auto"/>
        <w:right w:val="none" w:sz="0" w:space="0" w:color="auto"/>
      </w:divBdr>
    </w:div>
    <w:div w:id="912815420">
      <w:marLeft w:val="0"/>
      <w:marRight w:val="0"/>
      <w:marTop w:val="0"/>
      <w:marBottom w:val="0"/>
      <w:divBdr>
        <w:top w:val="none" w:sz="0" w:space="0" w:color="auto"/>
        <w:left w:val="none" w:sz="0" w:space="0" w:color="auto"/>
        <w:bottom w:val="none" w:sz="0" w:space="0" w:color="auto"/>
        <w:right w:val="none" w:sz="0" w:space="0" w:color="auto"/>
      </w:divBdr>
    </w:div>
    <w:div w:id="912815421">
      <w:marLeft w:val="0"/>
      <w:marRight w:val="0"/>
      <w:marTop w:val="0"/>
      <w:marBottom w:val="0"/>
      <w:divBdr>
        <w:top w:val="none" w:sz="0" w:space="0" w:color="auto"/>
        <w:left w:val="none" w:sz="0" w:space="0" w:color="auto"/>
        <w:bottom w:val="none" w:sz="0" w:space="0" w:color="auto"/>
        <w:right w:val="none" w:sz="0" w:space="0" w:color="auto"/>
      </w:divBdr>
    </w:div>
    <w:div w:id="912815422">
      <w:marLeft w:val="0"/>
      <w:marRight w:val="0"/>
      <w:marTop w:val="0"/>
      <w:marBottom w:val="0"/>
      <w:divBdr>
        <w:top w:val="none" w:sz="0" w:space="0" w:color="auto"/>
        <w:left w:val="none" w:sz="0" w:space="0" w:color="auto"/>
        <w:bottom w:val="none" w:sz="0" w:space="0" w:color="auto"/>
        <w:right w:val="none" w:sz="0" w:space="0" w:color="auto"/>
      </w:divBdr>
    </w:div>
    <w:div w:id="912815426">
      <w:marLeft w:val="0"/>
      <w:marRight w:val="0"/>
      <w:marTop w:val="0"/>
      <w:marBottom w:val="0"/>
      <w:divBdr>
        <w:top w:val="none" w:sz="0" w:space="0" w:color="auto"/>
        <w:left w:val="none" w:sz="0" w:space="0" w:color="auto"/>
        <w:bottom w:val="none" w:sz="0" w:space="0" w:color="auto"/>
        <w:right w:val="none" w:sz="0" w:space="0" w:color="auto"/>
      </w:divBdr>
    </w:div>
    <w:div w:id="912815427">
      <w:marLeft w:val="0"/>
      <w:marRight w:val="0"/>
      <w:marTop w:val="0"/>
      <w:marBottom w:val="0"/>
      <w:divBdr>
        <w:top w:val="none" w:sz="0" w:space="0" w:color="auto"/>
        <w:left w:val="none" w:sz="0" w:space="0" w:color="auto"/>
        <w:bottom w:val="none" w:sz="0" w:space="0" w:color="auto"/>
        <w:right w:val="none" w:sz="0" w:space="0" w:color="auto"/>
      </w:divBdr>
    </w:div>
    <w:div w:id="912815431">
      <w:marLeft w:val="0"/>
      <w:marRight w:val="0"/>
      <w:marTop w:val="0"/>
      <w:marBottom w:val="0"/>
      <w:divBdr>
        <w:top w:val="none" w:sz="0" w:space="0" w:color="auto"/>
        <w:left w:val="none" w:sz="0" w:space="0" w:color="auto"/>
        <w:bottom w:val="none" w:sz="0" w:space="0" w:color="auto"/>
        <w:right w:val="none" w:sz="0" w:space="0" w:color="auto"/>
      </w:divBdr>
    </w:div>
    <w:div w:id="912815433">
      <w:marLeft w:val="0"/>
      <w:marRight w:val="0"/>
      <w:marTop w:val="0"/>
      <w:marBottom w:val="0"/>
      <w:divBdr>
        <w:top w:val="none" w:sz="0" w:space="0" w:color="auto"/>
        <w:left w:val="none" w:sz="0" w:space="0" w:color="auto"/>
        <w:bottom w:val="none" w:sz="0" w:space="0" w:color="auto"/>
        <w:right w:val="none" w:sz="0" w:space="0" w:color="auto"/>
      </w:divBdr>
    </w:div>
    <w:div w:id="912815435">
      <w:marLeft w:val="0"/>
      <w:marRight w:val="0"/>
      <w:marTop w:val="0"/>
      <w:marBottom w:val="0"/>
      <w:divBdr>
        <w:top w:val="none" w:sz="0" w:space="0" w:color="auto"/>
        <w:left w:val="none" w:sz="0" w:space="0" w:color="auto"/>
        <w:bottom w:val="none" w:sz="0" w:space="0" w:color="auto"/>
        <w:right w:val="none" w:sz="0" w:space="0" w:color="auto"/>
      </w:divBdr>
    </w:div>
    <w:div w:id="912815439">
      <w:marLeft w:val="0"/>
      <w:marRight w:val="0"/>
      <w:marTop w:val="0"/>
      <w:marBottom w:val="0"/>
      <w:divBdr>
        <w:top w:val="none" w:sz="0" w:space="0" w:color="auto"/>
        <w:left w:val="none" w:sz="0" w:space="0" w:color="auto"/>
        <w:bottom w:val="none" w:sz="0" w:space="0" w:color="auto"/>
        <w:right w:val="none" w:sz="0" w:space="0" w:color="auto"/>
      </w:divBdr>
    </w:div>
    <w:div w:id="912815440">
      <w:marLeft w:val="0"/>
      <w:marRight w:val="0"/>
      <w:marTop w:val="0"/>
      <w:marBottom w:val="0"/>
      <w:divBdr>
        <w:top w:val="none" w:sz="0" w:space="0" w:color="auto"/>
        <w:left w:val="none" w:sz="0" w:space="0" w:color="auto"/>
        <w:bottom w:val="none" w:sz="0" w:space="0" w:color="auto"/>
        <w:right w:val="none" w:sz="0" w:space="0" w:color="auto"/>
      </w:divBdr>
    </w:div>
    <w:div w:id="912815441">
      <w:marLeft w:val="0"/>
      <w:marRight w:val="0"/>
      <w:marTop w:val="0"/>
      <w:marBottom w:val="0"/>
      <w:divBdr>
        <w:top w:val="none" w:sz="0" w:space="0" w:color="auto"/>
        <w:left w:val="none" w:sz="0" w:space="0" w:color="auto"/>
        <w:bottom w:val="none" w:sz="0" w:space="0" w:color="auto"/>
        <w:right w:val="none" w:sz="0" w:space="0" w:color="auto"/>
      </w:divBdr>
    </w:div>
    <w:div w:id="912815442">
      <w:marLeft w:val="0"/>
      <w:marRight w:val="0"/>
      <w:marTop w:val="0"/>
      <w:marBottom w:val="0"/>
      <w:divBdr>
        <w:top w:val="none" w:sz="0" w:space="0" w:color="auto"/>
        <w:left w:val="none" w:sz="0" w:space="0" w:color="auto"/>
        <w:bottom w:val="none" w:sz="0" w:space="0" w:color="auto"/>
        <w:right w:val="none" w:sz="0" w:space="0" w:color="auto"/>
      </w:divBdr>
    </w:div>
    <w:div w:id="912815443">
      <w:marLeft w:val="0"/>
      <w:marRight w:val="0"/>
      <w:marTop w:val="0"/>
      <w:marBottom w:val="0"/>
      <w:divBdr>
        <w:top w:val="none" w:sz="0" w:space="0" w:color="auto"/>
        <w:left w:val="none" w:sz="0" w:space="0" w:color="auto"/>
        <w:bottom w:val="none" w:sz="0" w:space="0" w:color="auto"/>
        <w:right w:val="none" w:sz="0" w:space="0" w:color="auto"/>
      </w:divBdr>
      <w:divsChild>
        <w:div w:id="912815289">
          <w:marLeft w:val="0"/>
          <w:marRight w:val="0"/>
          <w:marTop w:val="0"/>
          <w:marBottom w:val="0"/>
          <w:divBdr>
            <w:top w:val="none" w:sz="0" w:space="0" w:color="auto"/>
            <w:left w:val="none" w:sz="0" w:space="0" w:color="auto"/>
            <w:bottom w:val="none" w:sz="0" w:space="0" w:color="auto"/>
            <w:right w:val="none" w:sz="0" w:space="0" w:color="auto"/>
          </w:divBdr>
          <w:divsChild>
            <w:div w:id="91281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444">
      <w:marLeft w:val="0"/>
      <w:marRight w:val="0"/>
      <w:marTop w:val="0"/>
      <w:marBottom w:val="0"/>
      <w:divBdr>
        <w:top w:val="none" w:sz="0" w:space="0" w:color="auto"/>
        <w:left w:val="none" w:sz="0" w:space="0" w:color="auto"/>
        <w:bottom w:val="none" w:sz="0" w:space="0" w:color="auto"/>
        <w:right w:val="none" w:sz="0" w:space="0" w:color="auto"/>
      </w:divBdr>
    </w:div>
    <w:div w:id="912815445">
      <w:marLeft w:val="0"/>
      <w:marRight w:val="0"/>
      <w:marTop w:val="0"/>
      <w:marBottom w:val="0"/>
      <w:divBdr>
        <w:top w:val="none" w:sz="0" w:space="0" w:color="auto"/>
        <w:left w:val="none" w:sz="0" w:space="0" w:color="auto"/>
        <w:bottom w:val="none" w:sz="0" w:space="0" w:color="auto"/>
        <w:right w:val="none" w:sz="0" w:space="0" w:color="auto"/>
      </w:divBdr>
    </w:div>
    <w:div w:id="912815446">
      <w:marLeft w:val="0"/>
      <w:marRight w:val="0"/>
      <w:marTop w:val="0"/>
      <w:marBottom w:val="0"/>
      <w:divBdr>
        <w:top w:val="none" w:sz="0" w:space="0" w:color="auto"/>
        <w:left w:val="none" w:sz="0" w:space="0" w:color="auto"/>
        <w:bottom w:val="none" w:sz="0" w:space="0" w:color="auto"/>
        <w:right w:val="none" w:sz="0" w:space="0" w:color="auto"/>
      </w:divBdr>
    </w:div>
    <w:div w:id="912815447">
      <w:marLeft w:val="0"/>
      <w:marRight w:val="0"/>
      <w:marTop w:val="0"/>
      <w:marBottom w:val="0"/>
      <w:divBdr>
        <w:top w:val="none" w:sz="0" w:space="0" w:color="auto"/>
        <w:left w:val="none" w:sz="0" w:space="0" w:color="auto"/>
        <w:bottom w:val="none" w:sz="0" w:space="0" w:color="auto"/>
        <w:right w:val="none" w:sz="0" w:space="0" w:color="auto"/>
      </w:divBdr>
    </w:div>
    <w:div w:id="912815448">
      <w:marLeft w:val="0"/>
      <w:marRight w:val="0"/>
      <w:marTop w:val="0"/>
      <w:marBottom w:val="0"/>
      <w:divBdr>
        <w:top w:val="none" w:sz="0" w:space="0" w:color="auto"/>
        <w:left w:val="none" w:sz="0" w:space="0" w:color="auto"/>
        <w:bottom w:val="none" w:sz="0" w:space="0" w:color="auto"/>
        <w:right w:val="none" w:sz="0" w:space="0" w:color="auto"/>
      </w:divBdr>
    </w:div>
    <w:div w:id="912815449">
      <w:marLeft w:val="0"/>
      <w:marRight w:val="0"/>
      <w:marTop w:val="0"/>
      <w:marBottom w:val="0"/>
      <w:divBdr>
        <w:top w:val="none" w:sz="0" w:space="0" w:color="auto"/>
        <w:left w:val="none" w:sz="0" w:space="0" w:color="auto"/>
        <w:bottom w:val="none" w:sz="0" w:space="0" w:color="auto"/>
        <w:right w:val="none" w:sz="0" w:space="0" w:color="auto"/>
      </w:divBdr>
    </w:div>
    <w:div w:id="912815450">
      <w:marLeft w:val="0"/>
      <w:marRight w:val="0"/>
      <w:marTop w:val="0"/>
      <w:marBottom w:val="0"/>
      <w:divBdr>
        <w:top w:val="none" w:sz="0" w:space="0" w:color="auto"/>
        <w:left w:val="none" w:sz="0" w:space="0" w:color="auto"/>
        <w:bottom w:val="none" w:sz="0" w:space="0" w:color="auto"/>
        <w:right w:val="none" w:sz="0" w:space="0" w:color="auto"/>
      </w:divBdr>
    </w:div>
    <w:div w:id="912815451">
      <w:marLeft w:val="0"/>
      <w:marRight w:val="0"/>
      <w:marTop w:val="0"/>
      <w:marBottom w:val="0"/>
      <w:divBdr>
        <w:top w:val="none" w:sz="0" w:space="0" w:color="auto"/>
        <w:left w:val="none" w:sz="0" w:space="0" w:color="auto"/>
        <w:bottom w:val="none" w:sz="0" w:space="0" w:color="auto"/>
        <w:right w:val="none" w:sz="0" w:space="0" w:color="auto"/>
      </w:divBdr>
    </w:div>
    <w:div w:id="912815452">
      <w:marLeft w:val="0"/>
      <w:marRight w:val="0"/>
      <w:marTop w:val="0"/>
      <w:marBottom w:val="0"/>
      <w:divBdr>
        <w:top w:val="none" w:sz="0" w:space="0" w:color="auto"/>
        <w:left w:val="none" w:sz="0" w:space="0" w:color="auto"/>
        <w:bottom w:val="none" w:sz="0" w:space="0" w:color="auto"/>
        <w:right w:val="none" w:sz="0" w:space="0" w:color="auto"/>
      </w:divBdr>
    </w:div>
    <w:div w:id="912815453">
      <w:marLeft w:val="0"/>
      <w:marRight w:val="0"/>
      <w:marTop w:val="0"/>
      <w:marBottom w:val="0"/>
      <w:divBdr>
        <w:top w:val="none" w:sz="0" w:space="0" w:color="auto"/>
        <w:left w:val="none" w:sz="0" w:space="0" w:color="auto"/>
        <w:bottom w:val="none" w:sz="0" w:space="0" w:color="auto"/>
        <w:right w:val="none" w:sz="0" w:space="0" w:color="auto"/>
      </w:divBdr>
    </w:div>
    <w:div w:id="912815454">
      <w:marLeft w:val="0"/>
      <w:marRight w:val="0"/>
      <w:marTop w:val="0"/>
      <w:marBottom w:val="0"/>
      <w:divBdr>
        <w:top w:val="none" w:sz="0" w:space="0" w:color="auto"/>
        <w:left w:val="none" w:sz="0" w:space="0" w:color="auto"/>
        <w:bottom w:val="none" w:sz="0" w:space="0" w:color="auto"/>
        <w:right w:val="none" w:sz="0" w:space="0" w:color="auto"/>
      </w:divBdr>
    </w:div>
    <w:div w:id="912815455">
      <w:marLeft w:val="0"/>
      <w:marRight w:val="0"/>
      <w:marTop w:val="0"/>
      <w:marBottom w:val="0"/>
      <w:divBdr>
        <w:top w:val="none" w:sz="0" w:space="0" w:color="auto"/>
        <w:left w:val="none" w:sz="0" w:space="0" w:color="auto"/>
        <w:bottom w:val="none" w:sz="0" w:space="0" w:color="auto"/>
        <w:right w:val="none" w:sz="0" w:space="0" w:color="auto"/>
      </w:divBdr>
    </w:div>
    <w:div w:id="912815456">
      <w:marLeft w:val="0"/>
      <w:marRight w:val="0"/>
      <w:marTop w:val="0"/>
      <w:marBottom w:val="0"/>
      <w:divBdr>
        <w:top w:val="none" w:sz="0" w:space="0" w:color="auto"/>
        <w:left w:val="none" w:sz="0" w:space="0" w:color="auto"/>
        <w:bottom w:val="none" w:sz="0" w:space="0" w:color="auto"/>
        <w:right w:val="none" w:sz="0" w:space="0" w:color="auto"/>
      </w:divBdr>
    </w:div>
    <w:div w:id="912815457">
      <w:marLeft w:val="0"/>
      <w:marRight w:val="0"/>
      <w:marTop w:val="0"/>
      <w:marBottom w:val="0"/>
      <w:divBdr>
        <w:top w:val="none" w:sz="0" w:space="0" w:color="auto"/>
        <w:left w:val="none" w:sz="0" w:space="0" w:color="auto"/>
        <w:bottom w:val="none" w:sz="0" w:space="0" w:color="auto"/>
        <w:right w:val="none" w:sz="0" w:space="0" w:color="auto"/>
      </w:divBdr>
    </w:div>
    <w:div w:id="912815458">
      <w:marLeft w:val="0"/>
      <w:marRight w:val="0"/>
      <w:marTop w:val="0"/>
      <w:marBottom w:val="0"/>
      <w:divBdr>
        <w:top w:val="none" w:sz="0" w:space="0" w:color="auto"/>
        <w:left w:val="none" w:sz="0" w:space="0" w:color="auto"/>
        <w:bottom w:val="none" w:sz="0" w:space="0" w:color="auto"/>
        <w:right w:val="none" w:sz="0" w:space="0" w:color="auto"/>
      </w:divBdr>
    </w:div>
    <w:div w:id="912815459">
      <w:marLeft w:val="0"/>
      <w:marRight w:val="0"/>
      <w:marTop w:val="0"/>
      <w:marBottom w:val="0"/>
      <w:divBdr>
        <w:top w:val="none" w:sz="0" w:space="0" w:color="auto"/>
        <w:left w:val="none" w:sz="0" w:space="0" w:color="auto"/>
        <w:bottom w:val="none" w:sz="0" w:space="0" w:color="auto"/>
        <w:right w:val="none" w:sz="0" w:space="0" w:color="auto"/>
      </w:divBdr>
    </w:div>
    <w:div w:id="912815460">
      <w:marLeft w:val="0"/>
      <w:marRight w:val="0"/>
      <w:marTop w:val="0"/>
      <w:marBottom w:val="0"/>
      <w:divBdr>
        <w:top w:val="none" w:sz="0" w:space="0" w:color="auto"/>
        <w:left w:val="none" w:sz="0" w:space="0" w:color="auto"/>
        <w:bottom w:val="none" w:sz="0" w:space="0" w:color="auto"/>
        <w:right w:val="none" w:sz="0" w:space="0" w:color="auto"/>
      </w:divBdr>
    </w:div>
    <w:div w:id="912815461">
      <w:marLeft w:val="0"/>
      <w:marRight w:val="0"/>
      <w:marTop w:val="0"/>
      <w:marBottom w:val="0"/>
      <w:divBdr>
        <w:top w:val="none" w:sz="0" w:space="0" w:color="auto"/>
        <w:left w:val="none" w:sz="0" w:space="0" w:color="auto"/>
        <w:bottom w:val="none" w:sz="0" w:space="0" w:color="auto"/>
        <w:right w:val="none" w:sz="0" w:space="0" w:color="auto"/>
      </w:divBdr>
    </w:div>
    <w:div w:id="912815462">
      <w:marLeft w:val="0"/>
      <w:marRight w:val="0"/>
      <w:marTop w:val="0"/>
      <w:marBottom w:val="0"/>
      <w:divBdr>
        <w:top w:val="none" w:sz="0" w:space="0" w:color="auto"/>
        <w:left w:val="none" w:sz="0" w:space="0" w:color="auto"/>
        <w:bottom w:val="none" w:sz="0" w:space="0" w:color="auto"/>
        <w:right w:val="none" w:sz="0" w:space="0" w:color="auto"/>
      </w:divBdr>
    </w:div>
    <w:div w:id="912815463">
      <w:marLeft w:val="0"/>
      <w:marRight w:val="0"/>
      <w:marTop w:val="0"/>
      <w:marBottom w:val="0"/>
      <w:divBdr>
        <w:top w:val="none" w:sz="0" w:space="0" w:color="auto"/>
        <w:left w:val="none" w:sz="0" w:space="0" w:color="auto"/>
        <w:bottom w:val="none" w:sz="0" w:space="0" w:color="auto"/>
        <w:right w:val="none" w:sz="0" w:space="0" w:color="auto"/>
      </w:divBdr>
    </w:div>
    <w:div w:id="912815464">
      <w:marLeft w:val="0"/>
      <w:marRight w:val="0"/>
      <w:marTop w:val="0"/>
      <w:marBottom w:val="0"/>
      <w:divBdr>
        <w:top w:val="none" w:sz="0" w:space="0" w:color="auto"/>
        <w:left w:val="none" w:sz="0" w:space="0" w:color="auto"/>
        <w:bottom w:val="none" w:sz="0" w:space="0" w:color="auto"/>
        <w:right w:val="none" w:sz="0" w:space="0" w:color="auto"/>
      </w:divBdr>
    </w:div>
    <w:div w:id="912815465">
      <w:marLeft w:val="0"/>
      <w:marRight w:val="0"/>
      <w:marTop w:val="0"/>
      <w:marBottom w:val="0"/>
      <w:divBdr>
        <w:top w:val="none" w:sz="0" w:space="0" w:color="auto"/>
        <w:left w:val="none" w:sz="0" w:space="0" w:color="auto"/>
        <w:bottom w:val="none" w:sz="0" w:space="0" w:color="auto"/>
        <w:right w:val="none" w:sz="0" w:space="0" w:color="auto"/>
      </w:divBdr>
    </w:div>
    <w:div w:id="912815466">
      <w:marLeft w:val="0"/>
      <w:marRight w:val="0"/>
      <w:marTop w:val="0"/>
      <w:marBottom w:val="0"/>
      <w:divBdr>
        <w:top w:val="none" w:sz="0" w:space="0" w:color="auto"/>
        <w:left w:val="none" w:sz="0" w:space="0" w:color="auto"/>
        <w:bottom w:val="none" w:sz="0" w:space="0" w:color="auto"/>
        <w:right w:val="none" w:sz="0" w:space="0" w:color="auto"/>
      </w:divBdr>
    </w:div>
    <w:div w:id="912815467">
      <w:marLeft w:val="0"/>
      <w:marRight w:val="0"/>
      <w:marTop w:val="0"/>
      <w:marBottom w:val="0"/>
      <w:divBdr>
        <w:top w:val="none" w:sz="0" w:space="0" w:color="auto"/>
        <w:left w:val="none" w:sz="0" w:space="0" w:color="auto"/>
        <w:bottom w:val="none" w:sz="0" w:space="0" w:color="auto"/>
        <w:right w:val="none" w:sz="0" w:space="0" w:color="auto"/>
      </w:divBdr>
    </w:div>
    <w:div w:id="912815468">
      <w:marLeft w:val="0"/>
      <w:marRight w:val="0"/>
      <w:marTop w:val="0"/>
      <w:marBottom w:val="0"/>
      <w:divBdr>
        <w:top w:val="none" w:sz="0" w:space="0" w:color="auto"/>
        <w:left w:val="none" w:sz="0" w:space="0" w:color="auto"/>
        <w:bottom w:val="none" w:sz="0" w:space="0" w:color="auto"/>
        <w:right w:val="none" w:sz="0" w:space="0" w:color="auto"/>
      </w:divBdr>
    </w:div>
    <w:div w:id="912815469">
      <w:marLeft w:val="0"/>
      <w:marRight w:val="0"/>
      <w:marTop w:val="0"/>
      <w:marBottom w:val="0"/>
      <w:divBdr>
        <w:top w:val="none" w:sz="0" w:space="0" w:color="auto"/>
        <w:left w:val="none" w:sz="0" w:space="0" w:color="auto"/>
        <w:bottom w:val="none" w:sz="0" w:space="0" w:color="auto"/>
        <w:right w:val="none" w:sz="0" w:space="0" w:color="auto"/>
      </w:divBdr>
    </w:div>
    <w:div w:id="912815470">
      <w:marLeft w:val="0"/>
      <w:marRight w:val="0"/>
      <w:marTop w:val="0"/>
      <w:marBottom w:val="0"/>
      <w:divBdr>
        <w:top w:val="none" w:sz="0" w:space="0" w:color="auto"/>
        <w:left w:val="none" w:sz="0" w:space="0" w:color="auto"/>
        <w:bottom w:val="none" w:sz="0" w:space="0" w:color="auto"/>
        <w:right w:val="none" w:sz="0" w:space="0" w:color="auto"/>
      </w:divBdr>
    </w:div>
    <w:div w:id="912815471">
      <w:marLeft w:val="0"/>
      <w:marRight w:val="0"/>
      <w:marTop w:val="0"/>
      <w:marBottom w:val="0"/>
      <w:divBdr>
        <w:top w:val="none" w:sz="0" w:space="0" w:color="auto"/>
        <w:left w:val="none" w:sz="0" w:space="0" w:color="auto"/>
        <w:bottom w:val="none" w:sz="0" w:space="0" w:color="auto"/>
        <w:right w:val="none" w:sz="0" w:space="0" w:color="auto"/>
      </w:divBdr>
    </w:div>
    <w:div w:id="912815472">
      <w:marLeft w:val="0"/>
      <w:marRight w:val="0"/>
      <w:marTop w:val="0"/>
      <w:marBottom w:val="0"/>
      <w:divBdr>
        <w:top w:val="none" w:sz="0" w:space="0" w:color="auto"/>
        <w:left w:val="none" w:sz="0" w:space="0" w:color="auto"/>
        <w:bottom w:val="none" w:sz="0" w:space="0" w:color="auto"/>
        <w:right w:val="none" w:sz="0" w:space="0" w:color="auto"/>
      </w:divBdr>
    </w:div>
    <w:div w:id="912815473">
      <w:marLeft w:val="0"/>
      <w:marRight w:val="0"/>
      <w:marTop w:val="0"/>
      <w:marBottom w:val="0"/>
      <w:divBdr>
        <w:top w:val="none" w:sz="0" w:space="0" w:color="auto"/>
        <w:left w:val="none" w:sz="0" w:space="0" w:color="auto"/>
        <w:bottom w:val="none" w:sz="0" w:space="0" w:color="auto"/>
        <w:right w:val="none" w:sz="0" w:space="0" w:color="auto"/>
      </w:divBdr>
    </w:div>
    <w:div w:id="912815474">
      <w:marLeft w:val="0"/>
      <w:marRight w:val="0"/>
      <w:marTop w:val="0"/>
      <w:marBottom w:val="0"/>
      <w:divBdr>
        <w:top w:val="none" w:sz="0" w:space="0" w:color="auto"/>
        <w:left w:val="none" w:sz="0" w:space="0" w:color="auto"/>
        <w:bottom w:val="none" w:sz="0" w:space="0" w:color="auto"/>
        <w:right w:val="none" w:sz="0" w:space="0" w:color="auto"/>
      </w:divBdr>
    </w:div>
    <w:div w:id="912815475">
      <w:marLeft w:val="0"/>
      <w:marRight w:val="0"/>
      <w:marTop w:val="0"/>
      <w:marBottom w:val="0"/>
      <w:divBdr>
        <w:top w:val="none" w:sz="0" w:space="0" w:color="auto"/>
        <w:left w:val="none" w:sz="0" w:space="0" w:color="auto"/>
        <w:bottom w:val="none" w:sz="0" w:space="0" w:color="auto"/>
        <w:right w:val="none" w:sz="0" w:space="0" w:color="auto"/>
      </w:divBdr>
    </w:div>
    <w:div w:id="912815476">
      <w:marLeft w:val="0"/>
      <w:marRight w:val="0"/>
      <w:marTop w:val="0"/>
      <w:marBottom w:val="0"/>
      <w:divBdr>
        <w:top w:val="none" w:sz="0" w:space="0" w:color="auto"/>
        <w:left w:val="none" w:sz="0" w:space="0" w:color="auto"/>
        <w:bottom w:val="none" w:sz="0" w:space="0" w:color="auto"/>
        <w:right w:val="none" w:sz="0" w:space="0" w:color="auto"/>
      </w:divBdr>
    </w:div>
    <w:div w:id="912815477">
      <w:marLeft w:val="0"/>
      <w:marRight w:val="0"/>
      <w:marTop w:val="0"/>
      <w:marBottom w:val="0"/>
      <w:divBdr>
        <w:top w:val="none" w:sz="0" w:space="0" w:color="auto"/>
        <w:left w:val="none" w:sz="0" w:space="0" w:color="auto"/>
        <w:bottom w:val="none" w:sz="0" w:space="0" w:color="auto"/>
        <w:right w:val="none" w:sz="0" w:space="0" w:color="auto"/>
      </w:divBdr>
    </w:div>
    <w:div w:id="912815478">
      <w:marLeft w:val="0"/>
      <w:marRight w:val="0"/>
      <w:marTop w:val="0"/>
      <w:marBottom w:val="0"/>
      <w:divBdr>
        <w:top w:val="none" w:sz="0" w:space="0" w:color="auto"/>
        <w:left w:val="none" w:sz="0" w:space="0" w:color="auto"/>
        <w:bottom w:val="none" w:sz="0" w:space="0" w:color="auto"/>
        <w:right w:val="none" w:sz="0" w:space="0" w:color="auto"/>
      </w:divBdr>
    </w:div>
    <w:div w:id="912815479">
      <w:marLeft w:val="0"/>
      <w:marRight w:val="0"/>
      <w:marTop w:val="0"/>
      <w:marBottom w:val="0"/>
      <w:divBdr>
        <w:top w:val="none" w:sz="0" w:space="0" w:color="auto"/>
        <w:left w:val="none" w:sz="0" w:space="0" w:color="auto"/>
        <w:bottom w:val="none" w:sz="0" w:space="0" w:color="auto"/>
        <w:right w:val="none" w:sz="0" w:space="0" w:color="auto"/>
      </w:divBdr>
    </w:div>
    <w:div w:id="912815480">
      <w:marLeft w:val="0"/>
      <w:marRight w:val="0"/>
      <w:marTop w:val="0"/>
      <w:marBottom w:val="0"/>
      <w:divBdr>
        <w:top w:val="none" w:sz="0" w:space="0" w:color="auto"/>
        <w:left w:val="none" w:sz="0" w:space="0" w:color="auto"/>
        <w:bottom w:val="none" w:sz="0" w:space="0" w:color="auto"/>
        <w:right w:val="none" w:sz="0" w:space="0" w:color="auto"/>
      </w:divBdr>
    </w:div>
    <w:div w:id="912815481">
      <w:marLeft w:val="0"/>
      <w:marRight w:val="0"/>
      <w:marTop w:val="0"/>
      <w:marBottom w:val="0"/>
      <w:divBdr>
        <w:top w:val="none" w:sz="0" w:space="0" w:color="auto"/>
        <w:left w:val="none" w:sz="0" w:space="0" w:color="auto"/>
        <w:bottom w:val="none" w:sz="0" w:space="0" w:color="auto"/>
        <w:right w:val="none" w:sz="0" w:space="0" w:color="auto"/>
      </w:divBdr>
    </w:div>
    <w:div w:id="912815482">
      <w:marLeft w:val="0"/>
      <w:marRight w:val="0"/>
      <w:marTop w:val="0"/>
      <w:marBottom w:val="0"/>
      <w:divBdr>
        <w:top w:val="none" w:sz="0" w:space="0" w:color="auto"/>
        <w:left w:val="none" w:sz="0" w:space="0" w:color="auto"/>
        <w:bottom w:val="none" w:sz="0" w:space="0" w:color="auto"/>
        <w:right w:val="none" w:sz="0" w:space="0" w:color="auto"/>
      </w:divBdr>
    </w:div>
    <w:div w:id="912815483">
      <w:marLeft w:val="0"/>
      <w:marRight w:val="0"/>
      <w:marTop w:val="0"/>
      <w:marBottom w:val="0"/>
      <w:divBdr>
        <w:top w:val="none" w:sz="0" w:space="0" w:color="auto"/>
        <w:left w:val="none" w:sz="0" w:space="0" w:color="auto"/>
        <w:bottom w:val="none" w:sz="0" w:space="0" w:color="auto"/>
        <w:right w:val="none" w:sz="0" w:space="0" w:color="auto"/>
      </w:divBdr>
    </w:div>
    <w:div w:id="912815484">
      <w:marLeft w:val="0"/>
      <w:marRight w:val="0"/>
      <w:marTop w:val="0"/>
      <w:marBottom w:val="0"/>
      <w:divBdr>
        <w:top w:val="none" w:sz="0" w:space="0" w:color="auto"/>
        <w:left w:val="none" w:sz="0" w:space="0" w:color="auto"/>
        <w:bottom w:val="none" w:sz="0" w:space="0" w:color="auto"/>
        <w:right w:val="none" w:sz="0" w:space="0" w:color="auto"/>
      </w:divBdr>
    </w:div>
    <w:div w:id="912815485">
      <w:marLeft w:val="0"/>
      <w:marRight w:val="0"/>
      <w:marTop w:val="0"/>
      <w:marBottom w:val="0"/>
      <w:divBdr>
        <w:top w:val="none" w:sz="0" w:space="0" w:color="auto"/>
        <w:left w:val="none" w:sz="0" w:space="0" w:color="auto"/>
        <w:bottom w:val="none" w:sz="0" w:space="0" w:color="auto"/>
        <w:right w:val="none" w:sz="0" w:space="0" w:color="auto"/>
      </w:divBdr>
    </w:div>
    <w:div w:id="912815486">
      <w:marLeft w:val="0"/>
      <w:marRight w:val="0"/>
      <w:marTop w:val="0"/>
      <w:marBottom w:val="0"/>
      <w:divBdr>
        <w:top w:val="none" w:sz="0" w:space="0" w:color="auto"/>
        <w:left w:val="none" w:sz="0" w:space="0" w:color="auto"/>
        <w:bottom w:val="none" w:sz="0" w:space="0" w:color="auto"/>
        <w:right w:val="none" w:sz="0" w:space="0" w:color="auto"/>
      </w:divBdr>
    </w:div>
    <w:div w:id="912815487">
      <w:marLeft w:val="0"/>
      <w:marRight w:val="0"/>
      <w:marTop w:val="0"/>
      <w:marBottom w:val="0"/>
      <w:divBdr>
        <w:top w:val="none" w:sz="0" w:space="0" w:color="auto"/>
        <w:left w:val="none" w:sz="0" w:space="0" w:color="auto"/>
        <w:bottom w:val="none" w:sz="0" w:space="0" w:color="auto"/>
        <w:right w:val="none" w:sz="0" w:space="0" w:color="auto"/>
      </w:divBdr>
    </w:div>
    <w:div w:id="912815488">
      <w:marLeft w:val="0"/>
      <w:marRight w:val="0"/>
      <w:marTop w:val="0"/>
      <w:marBottom w:val="0"/>
      <w:divBdr>
        <w:top w:val="none" w:sz="0" w:space="0" w:color="auto"/>
        <w:left w:val="none" w:sz="0" w:space="0" w:color="auto"/>
        <w:bottom w:val="none" w:sz="0" w:space="0" w:color="auto"/>
        <w:right w:val="none" w:sz="0" w:space="0" w:color="auto"/>
      </w:divBdr>
    </w:div>
    <w:div w:id="912815489">
      <w:marLeft w:val="0"/>
      <w:marRight w:val="0"/>
      <w:marTop w:val="0"/>
      <w:marBottom w:val="0"/>
      <w:divBdr>
        <w:top w:val="none" w:sz="0" w:space="0" w:color="auto"/>
        <w:left w:val="none" w:sz="0" w:space="0" w:color="auto"/>
        <w:bottom w:val="none" w:sz="0" w:space="0" w:color="auto"/>
        <w:right w:val="none" w:sz="0" w:space="0" w:color="auto"/>
      </w:divBdr>
    </w:div>
    <w:div w:id="912815490">
      <w:marLeft w:val="0"/>
      <w:marRight w:val="0"/>
      <w:marTop w:val="0"/>
      <w:marBottom w:val="0"/>
      <w:divBdr>
        <w:top w:val="none" w:sz="0" w:space="0" w:color="auto"/>
        <w:left w:val="none" w:sz="0" w:space="0" w:color="auto"/>
        <w:bottom w:val="none" w:sz="0" w:space="0" w:color="auto"/>
        <w:right w:val="none" w:sz="0" w:space="0" w:color="auto"/>
      </w:divBdr>
    </w:div>
    <w:div w:id="912815491">
      <w:marLeft w:val="0"/>
      <w:marRight w:val="0"/>
      <w:marTop w:val="0"/>
      <w:marBottom w:val="0"/>
      <w:divBdr>
        <w:top w:val="none" w:sz="0" w:space="0" w:color="auto"/>
        <w:left w:val="none" w:sz="0" w:space="0" w:color="auto"/>
        <w:bottom w:val="none" w:sz="0" w:space="0" w:color="auto"/>
        <w:right w:val="none" w:sz="0" w:space="0" w:color="auto"/>
      </w:divBdr>
    </w:div>
    <w:div w:id="912815492">
      <w:marLeft w:val="0"/>
      <w:marRight w:val="0"/>
      <w:marTop w:val="0"/>
      <w:marBottom w:val="0"/>
      <w:divBdr>
        <w:top w:val="none" w:sz="0" w:space="0" w:color="auto"/>
        <w:left w:val="none" w:sz="0" w:space="0" w:color="auto"/>
        <w:bottom w:val="none" w:sz="0" w:space="0" w:color="auto"/>
        <w:right w:val="none" w:sz="0" w:space="0" w:color="auto"/>
      </w:divBdr>
    </w:div>
    <w:div w:id="912815493">
      <w:marLeft w:val="0"/>
      <w:marRight w:val="0"/>
      <w:marTop w:val="0"/>
      <w:marBottom w:val="0"/>
      <w:divBdr>
        <w:top w:val="none" w:sz="0" w:space="0" w:color="auto"/>
        <w:left w:val="none" w:sz="0" w:space="0" w:color="auto"/>
        <w:bottom w:val="none" w:sz="0" w:space="0" w:color="auto"/>
        <w:right w:val="none" w:sz="0" w:space="0" w:color="auto"/>
      </w:divBdr>
    </w:div>
    <w:div w:id="912815494">
      <w:marLeft w:val="0"/>
      <w:marRight w:val="0"/>
      <w:marTop w:val="0"/>
      <w:marBottom w:val="0"/>
      <w:divBdr>
        <w:top w:val="none" w:sz="0" w:space="0" w:color="auto"/>
        <w:left w:val="none" w:sz="0" w:space="0" w:color="auto"/>
        <w:bottom w:val="none" w:sz="0" w:space="0" w:color="auto"/>
        <w:right w:val="none" w:sz="0" w:space="0" w:color="auto"/>
      </w:divBdr>
    </w:div>
    <w:div w:id="912815496">
      <w:marLeft w:val="0"/>
      <w:marRight w:val="0"/>
      <w:marTop w:val="0"/>
      <w:marBottom w:val="0"/>
      <w:divBdr>
        <w:top w:val="none" w:sz="0" w:space="0" w:color="auto"/>
        <w:left w:val="none" w:sz="0" w:space="0" w:color="auto"/>
        <w:bottom w:val="none" w:sz="0" w:space="0" w:color="auto"/>
        <w:right w:val="none" w:sz="0" w:space="0" w:color="auto"/>
      </w:divBdr>
      <w:divsChild>
        <w:div w:id="912815498">
          <w:marLeft w:val="0"/>
          <w:marRight w:val="0"/>
          <w:marTop w:val="0"/>
          <w:marBottom w:val="0"/>
          <w:divBdr>
            <w:top w:val="none" w:sz="0" w:space="0" w:color="auto"/>
            <w:left w:val="none" w:sz="0" w:space="0" w:color="auto"/>
            <w:bottom w:val="none" w:sz="0" w:space="0" w:color="auto"/>
            <w:right w:val="none" w:sz="0" w:space="0" w:color="auto"/>
          </w:divBdr>
          <w:divsChild>
            <w:div w:id="9128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00">
      <w:marLeft w:val="0"/>
      <w:marRight w:val="0"/>
      <w:marTop w:val="0"/>
      <w:marBottom w:val="0"/>
      <w:divBdr>
        <w:top w:val="none" w:sz="0" w:space="0" w:color="auto"/>
        <w:left w:val="none" w:sz="0" w:space="0" w:color="auto"/>
        <w:bottom w:val="none" w:sz="0" w:space="0" w:color="auto"/>
        <w:right w:val="none" w:sz="0" w:space="0" w:color="auto"/>
      </w:divBdr>
      <w:divsChild>
        <w:div w:id="912815499">
          <w:marLeft w:val="0"/>
          <w:marRight w:val="0"/>
          <w:marTop w:val="0"/>
          <w:marBottom w:val="0"/>
          <w:divBdr>
            <w:top w:val="none" w:sz="0" w:space="0" w:color="auto"/>
            <w:left w:val="none" w:sz="0" w:space="0" w:color="auto"/>
            <w:bottom w:val="none" w:sz="0" w:space="0" w:color="auto"/>
            <w:right w:val="none" w:sz="0" w:space="0" w:color="auto"/>
          </w:divBdr>
        </w:div>
      </w:divsChild>
    </w:div>
    <w:div w:id="912815501">
      <w:marLeft w:val="0"/>
      <w:marRight w:val="0"/>
      <w:marTop w:val="0"/>
      <w:marBottom w:val="0"/>
      <w:divBdr>
        <w:top w:val="none" w:sz="0" w:space="0" w:color="auto"/>
        <w:left w:val="none" w:sz="0" w:space="0" w:color="auto"/>
        <w:bottom w:val="none" w:sz="0" w:space="0" w:color="auto"/>
        <w:right w:val="none" w:sz="0" w:space="0" w:color="auto"/>
      </w:divBdr>
      <w:divsChild>
        <w:div w:id="912815515">
          <w:marLeft w:val="0"/>
          <w:marRight w:val="0"/>
          <w:marTop w:val="0"/>
          <w:marBottom w:val="0"/>
          <w:divBdr>
            <w:top w:val="none" w:sz="0" w:space="0" w:color="auto"/>
            <w:left w:val="none" w:sz="0" w:space="0" w:color="auto"/>
            <w:bottom w:val="none" w:sz="0" w:space="0" w:color="auto"/>
            <w:right w:val="none" w:sz="0" w:space="0" w:color="auto"/>
          </w:divBdr>
          <w:divsChild>
            <w:div w:id="91281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05">
      <w:marLeft w:val="0"/>
      <w:marRight w:val="0"/>
      <w:marTop w:val="0"/>
      <w:marBottom w:val="0"/>
      <w:divBdr>
        <w:top w:val="none" w:sz="0" w:space="0" w:color="auto"/>
        <w:left w:val="none" w:sz="0" w:space="0" w:color="auto"/>
        <w:bottom w:val="none" w:sz="0" w:space="0" w:color="auto"/>
        <w:right w:val="none" w:sz="0" w:space="0" w:color="auto"/>
      </w:divBdr>
      <w:divsChild>
        <w:div w:id="912815516">
          <w:marLeft w:val="0"/>
          <w:marRight w:val="0"/>
          <w:marTop w:val="0"/>
          <w:marBottom w:val="0"/>
          <w:divBdr>
            <w:top w:val="none" w:sz="0" w:space="0" w:color="auto"/>
            <w:left w:val="none" w:sz="0" w:space="0" w:color="auto"/>
            <w:bottom w:val="none" w:sz="0" w:space="0" w:color="auto"/>
            <w:right w:val="none" w:sz="0" w:space="0" w:color="auto"/>
          </w:divBdr>
          <w:divsChild>
            <w:div w:id="91281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09">
      <w:marLeft w:val="0"/>
      <w:marRight w:val="0"/>
      <w:marTop w:val="0"/>
      <w:marBottom w:val="0"/>
      <w:divBdr>
        <w:top w:val="none" w:sz="0" w:space="0" w:color="auto"/>
        <w:left w:val="none" w:sz="0" w:space="0" w:color="auto"/>
        <w:bottom w:val="none" w:sz="0" w:space="0" w:color="auto"/>
        <w:right w:val="none" w:sz="0" w:space="0" w:color="auto"/>
      </w:divBdr>
      <w:divsChild>
        <w:div w:id="912815503">
          <w:marLeft w:val="0"/>
          <w:marRight w:val="0"/>
          <w:marTop w:val="0"/>
          <w:marBottom w:val="0"/>
          <w:divBdr>
            <w:top w:val="none" w:sz="0" w:space="0" w:color="auto"/>
            <w:left w:val="none" w:sz="0" w:space="0" w:color="auto"/>
            <w:bottom w:val="none" w:sz="0" w:space="0" w:color="auto"/>
            <w:right w:val="none" w:sz="0" w:space="0" w:color="auto"/>
          </w:divBdr>
          <w:divsChild>
            <w:div w:id="912815495">
              <w:marLeft w:val="0"/>
              <w:marRight w:val="0"/>
              <w:marTop w:val="0"/>
              <w:marBottom w:val="0"/>
              <w:divBdr>
                <w:top w:val="none" w:sz="0" w:space="0" w:color="auto"/>
                <w:left w:val="none" w:sz="0" w:space="0" w:color="auto"/>
                <w:bottom w:val="none" w:sz="0" w:space="0" w:color="auto"/>
                <w:right w:val="none" w:sz="0" w:space="0" w:color="auto"/>
              </w:divBdr>
            </w:div>
            <w:div w:id="91281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10">
      <w:marLeft w:val="0"/>
      <w:marRight w:val="0"/>
      <w:marTop w:val="0"/>
      <w:marBottom w:val="0"/>
      <w:divBdr>
        <w:top w:val="none" w:sz="0" w:space="0" w:color="auto"/>
        <w:left w:val="none" w:sz="0" w:space="0" w:color="auto"/>
        <w:bottom w:val="none" w:sz="0" w:space="0" w:color="auto"/>
        <w:right w:val="none" w:sz="0" w:space="0" w:color="auto"/>
      </w:divBdr>
      <w:divsChild>
        <w:div w:id="912815519">
          <w:marLeft w:val="0"/>
          <w:marRight w:val="0"/>
          <w:marTop w:val="0"/>
          <w:marBottom w:val="0"/>
          <w:divBdr>
            <w:top w:val="none" w:sz="0" w:space="0" w:color="auto"/>
            <w:left w:val="none" w:sz="0" w:space="0" w:color="auto"/>
            <w:bottom w:val="none" w:sz="0" w:space="0" w:color="auto"/>
            <w:right w:val="none" w:sz="0" w:space="0" w:color="auto"/>
          </w:divBdr>
          <w:divsChild>
            <w:div w:id="91281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11">
      <w:marLeft w:val="0"/>
      <w:marRight w:val="0"/>
      <w:marTop w:val="0"/>
      <w:marBottom w:val="0"/>
      <w:divBdr>
        <w:top w:val="none" w:sz="0" w:space="0" w:color="auto"/>
        <w:left w:val="none" w:sz="0" w:space="0" w:color="auto"/>
        <w:bottom w:val="none" w:sz="0" w:space="0" w:color="auto"/>
        <w:right w:val="none" w:sz="0" w:space="0" w:color="auto"/>
      </w:divBdr>
      <w:divsChild>
        <w:div w:id="912815514">
          <w:marLeft w:val="0"/>
          <w:marRight w:val="0"/>
          <w:marTop w:val="0"/>
          <w:marBottom w:val="0"/>
          <w:divBdr>
            <w:top w:val="none" w:sz="0" w:space="0" w:color="auto"/>
            <w:left w:val="none" w:sz="0" w:space="0" w:color="auto"/>
            <w:bottom w:val="none" w:sz="0" w:space="0" w:color="auto"/>
            <w:right w:val="none" w:sz="0" w:space="0" w:color="auto"/>
          </w:divBdr>
          <w:divsChild>
            <w:div w:id="91281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12">
      <w:marLeft w:val="0"/>
      <w:marRight w:val="0"/>
      <w:marTop w:val="0"/>
      <w:marBottom w:val="0"/>
      <w:divBdr>
        <w:top w:val="none" w:sz="0" w:space="0" w:color="auto"/>
        <w:left w:val="none" w:sz="0" w:space="0" w:color="auto"/>
        <w:bottom w:val="none" w:sz="0" w:space="0" w:color="auto"/>
        <w:right w:val="none" w:sz="0" w:space="0" w:color="auto"/>
      </w:divBdr>
      <w:divsChild>
        <w:div w:id="912815504">
          <w:marLeft w:val="0"/>
          <w:marRight w:val="0"/>
          <w:marTop w:val="0"/>
          <w:marBottom w:val="0"/>
          <w:divBdr>
            <w:top w:val="none" w:sz="0" w:space="0" w:color="auto"/>
            <w:left w:val="none" w:sz="0" w:space="0" w:color="auto"/>
            <w:bottom w:val="none" w:sz="0" w:space="0" w:color="auto"/>
            <w:right w:val="none" w:sz="0" w:space="0" w:color="auto"/>
          </w:divBdr>
          <w:divsChild>
            <w:div w:id="91281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5520">
      <w:marLeft w:val="0"/>
      <w:marRight w:val="0"/>
      <w:marTop w:val="0"/>
      <w:marBottom w:val="0"/>
      <w:divBdr>
        <w:top w:val="none" w:sz="0" w:space="0" w:color="auto"/>
        <w:left w:val="none" w:sz="0" w:space="0" w:color="auto"/>
        <w:bottom w:val="none" w:sz="0" w:space="0" w:color="auto"/>
        <w:right w:val="none" w:sz="0" w:space="0" w:color="auto"/>
      </w:divBdr>
      <w:divsChild>
        <w:div w:id="912815507">
          <w:marLeft w:val="0"/>
          <w:marRight w:val="0"/>
          <w:marTop w:val="0"/>
          <w:marBottom w:val="0"/>
          <w:divBdr>
            <w:top w:val="none" w:sz="0" w:space="0" w:color="auto"/>
            <w:left w:val="none" w:sz="0" w:space="0" w:color="auto"/>
            <w:bottom w:val="none" w:sz="0" w:space="0" w:color="auto"/>
            <w:right w:val="none" w:sz="0" w:space="0" w:color="auto"/>
          </w:divBdr>
        </w:div>
      </w:divsChild>
    </w:div>
    <w:div w:id="912815521">
      <w:marLeft w:val="0"/>
      <w:marRight w:val="0"/>
      <w:marTop w:val="0"/>
      <w:marBottom w:val="0"/>
      <w:divBdr>
        <w:top w:val="none" w:sz="0" w:space="0" w:color="auto"/>
        <w:left w:val="none" w:sz="0" w:space="0" w:color="auto"/>
        <w:bottom w:val="none" w:sz="0" w:space="0" w:color="auto"/>
        <w:right w:val="none" w:sz="0" w:space="0" w:color="auto"/>
      </w:divBdr>
    </w:div>
    <w:div w:id="912815527">
      <w:marLeft w:val="0"/>
      <w:marRight w:val="0"/>
      <w:marTop w:val="0"/>
      <w:marBottom w:val="0"/>
      <w:divBdr>
        <w:top w:val="none" w:sz="0" w:space="0" w:color="auto"/>
        <w:left w:val="none" w:sz="0" w:space="0" w:color="auto"/>
        <w:bottom w:val="none" w:sz="0" w:space="0" w:color="auto"/>
        <w:right w:val="none" w:sz="0" w:space="0" w:color="auto"/>
      </w:divBdr>
    </w:div>
    <w:div w:id="912815529">
      <w:marLeft w:val="0"/>
      <w:marRight w:val="0"/>
      <w:marTop w:val="0"/>
      <w:marBottom w:val="0"/>
      <w:divBdr>
        <w:top w:val="none" w:sz="0" w:space="0" w:color="auto"/>
        <w:left w:val="none" w:sz="0" w:space="0" w:color="auto"/>
        <w:bottom w:val="none" w:sz="0" w:space="0" w:color="auto"/>
        <w:right w:val="none" w:sz="0" w:space="0" w:color="auto"/>
      </w:divBdr>
    </w:div>
    <w:div w:id="912815536">
      <w:marLeft w:val="0"/>
      <w:marRight w:val="0"/>
      <w:marTop w:val="0"/>
      <w:marBottom w:val="0"/>
      <w:divBdr>
        <w:top w:val="none" w:sz="0" w:space="0" w:color="auto"/>
        <w:left w:val="none" w:sz="0" w:space="0" w:color="auto"/>
        <w:bottom w:val="none" w:sz="0" w:space="0" w:color="auto"/>
        <w:right w:val="none" w:sz="0" w:space="0" w:color="auto"/>
      </w:divBdr>
      <w:divsChild>
        <w:div w:id="912815545">
          <w:marLeft w:val="0"/>
          <w:marRight w:val="0"/>
          <w:marTop w:val="0"/>
          <w:marBottom w:val="0"/>
          <w:divBdr>
            <w:top w:val="none" w:sz="0" w:space="0" w:color="auto"/>
            <w:left w:val="none" w:sz="0" w:space="0" w:color="auto"/>
            <w:bottom w:val="none" w:sz="0" w:space="0" w:color="auto"/>
            <w:right w:val="none" w:sz="0" w:space="0" w:color="auto"/>
          </w:divBdr>
          <w:divsChild>
            <w:div w:id="912815543">
              <w:marLeft w:val="0"/>
              <w:marRight w:val="0"/>
              <w:marTop w:val="0"/>
              <w:marBottom w:val="0"/>
              <w:divBdr>
                <w:top w:val="none" w:sz="0" w:space="0" w:color="auto"/>
                <w:left w:val="none" w:sz="0" w:space="0" w:color="auto"/>
                <w:bottom w:val="none" w:sz="0" w:space="0" w:color="auto"/>
                <w:right w:val="none" w:sz="0" w:space="0" w:color="auto"/>
              </w:divBdr>
              <w:divsChild>
                <w:div w:id="912815261">
                  <w:marLeft w:val="0"/>
                  <w:marRight w:val="0"/>
                  <w:marTop w:val="0"/>
                  <w:marBottom w:val="0"/>
                  <w:divBdr>
                    <w:top w:val="none" w:sz="0" w:space="0" w:color="auto"/>
                    <w:left w:val="none" w:sz="0" w:space="0" w:color="auto"/>
                    <w:bottom w:val="none" w:sz="0" w:space="0" w:color="auto"/>
                    <w:right w:val="none" w:sz="0" w:space="0" w:color="auto"/>
                  </w:divBdr>
                </w:div>
                <w:div w:id="912815522">
                  <w:marLeft w:val="0"/>
                  <w:marRight w:val="0"/>
                  <w:marTop w:val="0"/>
                  <w:marBottom w:val="0"/>
                  <w:divBdr>
                    <w:top w:val="none" w:sz="0" w:space="0" w:color="auto"/>
                    <w:left w:val="none" w:sz="0" w:space="0" w:color="auto"/>
                    <w:bottom w:val="none" w:sz="0" w:space="0" w:color="auto"/>
                    <w:right w:val="none" w:sz="0" w:space="0" w:color="auto"/>
                  </w:divBdr>
                </w:div>
                <w:div w:id="912815523">
                  <w:marLeft w:val="0"/>
                  <w:marRight w:val="0"/>
                  <w:marTop w:val="0"/>
                  <w:marBottom w:val="0"/>
                  <w:divBdr>
                    <w:top w:val="none" w:sz="0" w:space="0" w:color="auto"/>
                    <w:left w:val="none" w:sz="0" w:space="0" w:color="auto"/>
                    <w:bottom w:val="none" w:sz="0" w:space="0" w:color="auto"/>
                    <w:right w:val="none" w:sz="0" w:space="0" w:color="auto"/>
                  </w:divBdr>
                </w:div>
                <w:div w:id="912815528">
                  <w:marLeft w:val="0"/>
                  <w:marRight w:val="0"/>
                  <w:marTop w:val="0"/>
                  <w:marBottom w:val="0"/>
                  <w:divBdr>
                    <w:top w:val="none" w:sz="0" w:space="0" w:color="auto"/>
                    <w:left w:val="none" w:sz="0" w:space="0" w:color="auto"/>
                    <w:bottom w:val="none" w:sz="0" w:space="0" w:color="auto"/>
                    <w:right w:val="none" w:sz="0" w:space="0" w:color="auto"/>
                  </w:divBdr>
                </w:div>
                <w:div w:id="912815530">
                  <w:marLeft w:val="0"/>
                  <w:marRight w:val="0"/>
                  <w:marTop w:val="0"/>
                  <w:marBottom w:val="0"/>
                  <w:divBdr>
                    <w:top w:val="none" w:sz="0" w:space="0" w:color="auto"/>
                    <w:left w:val="none" w:sz="0" w:space="0" w:color="auto"/>
                    <w:bottom w:val="none" w:sz="0" w:space="0" w:color="auto"/>
                    <w:right w:val="none" w:sz="0" w:space="0" w:color="auto"/>
                  </w:divBdr>
                </w:div>
                <w:div w:id="912815531">
                  <w:marLeft w:val="0"/>
                  <w:marRight w:val="0"/>
                  <w:marTop w:val="0"/>
                  <w:marBottom w:val="0"/>
                  <w:divBdr>
                    <w:top w:val="none" w:sz="0" w:space="0" w:color="auto"/>
                    <w:left w:val="none" w:sz="0" w:space="0" w:color="auto"/>
                    <w:bottom w:val="none" w:sz="0" w:space="0" w:color="auto"/>
                    <w:right w:val="none" w:sz="0" w:space="0" w:color="auto"/>
                  </w:divBdr>
                </w:div>
                <w:div w:id="912815535">
                  <w:marLeft w:val="0"/>
                  <w:marRight w:val="0"/>
                  <w:marTop w:val="0"/>
                  <w:marBottom w:val="0"/>
                  <w:divBdr>
                    <w:top w:val="none" w:sz="0" w:space="0" w:color="auto"/>
                    <w:left w:val="none" w:sz="0" w:space="0" w:color="auto"/>
                    <w:bottom w:val="none" w:sz="0" w:space="0" w:color="auto"/>
                    <w:right w:val="none" w:sz="0" w:space="0" w:color="auto"/>
                  </w:divBdr>
                </w:div>
                <w:div w:id="912815538">
                  <w:marLeft w:val="0"/>
                  <w:marRight w:val="0"/>
                  <w:marTop w:val="0"/>
                  <w:marBottom w:val="0"/>
                  <w:divBdr>
                    <w:top w:val="none" w:sz="0" w:space="0" w:color="auto"/>
                    <w:left w:val="none" w:sz="0" w:space="0" w:color="auto"/>
                    <w:bottom w:val="none" w:sz="0" w:space="0" w:color="auto"/>
                    <w:right w:val="none" w:sz="0" w:space="0" w:color="auto"/>
                  </w:divBdr>
                </w:div>
                <w:div w:id="912815540">
                  <w:marLeft w:val="0"/>
                  <w:marRight w:val="0"/>
                  <w:marTop w:val="0"/>
                  <w:marBottom w:val="0"/>
                  <w:divBdr>
                    <w:top w:val="none" w:sz="0" w:space="0" w:color="auto"/>
                    <w:left w:val="none" w:sz="0" w:space="0" w:color="auto"/>
                    <w:bottom w:val="none" w:sz="0" w:space="0" w:color="auto"/>
                    <w:right w:val="none" w:sz="0" w:space="0" w:color="auto"/>
                  </w:divBdr>
                </w:div>
                <w:div w:id="912815541">
                  <w:marLeft w:val="0"/>
                  <w:marRight w:val="0"/>
                  <w:marTop w:val="0"/>
                  <w:marBottom w:val="0"/>
                  <w:divBdr>
                    <w:top w:val="none" w:sz="0" w:space="0" w:color="auto"/>
                    <w:left w:val="none" w:sz="0" w:space="0" w:color="auto"/>
                    <w:bottom w:val="none" w:sz="0" w:space="0" w:color="auto"/>
                    <w:right w:val="none" w:sz="0" w:space="0" w:color="auto"/>
                  </w:divBdr>
                </w:div>
                <w:div w:id="91281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5537">
      <w:marLeft w:val="0"/>
      <w:marRight w:val="0"/>
      <w:marTop w:val="0"/>
      <w:marBottom w:val="0"/>
      <w:divBdr>
        <w:top w:val="none" w:sz="0" w:space="0" w:color="auto"/>
        <w:left w:val="none" w:sz="0" w:space="0" w:color="auto"/>
        <w:bottom w:val="none" w:sz="0" w:space="0" w:color="auto"/>
        <w:right w:val="none" w:sz="0" w:space="0" w:color="auto"/>
      </w:divBdr>
    </w:div>
    <w:div w:id="1379010454">
      <w:bodyDiv w:val="1"/>
      <w:marLeft w:val="0"/>
      <w:marRight w:val="0"/>
      <w:marTop w:val="0"/>
      <w:marBottom w:val="0"/>
      <w:divBdr>
        <w:top w:val="none" w:sz="0" w:space="0" w:color="auto"/>
        <w:left w:val="none" w:sz="0" w:space="0" w:color="auto"/>
        <w:bottom w:val="none" w:sz="0" w:space="0" w:color="auto"/>
        <w:right w:val="none" w:sz="0" w:space="0" w:color="auto"/>
      </w:divBdr>
    </w:div>
    <w:div w:id="1602563592">
      <w:bodyDiv w:val="1"/>
      <w:marLeft w:val="0"/>
      <w:marRight w:val="0"/>
      <w:marTop w:val="0"/>
      <w:marBottom w:val="0"/>
      <w:divBdr>
        <w:top w:val="none" w:sz="0" w:space="0" w:color="auto"/>
        <w:left w:val="none" w:sz="0" w:space="0" w:color="auto"/>
        <w:bottom w:val="none" w:sz="0" w:space="0" w:color="auto"/>
        <w:right w:val="none" w:sz="0" w:space="0" w:color="auto"/>
      </w:divBdr>
    </w:div>
    <w:div w:id="2044820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8.png"/><Relationship Id="rId42" Type="http://schemas.openxmlformats.org/officeDocument/2006/relationships/image" Target="media/image18.emf"/><Relationship Id="rId47" Type="http://schemas.openxmlformats.org/officeDocument/2006/relationships/image" Target="media/image20.png"/><Relationship Id="rId63" Type="http://schemas.openxmlformats.org/officeDocument/2006/relationships/hyperlink" Target="http://en.wikipedia.org/wiki/Breusch%E2%80%93Pagan_test" TargetMode="External"/><Relationship Id="rId68" Type="http://schemas.openxmlformats.org/officeDocument/2006/relationships/image" Target="media/image36.emf"/><Relationship Id="rId84" Type="http://schemas.openxmlformats.org/officeDocument/2006/relationships/hyperlink" Target="http://www.sciencedirect.com/science/journal/07398859" TargetMode="External"/><Relationship Id="rId89" Type="http://schemas.openxmlformats.org/officeDocument/2006/relationships/image" Target="media/image42.png"/><Relationship Id="rId16" Type="http://schemas.openxmlformats.org/officeDocument/2006/relationships/image" Target="media/image3.png"/><Relationship Id="rId11" Type="http://schemas.openxmlformats.org/officeDocument/2006/relationships/header" Target="header1.xml"/><Relationship Id="rId32" Type="http://schemas.openxmlformats.org/officeDocument/2006/relationships/image" Target="media/image13.emf"/><Relationship Id="rId37" Type="http://schemas.microsoft.com/office/2007/relationships/diagramDrawing" Target="diagrams/drawing2.xml"/><Relationship Id="rId53" Type="http://schemas.openxmlformats.org/officeDocument/2006/relationships/hyperlink" Target="http://en.wikipedia.org/wiki/Breusch%E2%80%93Pagan_test" TargetMode="External"/><Relationship Id="rId58" Type="http://schemas.openxmlformats.org/officeDocument/2006/relationships/image" Target="media/image28.png"/><Relationship Id="rId74" Type="http://schemas.openxmlformats.org/officeDocument/2006/relationships/hyperlink" Target="http://ideas.repec.org/a/bla/jindec/v35y1986i2p209-23.html" TargetMode="External"/><Relationship Id="rId79" Type="http://schemas.openxmlformats.org/officeDocument/2006/relationships/hyperlink" Target="http://anet.ua.ac.be/acadbib/ua/00557" TargetMode="External"/><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3.png"/><Relationship Id="rId95" Type="http://schemas.openxmlformats.org/officeDocument/2006/relationships/image" Target="media/image48.png"/><Relationship Id="rId22" Type="http://schemas.openxmlformats.org/officeDocument/2006/relationships/diagramData" Target="diagrams/data1.xml"/><Relationship Id="rId27" Type="http://schemas.openxmlformats.org/officeDocument/2006/relationships/image" Target="media/image9.jpeg"/><Relationship Id="rId43" Type="http://schemas.openxmlformats.org/officeDocument/2006/relationships/hyperlink" Target="http://en.wikipedia.org/wiki/Breusch%E2%80%93Pagan_test" TargetMode="External"/><Relationship Id="rId48" Type="http://schemas.openxmlformats.org/officeDocument/2006/relationships/image" Target="media/image21.png"/><Relationship Id="rId64" Type="http://schemas.openxmlformats.org/officeDocument/2006/relationships/hyperlink" Target="http://en.wikipedia.org/wiki/Breusch%E2%80%93Pagan_test" TargetMode="External"/><Relationship Id="rId69" Type="http://schemas.openxmlformats.org/officeDocument/2006/relationships/image" Target="media/image37.emf"/><Relationship Id="rId80" Type="http://schemas.openxmlformats.org/officeDocument/2006/relationships/hyperlink" Target="http://pt.wikipedia.org/wiki/Karl_Pearson" TargetMode="External"/><Relationship Id="rId85" Type="http://schemas.openxmlformats.org/officeDocument/2006/relationships/hyperlink" Target="http://www.sciencedirect.com/science/journal/09658564" TargetMode="Externa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diagramColors" Target="diagrams/colors1.xml"/><Relationship Id="rId33" Type="http://schemas.openxmlformats.org/officeDocument/2006/relationships/diagramData" Target="diagrams/data2.xml"/><Relationship Id="rId38" Type="http://schemas.openxmlformats.org/officeDocument/2006/relationships/image" Target="media/image14.emf"/><Relationship Id="rId46" Type="http://schemas.openxmlformats.org/officeDocument/2006/relationships/image" Target="media/image19.emf"/><Relationship Id="rId59" Type="http://schemas.openxmlformats.org/officeDocument/2006/relationships/image" Target="media/image29.png"/><Relationship Id="rId67" Type="http://schemas.openxmlformats.org/officeDocument/2006/relationships/image" Target="media/image35.emf"/><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hyperlink" Target="http://en.wikipedia.org/wiki/Breusch%E2%80%93Pagan_test" TargetMode="External"/><Relationship Id="rId62" Type="http://schemas.openxmlformats.org/officeDocument/2006/relationships/image" Target="media/image32.emf"/><Relationship Id="rId70" Type="http://schemas.openxmlformats.org/officeDocument/2006/relationships/image" Target="media/image38.emf"/><Relationship Id="rId75" Type="http://schemas.openxmlformats.org/officeDocument/2006/relationships/hyperlink" Target="http://ideas.repec.org/s/bla/jindec.html" TargetMode="External"/><Relationship Id="rId83" Type="http://schemas.openxmlformats.org/officeDocument/2006/relationships/hyperlink" Target="http://ideas.repec.org/s/can/series.html" TargetMode="External"/><Relationship Id="rId88" Type="http://schemas.openxmlformats.org/officeDocument/2006/relationships/image" Target="media/image41.png"/><Relationship Id="rId91" Type="http://schemas.openxmlformats.org/officeDocument/2006/relationships/image" Target="media/image44.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n.wikipedia.org/wiki/Twenty-foot_equivalent_unit" TargetMode="External"/><Relationship Id="rId23" Type="http://schemas.openxmlformats.org/officeDocument/2006/relationships/diagramLayout" Target="diagrams/layout1.xml"/><Relationship Id="rId28" Type="http://schemas.openxmlformats.org/officeDocument/2006/relationships/image" Target="media/image10.jpeg"/><Relationship Id="rId36" Type="http://schemas.openxmlformats.org/officeDocument/2006/relationships/diagramColors" Target="diagrams/colors2.xml"/><Relationship Id="rId49" Type="http://schemas.openxmlformats.org/officeDocument/2006/relationships/image" Target="media/image22.emf"/><Relationship Id="rId57" Type="http://schemas.openxmlformats.org/officeDocument/2006/relationships/image" Target="media/image27.png"/><Relationship Id="rId10" Type="http://schemas.openxmlformats.org/officeDocument/2006/relationships/image" Target="media/image2.jpeg"/><Relationship Id="rId31" Type="http://schemas.openxmlformats.org/officeDocument/2006/relationships/hyperlink" Target="http://en.wikipedia.org/wiki/Enterprise_resource_planning" TargetMode="External"/><Relationship Id="rId44" Type="http://schemas.openxmlformats.org/officeDocument/2006/relationships/hyperlink" Target="http://en.wikipedia.org/wiki/Breusch%E2%80%93Pagan_test" TargetMode="External"/><Relationship Id="rId52" Type="http://schemas.openxmlformats.org/officeDocument/2006/relationships/image" Target="media/image25.wmf"/><Relationship Id="rId60" Type="http://schemas.openxmlformats.org/officeDocument/2006/relationships/image" Target="media/image30.emf"/><Relationship Id="rId65" Type="http://schemas.openxmlformats.org/officeDocument/2006/relationships/image" Target="media/image33.emf"/><Relationship Id="rId73" Type="http://schemas.openxmlformats.org/officeDocument/2006/relationships/hyperlink" Target="http://people.hofstra.edu/jean-paul_rodrigue/downloads/MH_JPR_Paper1.pdf" TargetMode="External"/><Relationship Id="rId78" Type="http://schemas.openxmlformats.org/officeDocument/2006/relationships/hyperlink" Target="http://anet.ua.ac.be/acadbib/ua/92028798" TargetMode="External"/><Relationship Id="rId81" Type="http://schemas.openxmlformats.org/officeDocument/2006/relationships/hyperlink" Target="http://stat.smmu.edu.cn/history/pearson1901.pdf" TargetMode="External"/><Relationship Id="rId86" Type="http://schemas.openxmlformats.org/officeDocument/2006/relationships/hyperlink" Target="http://www.sciencedirect.com/science?_ob=PublicationURL&amp;_tockey=%23TOC%236031%231995%23999709996%23162230%23FLP%23&amp;_cdi=6031&amp;_pubType=J&amp;view=c&amp;_auth=y&amp;_acct=C000050221&amp;_version=1&amp;_urlVersion=0&amp;_userid=10&amp;md5=dfa7477cc4c59e6ef5ef1599d72543b3" TargetMode="External"/><Relationship Id="rId94" Type="http://schemas.openxmlformats.org/officeDocument/2006/relationships/image" Target="media/image47.png"/><Relationship Id="rId99" Type="http://schemas.openxmlformats.org/officeDocument/2006/relationships/image" Target="media/image52.emf"/><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15.png"/><Relationship Id="rId34" Type="http://schemas.openxmlformats.org/officeDocument/2006/relationships/diagramLayout" Target="diagrams/layout2.xml"/><Relationship Id="rId50" Type="http://schemas.openxmlformats.org/officeDocument/2006/relationships/image" Target="media/image23.emf"/><Relationship Id="rId55" Type="http://schemas.openxmlformats.org/officeDocument/2006/relationships/hyperlink" Target="http://en.wikipedia.org/wiki/Breusch%E2%80%93Pagan_test" TargetMode="External"/><Relationship Id="rId76" Type="http://schemas.openxmlformats.org/officeDocument/2006/relationships/hyperlink" Target="http://www.jstor.org/action/showPublisher?publisherCode=lonschool" TargetMode="External"/><Relationship Id="rId97" Type="http://schemas.openxmlformats.org/officeDocument/2006/relationships/image" Target="media/image50.emf"/><Relationship Id="rId7" Type="http://schemas.openxmlformats.org/officeDocument/2006/relationships/footnotes" Target="footnotes.xml"/><Relationship Id="rId71" Type="http://schemas.openxmlformats.org/officeDocument/2006/relationships/image" Target="media/image39.emf"/><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diagramQuickStyle" Target="diagrams/quickStyle1.xml"/><Relationship Id="rId40" Type="http://schemas.openxmlformats.org/officeDocument/2006/relationships/image" Target="media/image16.png"/><Relationship Id="rId45" Type="http://schemas.openxmlformats.org/officeDocument/2006/relationships/hyperlink" Target="http://en.wikipedia.org/wiki/Breusch%E2%80%93Pagan_test" TargetMode="External"/><Relationship Id="rId66" Type="http://schemas.openxmlformats.org/officeDocument/2006/relationships/image" Target="media/image34.png"/><Relationship Id="rId87" Type="http://schemas.openxmlformats.org/officeDocument/2006/relationships/image" Target="media/image40.png"/><Relationship Id="rId61" Type="http://schemas.openxmlformats.org/officeDocument/2006/relationships/image" Target="media/image31.emf"/><Relationship Id="rId82" Type="http://schemas.openxmlformats.org/officeDocument/2006/relationships/hyperlink" Target="http://ideas.repec.org/p/can/series/2005-06.html" TargetMode="External"/><Relationship Id="rId19" Type="http://schemas.openxmlformats.org/officeDocument/2006/relationships/image" Target="media/image6.png"/><Relationship Id="rId14" Type="http://schemas.openxmlformats.org/officeDocument/2006/relationships/hyperlink" Target="http://en.wikipedia.org/wiki/Twenty-foot_equivalent_unit" TargetMode="External"/><Relationship Id="rId30" Type="http://schemas.openxmlformats.org/officeDocument/2006/relationships/image" Target="media/image12.png"/><Relationship Id="rId35" Type="http://schemas.openxmlformats.org/officeDocument/2006/relationships/diagramQuickStyle" Target="diagrams/quickStyle2.xml"/><Relationship Id="rId56" Type="http://schemas.openxmlformats.org/officeDocument/2006/relationships/image" Target="media/image26.png"/><Relationship Id="rId77" Type="http://schemas.openxmlformats.org/officeDocument/2006/relationships/hyperlink" Target="http://www.jstor.org/action/showPublisher?publisherCode=ubath" TargetMode="External"/><Relationship Id="rId100"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24.emf"/><Relationship Id="rId72" Type="http://schemas.openxmlformats.org/officeDocument/2006/relationships/hyperlink" Target="http://ideas.repec.org/a/bla/reviec/v16y2008i1p21-36.html" TargetMode="External"/><Relationship Id="rId93" Type="http://schemas.openxmlformats.org/officeDocument/2006/relationships/image" Target="media/image46.png"/><Relationship Id="rId98" Type="http://schemas.openxmlformats.org/officeDocument/2006/relationships/image" Target="media/image51.emf"/><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384B9-D1F4-417B-9F61-B982E4534B36}" type="doc">
      <dgm:prSet loTypeId="urn:microsoft.com/office/officeart/2005/8/layout/venn1" loCatId="relationship" qsTypeId="urn:microsoft.com/office/officeart/2005/8/quickstyle/simple1#1" qsCatId="simple" csTypeId="urn:microsoft.com/office/officeart/2005/8/colors/accent1_2#1" csCatId="accent1"/>
      <dgm:spPr/>
    </dgm:pt>
    <dgm:pt modelId="{F2C07AF0-9ADD-4A79-AC43-951DD63EA790}">
      <dgm:prSet/>
      <dgm:spPr/>
      <dgm:t>
        <a:bodyPr/>
        <a:lstStyle/>
        <a:p>
          <a:pPr marR="0" algn="ctr" rtl="0"/>
          <a:r>
            <a:rPr lang="pt-PT" b="1" i="0" u="none" strike="noStrike" baseline="0" smtClean="0">
              <a:latin typeface="Calibri"/>
            </a:rPr>
            <a:t>Port Choice</a:t>
          </a:r>
          <a:endParaRPr lang="pt-PT" smtClean="0"/>
        </a:p>
      </dgm:t>
    </dgm:pt>
    <dgm:pt modelId="{57D34A2A-F5A9-4C5A-8796-66BD8C330F7F}" type="parTrans" cxnId="{354D731A-D523-4C4D-86A0-1114AB68FEEF}">
      <dgm:prSet/>
      <dgm:spPr/>
      <dgm:t>
        <a:bodyPr/>
        <a:lstStyle/>
        <a:p>
          <a:endParaRPr lang="pt-PT"/>
        </a:p>
      </dgm:t>
    </dgm:pt>
    <dgm:pt modelId="{FDB57264-C916-459A-A2C0-E15CB075AB7F}" type="sibTrans" cxnId="{354D731A-D523-4C4D-86A0-1114AB68FEEF}">
      <dgm:prSet/>
      <dgm:spPr/>
      <dgm:t>
        <a:bodyPr/>
        <a:lstStyle/>
        <a:p>
          <a:endParaRPr lang="pt-PT"/>
        </a:p>
      </dgm:t>
    </dgm:pt>
    <dgm:pt modelId="{00E3156D-71D3-4420-B7C5-8116D8B73498}">
      <dgm:prSet/>
      <dgm:spPr/>
      <dgm:t>
        <a:bodyPr/>
        <a:lstStyle/>
        <a:p>
          <a:pPr marR="0" algn="ctr" rtl="0"/>
          <a:r>
            <a:rPr lang="pt-PT" b="1" i="0" u="none" strike="noStrike" baseline="0" smtClean="0">
              <a:latin typeface="Calibri"/>
            </a:rPr>
            <a:t>Port Efficiency</a:t>
          </a:r>
          <a:endParaRPr lang="pt-PT" smtClean="0"/>
        </a:p>
      </dgm:t>
    </dgm:pt>
    <dgm:pt modelId="{7F38D76C-2430-4831-A520-660A6D07CED2}" type="parTrans" cxnId="{A1107B50-BE15-4298-A018-63AA26DCEEF5}">
      <dgm:prSet/>
      <dgm:spPr/>
      <dgm:t>
        <a:bodyPr/>
        <a:lstStyle/>
        <a:p>
          <a:endParaRPr lang="pt-PT"/>
        </a:p>
      </dgm:t>
    </dgm:pt>
    <dgm:pt modelId="{889ECC6C-2B13-40F0-AC65-1F678D4159FF}" type="sibTrans" cxnId="{A1107B50-BE15-4298-A018-63AA26DCEEF5}">
      <dgm:prSet/>
      <dgm:spPr/>
      <dgm:t>
        <a:bodyPr/>
        <a:lstStyle/>
        <a:p>
          <a:endParaRPr lang="pt-PT"/>
        </a:p>
      </dgm:t>
    </dgm:pt>
    <dgm:pt modelId="{0624BF90-CAFC-4AC8-9D1D-138EEEE5D666}">
      <dgm:prSet/>
      <dgm:spPr/>
      <dgm:t>
        <a:bodyPr/>
        <a:lstStyle/>
        <a:p>
          <a:pPr marR="0" algn="ctr" rtl="0"/>
          <a:r>
            <a:rPr lang="pt-PT" b="1" i="0" u="none" strike="noStrike" baseline="0" smtClean="0">
              <a:latin typeface="Calibri"/>
            </a:rPr>
            <a:t>Port Performance</a:t>
          </a:r>
          <a:endParaRPr lang="pt-PT" smtClean="0"/>
        </a:p>
      </dgm:t>
    </dgm:pt>
    <dgm:pt modelId="{4FEB30F4-DF3B-45E9-9E8E-19FD69AE427D}" type="parTrans" cxnId="{12F42A76-A4B0-46D6-8861-DCA5CD54DB3E}">
      <dgm:prSet/>
      <dgm:spPr/>
      <dgm:t>
        <a:bodyPr/>
        <a:lstStyle/>
        <a:p>
          <a:endParaRPr lang="pt-PT"/>
        </a:p>
      </dgm:t>
    </dgm:pt>
    <dgm:pt modelId="{CE07927B-72E2-4637-908F-AC94463C3E32}" type="sibTrans" cxnId="{12F42A76-A4B0-46D6-8861-DCA5CD54DB3E}">
      <dgm:prSet/>
      <dgm:spPr/>
      <dgm:t>
        <a:bodyPr/>
        <a:lstStyle/>
        <a:p>
          <a:endParaRPr lang="pt-PT"/>
        </a:p>
      </dgm:t>
    </dgm:pt>
    <dgm:pt modelId="{8FCA45E0-0F56-4266-910B-AAF82A224B9F}">
      <dgm:prSet/>
      <dgm:spPr/>
      <dgm:t>
        <a:bodyPr/>
        <a:lstStyle/>
        <a:p>
          <a:pPr marR="0" algn="ctr" rtl="0"/>
          <a:r>
            <a:rPr lang="pt-PT" b="1" i="0" u="none" strike="noStrike" baseline="0" smtClean="0">
              <a:latin typeface="Calibri"/>
            </a:rPr>
            <a:t>Port Marketing</a:t>
          </a:r>
          <a:endParaRPr lang="pt-PT" smtClean="0"/>
        </a:p>
      </dgm:t>
    </dgm:pt>
    <dgm:pt modelId="{9DD7F368-BF11-46CB-AF29-724492F906B8}" type="parTrans" cxnId="{51648853-3CFB-4C54-97FF-AC4303094FDB}">
      <dgm:prSet/>
      <dgm:spPr/>
      <dgm:t>
        <a:bodyPr/>
        <a:lstStyle/>
        <a:p>
          <a:endParaRPr lang="pt-PT"/>
        </a:p>
      </dgm:t>
    </dgm:pt>
    <dgm:pt modelId="{3A74614E-A141-4211-8F45-6768BFEF2DAA}" type="sibTrans" cxnId="{51648853-3CFB-4C54-97FF-AC4303094FDB}">
      <dgm:prSet/>
      <dgm:spPr/>
      <dgm:t>
        <a:bodyPr/>
        <a:lstStyle/>
        <a:p>
          <a:endParaRPr lang="pt-PT"/>
        </a:p>
      </dgm:t>
    </dgm:pt>
    <dgm:pt modelId="{1B070A9C-598D-4781-95CE-105EA61CEC24}" type="pres">
      <dgm:prSet presAssocID="{3B1384B9-D1F4-417B-9F61-B982E4534B36}" presName="compositeShape" presStyleCnt="0">
        <dgm:presLayoutVars>
          <dgm:chMax val="7"/>
          <dgm:dir/>
          <dgm:resizeHandles val="exact"/>
        </dgm:presLayoutVars>
      </dgm:prSet>
      <dgm:spPr/>
    </dgm:pt>
    <dgm:pt modelId="{8119F748-118C-4070-BD0C-3F6430FA2EFA}" type="pres">
      <dgm:prSet presAssocID="{F2C07AF0-9ADD-4A79-AC43-951DD63EA790}" presName="circ1" presStyleLbl="vennNode1" presStyleIdx="0" presStyleCnt="4"/>
      <dgm:spPr/>
      <dgm:t>
        <a:bodyPr/>
        <a:lstStyle/>
        <a:p>
          <a:endParaRPr lang="pt-PT"/>
        </a:p>
      </dgm:t>
    </dgm:pt>
    <dgm:pt modelId="{EC53DCA1-9FEA-4A94-BF0C-7C9747B11350}" type="pres">
      <dgm:prSet presAssocID="{F2C07AF0-9ADD-4A79-AC43-951DD63EA790}" presName="circ1Tx" presStyleLbl="revTx" presStyleIdx="0" presStyleCnt="0">
        <dgm:presLayoutVars>
          <dgm:chMax val="0"/>
          <dgm:chPref val="0"/>
          <dgm:bulletEnabled val="1"/>
        </dgm:presLayoutVars>
      </dgm:prSet>
      <dgm:spPr/>
      <dgm:t>
        <a:bodyPr/>
        <a:lstStyle/>
        <a:p>
          <a:endParaRPr lang="pt-PT"/>
        </a:p>
      </dgm:t>
    </dgm:pt>
    <dgm:pt modelId="{29EA38C1-F670-4E09-9085-0576628F4FE9}" type="pres">
      <dgm:prSet presAssocID="{00E3156D-71D3-4420-B7C5-8116D8B73498}" presName="circ2" presStyleLbl="vennNode1" presStyleIdx="1" presStyleCnt="4"/>
      <dgm:spPr/>
      <dgm:t>
        <a:bodyPr/>
        <a:lstStyle/>
        <a:p>
          <a:endParaRPr lang="pt-PT"/>
        </a:p>
      </dgm:t>
    </dgm:pt>
    <dgm:pt modelId="{59FCDEC4-2DB1-4076-955B-08E39F4F6EA7}" type="pres">
      <dgm:prSet presAssocID="{00E3156D-71D3-4420-B7C5-8116D8B73498}" presName="circ2Tx" presStyleLbl="revTx" presStyleIdx="0" presStyleCnt="0">
        <dgm:presLayoutVars>
          <dgm:chMax val="0"/>
          <dgm:chPref val="0"/>
          <dgm:bulletEnabled val="1"/>
        </dgm:presLayoutVars>
      </dgm:prSet>
      <dgm:spPr/>
      <dgm:t>
        <a:bodyPr/>
        <a:lstStyle/>
        <a:p>
          <a:endParaRPr lang="pt-PT"/>
        </a:p>
      </dgm:t>
    </dgm:pt>
    <dgm:pt modelId="{8BE97BF9-1255-48A7-B58F-F010DE5E08F2}" type="pres">
      <dgm:prSet presAssocID="{0624BF90-CAFC-4AC8-9D1D-138EEEE5D666}" presName="circ3" presStyleLbl="vennNode1" presStyleIdx="2" presStyleCnt="4"/>
      <dgm:spPr/>
      <dgm:t>
        <a:bodyPr/>
        <a:lstStyle/>
        <a:p>
          <a:endParaRPr lang="pt-PT"/>
        </a:p>
      </dgm:t>
    </dgm:pt>
    <dgm:pt modelId="{13943C21-5570-4E6B-9B43-B8CF52406B2C}" type="pres">
      <dgm:prSet presAssocID="{0624BF90-CAFC-4AC8-9D1D-138EEEE5D666}" presName="circ3Tx" presStyleLbl="revTx" presStyleIdx="0" presStyleCnt="0">
        <dgm:presLayoutVars>
          <dgm:chMax val="0"/>
          <dgm:chPref val="0"/>
          <dgm:bulletEnabled val="1"/>
        </dgm:presLayoutVars>
      </dgm:prSet>
      <dgm:spPr/>
      <dgm:t>
        <a:bodyPr/>
        <a:lstStyle/>
        <a:p>
          <a:endParaRPr lang="pt-PT"/>
        </a:p>
      </dgm:t>
    </dgm:pt>
    <dgm:pt modelId="{DFB38135-E346-4DEF-95EB-65BD9946F1F6}" type="pres">
      <dgm:prSet presAssocID="{8FCA45E0-0F56-4266-910B-AAF82A224B9F}" presName="circ4" presStyleLbl="vennNode1" presStyleIdx="3" presStyleCnt="4"/>
      <dgm:spPr/>
      <dgm:t>
        <a:bodyPr/>
        <a:lstStyle/>
        <a:p>
          <a:endParaRPr lang="pt-PT"/>
        </a:p>
      </dgm:t>
    </dgm:pt>
    <dgm:pt modelId="{37500105-F7B1-443B-84F1-CF7225BBC8E6}" type="pres">
      <dgm:prSet presAssocID="{8FCA45E0-0F56-4266-910B-AAF82A224B9F}" presName="circ4Tx" presStyleLbl="revTx" presStyleIdx="0" presStyleCnt="0">
        <dgm:presLayoutVars>
          <dgm:chMax val="0"/>
          <dgm:chPref val="0"/>
          <dgm:bulletEnabled val="1"/>
        </dgm:presLayoutVars>
      </dgm:prSet>
      <dgm:spPr/>
      <dgm:t>
        <a:bodyPr/>
        <a:lstStyle/>
        <a:p>
          <a:endParaRPr lang="pt-PT"/>
        </a:p>
      </dgm:t>
    </dgm:pt>
  </dgm:ptLst>
  <dgm:cxnLst>
    <dgm:cxn modelId="{FE2B7B01-D006-4D42-A295-CF49ED188658}" type="presOf" srcId="{00E3156D-71D3-4420-B7C5-8116D8B73498}" destId="{59FCDEC4-2DB1-4076-955B-08E39F4F6EA7}" srcOrd="1" destOrd="0" presId="urn:microsoft.com/office/officeart/2005/8/layout/venn1"/>
    <dgm:cxn modelId="{12F42A76-A4B0-46D6-8861-DCA5CD54DB3E}" srcId="{3B1384B9-D1F4-417B-9F61-B982E4534B36}" destId="{0624BF90-CAFC-4AC8-9D1D-138EEEE5D666}" srcOrd="2" destOrd="0" parTransId="{4FEB30F4-DF3B-45E9-9E8E-19FD69AE427D}" sibTransId="{CE07927B-72E2-4637-908F-AC94463C3E32}"/>
    <dgm:cxn modelId="{F93F0F10-D40B-4CD1-AF41-29C7DEA911D5}" type="presOf" srcId="{F2C07AF0-9ADD-4A79-AC43-951DD63EA790}" destId="{8119F748-118C-4070-BD0C-3F6430FA2EFA}" srcOrd="0" destOrd="0" presId="urn:microsoft.com/office/officeart/2005/8/layout/venn1"/>
    <dgm:cxn modelId="{88B9BD06-FA22-415C-9C1A-0E9122D76C87}" type="presOf" srcId="{0624BF90-CAFC-4AC8-9D1D-138EEEE5D666}" destId="{13943C21-5570-4E6B-9B43-B8CF52406B2C}" srcOrd="1" destOrd="0" presId="urn:microsoft.com/office/officeart/2005/8/layout/venn1"/>
    <dgm:cxn modelId="{44EDB869-0E94-426E-940C-558841861601}" type="presOf" srcId="{8FCA45E0-0F56-4266-910B-AAF82A224B9F}" destId="{37500105-F7B1-443B-84F1-CF7225BBC8E6}" srcOrd="1" destOrd="0" presId="urn:microsoft.com/office/officeart/2005/8/layout/venn1"/>
    <dgm:cxn modelId="{5187A469-746F-4650-B780-E3C58062E207}" type="presOf" srcId="{0624BF90-CAFC-4AC8-9D1D-138EEEE5D666}" destId="{8BE97BF9-1255-48A7-B58F-F010DE5E08F2}" srcOrd="0" destOrd="0" presId="urn:microsoft.com/office/officeart/2005/8/layout/venn1"/>
    <dgm:cxn modelId="{F315FAE3-90D7-4280-89A5-018522164455}" type="presOf" srcId="{3B1384B9-D1F4-417B-9F61-B982E4534B36}" destId="{1B070A9C-598D-4781-95CE-105EA61CEC24}" srcOrd="0" destOrd="0" presId="urn:microsoft.com/office/officeart/2005/8/layout/venn1"/>
    <dgm:cxn modelId="{17544E99-724F-48D3-AA6F-EC897F711EA5}" type="presOf" srcId="{F2C07AF0-9ADD-4A79-AC43-951DD63EA790}" destId="{EC53DCA1-9FEA-4A94-BF0C-7C9747B11350}" srcOrd="1" destOrd="0" presId="urn:microsoft.com/office/officeart/2005/8/layout/venn1"/>
    <dgm:cxn modelId="{354D731A-D523-4C4D-86A0-1114AB68FEEF}" srcId="{3B1384B9-D1F4-417B-9F61-B982E4534B36}" destId="{F2C07AF0-9ADD-4A79-AC43-951DD63EA790}" srcOrd="0" destOrd="0" parTransId="{57D34A2A-F5A9-4C5A-8796-66BD8C330F7F}" sibTransId="{FDB57264-C916-459A-A2C0-E15CB075AB7F}"/>
    <dgm:cxn modelId="{1C6DE5E3-F22B-4903-9A69-63554EE4E85D}" type="presOf" srcId="{8FCA45E0-0F56-4266-910B-AAF82A224B9F}" destId="{DFB38135-E346-4DEF-95EB-65BD9946F1F6}" srcOrd="0" destOrd="0" presId="urn:microsoft.com/office/officeart/2005/8/layout/venn1"/>
    <dgm:cxn modelId="{A1107B50-BE15-4298-A018-63AA26DCEEF5}" srcId="{3B1384B9-D1F4-417B-9F61-B982E4534B36}" destId="{00E3156D-71D3-4420-B7C5-8116D8B73498}" srcOrd="1" destOrd="0" parTransId="{7F38D76C-2430-4831-A520-660A6D07CED2}" sibTransId="{889ECC6C-2B13-40F0-AC65-1F678D4159FF}"/>
    <dgm:cxn modelId="{5406AB4C-A862-4B32-B48D-65047E06952E}" type="presOf" srcId="{00E3156D-71D3-4420-B7C5-8116D8B73498}" destId="{29EA38C1-F670-4E09-9085-0576628F4FE9}" srcOrd="0" destOrd="0" presId="urn:microsoft.com/office/officeart/2005/8/layout/venn1"/>
    <dgm:cxn modelId="{51648853-3CFB-4C54-97FF-AC4303094FDB}" srcId="{3B1384B9-D1F4-417B-9F61-B982E4534B36}" destId="{8FCA45E0-0F56-4266-910B-AAF82A224B9F}" srcOrd="3" destOrd="0" parTransId="{9DD7F368-BF11-46CB-AF29-724492F906B8}" sibTransId="{3A74614E-A141-4211-8F45-6768BFEF2DAA}"/>
    <dgm:cxn modelId="{2FD1AA2D-315D-4DE8-946A-FC9D783713BE}" type="presParOf" srcId="{1B070A9C-598D-4781-95CE-105EA61CEC24}" destId="{8119F748-118C-4070-BD0C-3F6430FA2EFA}" srcOrd="0" destOrd="0" presId="urn:microsoft.com/office/officeart/2005/8/layout/venn1"/>
    <dgm:cxn modelId="{D24F9CA6-F91D-4EC8-8F23-EFEDF3BBF38E}" type="presParOf" srcId="{1B070A9C-598D-4781-95CE-105EA61CEC24}" destId="{EC53DCA1-9FEA-4A94-BF0C-7C9747B11350}" srcOrd="1" destOrd="0" presId="urn:microsoft.com/office/officeart/2005/8/layout/venn1"/>
    <dgm:cxn modelId="{B34770B1-D1A7-4674-8A34-DE038F1F2E10}" type="presParOf" srcId="{1B070A9C-598D-4781-95CE-105EA61CEC24}" destId="{29EA38C1-F670-4E09-9085-0576628F4FE9}" srcOrd="2" destOrd="0" presId="urn:microsoft.com/office/officeart/2005/8/layout/venn1"/>
    <dgm:cxn modelId="{6CC08AB5-9F11-4E6E-ABD1-92D315461CC4}" type="presParOf" srcId="{1B070A9C-598D-4781-95CE-105EA61CEC24}" destId="{59FCDEC4-2DB1-4076-955B-08E39F4F6EA7}" srcOrd="3" destOrd="0" presId="urn:microsoft.com/office/officeart/2005/8/layout/venn1"/>
    <dgm:cxn modelId="{A50B5389-6A9C-4D74-A67A-194C24994DC8}" type="presParOf" srcId="{1B070A9C-598D-4781-95CE-105EA61CEC24}" destId="{8BE97BF9-1255-48A7-B58F-F010DE5E08F2}" srcOrd="4" destOrd="0" presId="urn:microsoft.com/office/officeart/2005/8/layout/venn1"/>
    <dgm:cxn modelId="{0AB33509-4392-4DC5-A24E-E0C48DF039F7}" type="presParOf" srcId="{1B070A9C-598D-4781-95CE-105EA61CEC24}" destId="{13943C21-5570-4E6B-9B43-B8CF52406B2C}" srcOrd="5" destOrd="0" presId="urn:microsoft.com/office/officeart/2005/8/layout/venn1"/>
    <dgm:cxn modelId="{1DB4F166-943B-4391-9944-1846C4D59ED8}" type="presParOf" srcId="{1B070A9C-598D-4781-95CE-105EA61CEC24}" destId="{DFB38135-E346-4DEF-95EB-65BD9946F1F6}" srcOrd="6" destOrd="0" presId="urn:microsoft.com/office/officeart/2005/8/layout/venn1"/>
    <dgm:cxn modelId="{4FA2AB2A-8016-41EE-912D-798607B6F547}" type="presParOf" srcId="{1B070A9C-598D-4781-95CE-105EA61CEC24}" destId="{37500105-F7B1-443B-84F1-CF7225BBC8E6}" srcOrd="7" destOrd="0" presId="urn:microsoft.com/office/officeart/2005/8/layout/venn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642842-8F9C-4476-A3A2-7CD4EFD43CDA}" type="doc">
      <dgm:prSet loTypeId="urn:microsoft.com/office/officeart/2005/8/layout/chevron1" loCatId="process" qsTypeId="urn:microsoft.com/office/officeart/2005/8/quickstyle/simple1#1" qsCatId="simple" csTypeId="urn:microsoft.com/office/officeart/2005/8/colors/accent1_2#1" csCatId="accent1" phldr="1"/>
      <dgm:spPr/>
    </dgm:pt>
    <dgm:pt modelId="{7EE8D7FB-C657-4F89-8200-8854F844427F}">
      <dgm:prSet phldrT="[Texto]" custT="1">
        <dgm:style>
          <a:lnRef idx="2">
            <a:schemeClr val="dk1"/>
          </a:lnRef>
          <a:fillRef idx="1">
            <a:schemeClr val="lt1"/>
          </a:fillRef>
          <a:effectRef idx="0">
            <a:schemeClr val="dk1"/>
          </a:effectRef>
          <a:fontRef idx="minor">
            <a:schemeClr val="dk1"/>
          </a:fontRef>
        </dgm:style>
      </dgm:prSet>
      <dgm:spPr>
        <a:ln w="9525"/>
      </dgm:spPr>
      <dgm:t>
        <a:bodyPr/>
        <a:lstStyle/>
        <a:p>
          <a:r>
            <a:rPr lang="pt-PT" sz="800"/>
            <a:t>1º inquérito sobre a importância geral dos factores (Portugal e Espanha)</a:t>
          </a:r>
        </a:p>
      </dgm:t>
    </dgm:pt>
    <dgm:pt modelId="{CF7757C7-998E-43C1-A74C-8392BA230624}" type="parTrans" cxnId="{A598E3E7-D2D0-48E5-A9B1-6D5B4CC0C484}">
      <dgm:prSet/>
      <dgm:spPr/>
      <dgm:t>
        <a:bodyPr/>
        <a:lstStyle/>
        <a:p>
          <a:endParaRPr lang="pt-PT" sz="900"/>
        </a:p>
      </dgm:t>
    </dgm:pt>
    <dgm:pt modelId="{936C6724-21FE-4059-9B3D-5D15BE3E94E6}" type="sibTrans" cxnId="{A598E3E7-D2D0-48E5-A9B1-6D5B4CC0C484}">
      <dgm:prSet/>
      <dgm:spPr/>
      <dgm:t>
        <a:bodyPr/>
        <a:lstStyle/>
        <a:p>
          <a:endParaRPr lang="pt-PT" sz="900"/>
        </a:p>
      </dgm:t>
    </dgm:pt>
    <dgm:pt modelId="{91C941D5-D1FA-473E-A7CC-72BE75E2C787}">
      <dgm:prSet phldrT="[Texto]" custT="1">
        <dgm:style>
          <a:lnRef idx="2">
            <a:schemeClr val="dk1"/>
          </a:lnRef>
          <a:fillRef idx="1">
            <a:schemeClr val="lt1"/>
          </a:fillRef>
          <a:effectRef idx="0">
            <a:schemeClr val="dk1"/>
          </a:effectRef>
          <a:fontRef idx="minor">
            <a:schemeClr val="dk1"/>
          </a:fontRef>
        </dgm:style>
      </dgm:prSet>
      <dgm:spPr>
        <a:ln w="9525"/>
      </dgm:spPr>
      <dgm:t>
        <a:bodyPr/>
        <a:lstStyle/>
        <a:p>
          <a:r>
            <a:rPr lang="pt-PT" sz="800"/>
            <a:t>Afinação do modelo causal e respetivos fatores</a:t>
          </a:r>
        </a:p>
      </dgm:t>
    </dgm:pt>
    <dgm:pt modelId="{C1A60922-8913-4E66-96A0-BC548520C20C}" type="parTrans" cxnId="{0C7386D2-EE7B-4C00-985A-AE5080686D1D}">
      <dgm:prSet/>
      <dgm:spPr/>
      <dgm:t>
        <a:bodyPr/>
        <a:lstStyle/>
        <a:p>
          <a:endParaRPr lang="pt-PT" sz="900"/>
        </a:p>
      </dgm:t>
    </dgm:pt>
    <dgm:pt modelId="{260A3535-0A85-46A7-A981-827171F2B79E}" type="sibTrans" cxnId="{0C7386D2-EE7B-4C00-985A-AE5080686D1D}">
      <dgm:prSet/>
      <dgm:spPr/>
      <dgm:t>
        <a:bodyPr/>
        <a:lstStyle/>
        <a:p>
          <a:endParaRPr lang="pt-PT" sz="900"/>
        </a:p>
      </dgm:t>
    </dgm:pt>
    <dgm:pt modelId="{B8D260CE-6549-4E63-928C-EFDAAA55D6EC}">
      <dgm:prSet phldrT="[Texto]" custT="1">
        <dgm:style>
          <a:lnRef idx="2">
            <a:schemeClr val="dk1"/>
          </a:lnRef>
          <a:fillRef idx="1">
            <a:schemeClr val="lt1"/>
          </a:fillRef>
          <a:effectRef idx="0">
            <a:schemeClr val="dk1"/>
          </a:effectRef>
          <a:fontRef idx="minor">
            <a:schemeClr val="dk1"/>
          </a:fontRef>
        </dgm:style>
      </dgm:prSet>
      <dgm:spPr>
        <a:ln w="9525"/>
      </dgm:spPr>
      <dgm:t>
        <a:bodyPr/>
        <a:lstStyle/>
        <a:p>
          <a:r>
            <a:rPr lang="pt-PT" sz="800"/>
            <a:t>2º inquérito sobre terminais específico (Portugal, Espanha e portos da Europa)</a:t>
          </a:r>
        </a:p>
      </dgm:t>
    </dgm:pt>
    <dgm:pt modelId="{876696C2-234F-4473-AF2A-69EF8A48D49C}" type="parTrans" cxnId="{F8F5C78C-831E-49D7-9B04-611C7F3D9E8D}">
      <dgm:prSet/>
      <dgm:spPr/>
      <dgm:t>
        <a:bodyPr/>
        <a:lstStyle/>
        <a:p>
          <a:endParaRPr lang="pt-PT" sz="900"/>
        </a:p>
      </dgm:t>
    </dgm:pt>
    <dgm:pt modelId="{97E653D3-739B-480B-B80F-A13E8CE1DF70}" type="sibTrans" cxnId="{F8F5C78C-831E-49D7-9B04-611C7F3D9E8D}">
      <dgm:prSet/>
      <dgm:spPr/>
      <dgm:t>
        <a:bodyPr/>
        <a:lstStyle/>
        <a:p>
          <a:endParaRPr lang="pt-PT" sz="900"/>
        </a:p>
      </dgm:t>
    </dgm:pt>
    <dgm:pt modelId="{931AEC89-8B3A-40D6-83EA-3E20CF0AA87E}" type="pres">
      <dgm:prSet presAssocID="{C8642842-8F9C-4476-A3A2-7CD4EFD43CDA}" presName="Name0" presStyleCnt="0">
        <dgm:presLayoutVars>
          <dgm:dir/>
          <dgm:animLvl val="lvl"/>
          <dgm:resizeHandles val="exact"/>
        </dgm:presLayoutVars>
      </dgm:prSet>
      <dgm:spPr/>
    </dgm:pt>
    <dgm:pt modelId="{77466F16-3C7E-4E85-9C1E-F2A5E97306C4}" type="pres">
      <dgm:prSet presAssocID="{7EE8D7FB-C657-4F89-8200-8854F844427F}" presName="parTxOnly" presStyleLbl="node1" presStyleIdx="0" presStyleCnt="3" custScaleY="127901">
        <dgm:presLayoutVars>
          <dgm:chMax val="0"/>
          <dgm:chPref val="0"/>
          <dgm:bulletEnabled val="1"/>
        </dgm:presLayoutVars>
      </dgm:prSet>
      <dgm:spPr/>
      <dgm:t>
        <a:bodyPr/>
        <a:lstStyle/>
        <a:p>
          <a:endParaRPr lang="pt-PT"/>
        </a:p>
      </dgm:t>
    </dgm:pt>
    <dgm:pt modelId="{E0699AA4-4877-4DC7-BC6E-02ACB0365030}" type="pres">
      <dgm:prSet presAssocID="{936C6724-21FE-4059-9B3D-5D15BE3E94E6}" presName="parTxOnlySpace" presStyleCnt="0"/>
      <dgm:spPr/>
    </dgm:pt>
    <dgm:pt modelId="{C6D8E394-4119-4264-A62A-BAC802C2E267}" type="pres">
      <dgm:prSet presAssocID="{91C941D5-D1FA-473E-A7CC-72BE75E2C787}" presName="parTxOnly" presStyleLbl="node1" presStyleIdx="1" presStyleCnt="3" custScaleY="128337">
        <dgm:presLayoutVars>
          <dgm:chMax val="0"/>
          <dgm:chPref val="0"/>
          <dgm:bulletEnabled val="1"/>
        </dgm:presLayoutVars>
      </dgm:prSet>
      <dgm:spPr/>
      <dgm:t>
        <a:bodyPr/>
        <a:lstStyle/>
        <a:p>
          <a:endParaRPr lang="pt-PT"/>
        </a:p>
      </dgm:t>
    </dgm:pt>
    <dgm:pt modelId="{E9818E73-B1A5-4EA6-9826-FAD033648BA9}" type="pres">
      <dgm:prSet presAssocID="{260A3535-0A85-46A7-A981-827171F2B79E}" presName="parTxOnlySpace" presStyleCnt="0"/>
      <dgm:spPr/>
    </dgm:pt>
    <dgm:pt modelId="{50397508-BB5F-43F1-B93D-729EE709E1BF}" type="pres">
      <dgm:prSet presAssocID="{B8D260CE-6549-4E63-928C-EFDAAA55D6EC}" presName="parTxOnly" presStyleLbl="node1" presStyleIdx="2" presStyleCnt="3" custScaleY="124271">
        <dgm:presLayoutVars>
          <dgm:chMax val="0"/>
          <dgm:chPref val="0"/>
          <dgm:bulletEnabled val="1"/>
        </dgm:presLayoutVars>
      </dgm:prSet>
      <dgm:spPr/>
      <dgm:t>
        <a:bodyPr/>
        <a:lstStyle/>
        <a:p>
          <a:endParaRPr lang="pt-PT"/>
        </a:p>
      </dgm:t>
    </dgm:pt>
  </dgm:ptLst>
  <dgm:cxnLst>
    <dgm:cxn modelId="{684DAC2D-EEA3-427F-B6D3-2E09F36F2966}" type="presOf" srcId="{C8642842-8F9C-4476-A3A2-7CD4EFD43CDA}" destId="{931AEC89-8B3A-40D6-83EA-3E20CF0AA87E}" srcOrd="0" destOrd="0" presId="urn:microsoft.com/office/officeart/2005/8/layout/chevron1"/>
    <dgm:cxn modelId="{89D81A91-E6C8-4447-B69E-84564B8CB856}" type="presOf" srcId="{91C941D5-D1FA-473E-A7CC-72BE75E2C787}" destId="{C6D8E394-4119-4264-A62A-BAC802C2E267}" srcOrd="0" destOrd="0" presId="urn:microsoft.com/office/officeart/2005/8/layout/chevron1"/>
    <dgm:cxn modelId="{0C7386D2-EE7B-4C00-985A-AE5080686D1D}" srcId="{C8642842-8F9C-4476-A3A2-7CD4EFD43CDA}" destId="{91C941D5-D1FA-473E-A7CC-72BE75E2C787}" srcOrd="1" destOrd="0" parTransId="{C1A60922-8913-4E66-96A0-BC548520C20C}" sibTransId="{260A3535-0A85-46A7-A981-827171F2B79E}"/>
    <dgm:cxn modelId="{A598E3E7-D2D0-48E5-A9B1-6D5B4CC0C484}" srcId="{C8642842-8F9C-4476-A3A2-7CD4EFD43CDA}" destId="{7EE8D7FB-C657-4F89-8200-8854F844427F}" srcOrd="0" destOrd="0" parTransId="{CF7757C7-998E-43C1-A74C-8392BA230624}" sibTransId="{936C6724-21FE-4059-9B3D-5D15BE3E94E6}"/>
    <dgm:cxn modelId="{15CBFDA9-5BC4-405F-A836-923D91ED13DA}" type="presOf" srcId="{B8D260CE-6549-4E63-928C-EFDAAA55D6EC}" destId="{50397508-BB5F-43F1-B93D-729EE709E1BF}" srcOrd="0" destOrd="0" presId="urn:microsoft.com/office/officeart/2005/8/layout/chevron1"/>
    <dgm:cxn modelId="{93A09C60-20A0-4E73-A442-62D3BF292206}" type="presOf" srcId="{7EE8D7FB-C657-4F89-8200-8854F844427F}" destId="{77466F16-3C7E-4E85-9C1E-F2A5E97306C4}" srcOrd="0" destOrd="0" presId="urn:microsoft.com/office/officeart/2005/8/layout/chevron1"/>
    <dgm:cxn modelId="{F8F5C78C-831E-49D7-9B04-611C7F3D9E8D}" srcId="{C8642842-8F9C-4476-A3A2-7CD4EFD43CDA}" destId="{B8D260CE-6549-4E63-928C-EFDAAA55D6EC}" srcOrd="2" destOrd="0" parTransId="{876696C2-234F-4473-AF2A-69EF8A48D49C}" sibTransId="{97E653D3-739B-480B-B80F-A13E8CE1DF70}"/>
    <dgm:cxn modelId="{CDC49850-F8B7-4AB5-B421-3C3BAE9906EE}" type="presParOf" srcId="{931AEC89-8B3A-40D6-83EA-3E20CF0AA87E}" destId="{77466F16-3C7E-4E85-9C1E-F2A5E97306C4}" srcOrd="0" destOrd="0" presId="urn:microsoft.com/office/officeart/2005/8/layout/chevron1"/>
    <dgm:cxn modelId="{78C7FA8A-ED41-4E59-9391-DA64EAA1310C}" type="presParOf" srcId="{931AEC89-8B3A-40D6-83EA-3E20CF0AA87E}" destId="{E0699AA4-4877-4DC7-BC6E-02ACB0365030}" srcOrd="1" destOrd="0" presId="urn:microsoft.com/office/officeart/2005/8/layout/chevron1"/>
    <dgm:cxn modelId="{14943165-0597-4893-AB8B-074298E45312}" type="presParOf" srcId="{931AEC89-8B3A-40D6-83EA-3E20CF0AA87E}" destId="{C6D8E394-4119-4264-A62A-BAC802C2E267}" srcOrd="2" destOrd="0" presId="urn:microsoft.com/office/officeart/2005/8/layout/chevron1"/>
    <dgm:cxn modelId="{572FF660-9F6E-4DE3-ADFC-6A896261863F}" type="presParOf" srcId="{931AEC89-8B3A-40D6-83EA-3E20CF0AA87E}" destId="{E9818E73-B1A5-4EA6-9826-FAD033648BA9}" srcOrd="3" destOrd="0" presId="urn:microsoft.com/office/officeart/2005/8/layout/chevron1"/>
    <dgm:cxn modelId="{38BC1CCB-702A-4629-A939-8FCEE675BA1D}" type="presParOf" srcId="{931AEC89-8B3A-40D6-83EA-3E20CF0AA87E}" destId="{50397508-BB5F-43F1-B93D-729EE709E1BF}" srcOrd="4" destOrd="0" presId="urn:microsoft.com/office/officeart/2005/8/layout/chevron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19F748-118C-4070-BD0C-3F6430FA2EFA}">
      <dsp:nvSpPr>
        <dsp:cNvPr id="0" name=""/>
        <dsp:cNvSpPr/>
      </dsp:nvSpPr>
      <dsp:spPr>
        <a:xfrm>
          <a:off x="1614144" y="33997"/>
          <a:ext cx="1767890" cy="176789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533400" rtl="0">
            <a:lnSpc>
              <a:spcPct val="90000"/>
            </a:lnSpc>
            <a:spcBef>
              <a:spcPct val="0"/>
            </a:spcBef>
            <a:spcAft>
              <a:spcPct val="35000"/>
            </a:spcAft>
          </a:pPr>
          <a:r>
            <a:rPr lang="pt-PT" sz="1200" b="1" i="0" u="none" strike="noStrike" kern="1200" baseline="0" smtClean="0">
              <a:latin typeface="Calibri"/>
            </a:rPr>
            <a:t>Port Choice</a:t>
          </a:r>
          <a:endParaRPr lang="pt-PT" sz="1200" kern="1200" smtClean="0"/>
        </a:p>
      </dsp:txBody>
      <dsp:txXfrm>
        <a:off x="1818132" y="271983"/>
        <a:ext cx="1359916" cy="560965"/>
      </dsp:txXfrm>
    </dsp:sp>
    <dsp:sp modelId="{29EA38C1-F670-4E09-9085-0576628F4FE9}">
      <dsp:nvSpPr>
        <dsp:cNvPr id="0" name=""/>
        <dsp:cNvSpPr/>
      </dsp:nvSpPr>
      <dsp:spPr>
        <a:xfrm>
          <a:off x="2396096" y="815949"/>
          <a:ext cx="1767890" cy="176789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533400" rtl="0">
            <a:lnSpc>
              <a:spcPct val="90000"/>
            </a:lnSpc>
            <a:spcBef>
              <a:spcPct val="0"/>
            </a:spcBef>
            <a:spcAft>
              <a:spcPct val="35000"/>
            </a:spcAft>
          </a:pPr>
          <a:r>
            <a:rPr lang="pt-PT" sz="1200" b="1" i="0" u="none" strike="noStrike" kern="1200" baseline="0" smtClean="0">
              <a:latin typeface="Calibri"/>
            </a:rPr>
            <a:t>Port Efficiency</a:t>
          </a:r>
          <a:endParaRPr lang="pt-PT" sz="1200" kern="1200" smtClean="0"/>
        </a:p>
      </dsp:txBody>
      <dsp:txXfrm>
        <a:off x="3348037" y="1019937"/>
        <a:ext cx="679958" cy="1359916"/>
      </dsp:txXfrm>
    </dsp:sp>
    <dsp:sp modelId="{8BE97BF9-1255-48A7-B58F-F010DE5E08F2}">
      <dsp:nvSpPr>
        <dsp:cNvPr id="0" name=""/>
        <dsp:cNvSpPr/>
      </dsp:nvSpPr>
      <dsp:spPr>
        <a:xfrm>
          <a:off x="1614144" y="1597901"/>
          <a:ext cx="1767890" cy="176789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533400" rtl="0">
            <a:lnSpc>
              <a:spcPct val="90000"/>
            </a:lnSpc>
            <a:spcBef>
              <a:spcPct val="0"/>
            </a:spcBef>
            <a:spcAft>
              <a:spcPct val="35000"/>
            </a:spcAft>
          </a:pPr>
          <a:r>
            <a:rPr lang="pt-PT" sz="1200" b="1" i="0" u="none" strike="noStrike" kern="1200" baseline="0" smtClean="0">
              <a:latin typeface="Calibri"/>
            </a:rPr>
            <a:t>Port Performance</a:t>
          </a:r>
          <a:endParaRPr lang="pt-PT" sz="1200" kern="1200" smtClean="0"/>
        </a:p>
      </dsp:txBody>
      <dsp:txXfrm>
        <a:off x="1818132" y="2566841"/>
        <a:ext cx="1359916" cy="560965"/>
      </dsp:txXfrm>
    </dsp:sp>
    <dsp:sp modelId="{DFB38135-E346-4DEF-95EB-65BD9946F1F6}">
      <dsp:nvSpPr>
        <dsp:cNvPr id="0" name=""/>
        <dsp:cNvSpPr/>
      </dsp:nvSpPr>
      <dsp:spPr>
        <a:xfrm>
          <a:off x="832192" y="815949"/>
          <a:ext cx="1767890" cy="176789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533400" rtl="0">
            <a:lnSpc>
              <a:spcPct val="90000"/>
            </a:lnSpc>
            <a:spcBef>
              <a:spcPct val="0"/>
            </a:spcBef>
            <a:spcAft>
              <a:spcPct val="35000"/>
            </a:spcAft>
          </a:pPr>
          <a:r>
            <a:rPr lang="pt-PT" sz="1200" b="1" i="0" u="none" strike="noStrike" kern="1200" baseline="0" smtClean="0">
              <a:latin typeface="Calibri"/>
            </a:rPr>
            <a:t>Port Marketing</a:t>
          </a:r>
          <a:endParaRPr lang="pt-PT" sz="1200" kern="1200" smtClean="0"/>
        </a:p>
      </dsp:txBody>
      <dsp:txXfrm>
        <a:off x="968184" y="1019937"/>
        <a:ext cx="679958" cy="13599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466F16-3C7E-4E85-9C1E-F2A5E97306C4}">
      <dsp:nvSpPr>
        <dsp:cNvPr id="0" name=""/>
        <dsp:cNvSpPr/>
      </dsp:nvSpPr>
      <dsp:spPr>
        <a:xfrm>
          <a:off x="1292" y="149733"/>
          <a:ext cx="1574330" cy="805433"/>
        </a:xfrm>
        <a:prstGeom prst="chevron">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pt-PT" sz="800" kern="1200"/>
            <a:t>1º inquérito sobre a importância geral dos factores (Portugal e Espanha)</a:t>
          </a:r>
        </a:p>
      </dsp:txBody>
      <dsp:txXfrm>
        <a:off x="404009" y="149733"/>
        <a:ext cx="768897" cy="805433"/>
      </dsp:txXfrm>
    </dsp:sp>
    <dsp:sp modelId="{C6D8E394-4119-4264-A62A-BAC802C2E267}">
      <dsp:nvSpPr>
        <dsp:cNvPr id="0" name=""/>
        <dsp:cNvSpPr/>
      </dsp:nvSpPr>
      <dsp:spPr>
        <a:xfrm>
          <a:off x="1418189" y="148360"/>
          <a:ext cx="1574330" cy="808179"/>
        </a:xfrm>
        <a:prstGeom prst="chevron">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pt-PT" sz="800" kern="1200"/>
            <a:t>Afinação do modelo causal e respetivos fatores</a:t>
          </a:r>
        </a:p>
      </dsp:txBody>
      <dsp:txXfrm>
        <a:off x="1822279" y="148360"/>
        <a:ext cx="766151" cy="808179"/>
      </dsp:txXfrm>
    </dsp:sp>
    <dsp:sp modelId="{50397508-BB5F-43F1-B93D-729EE709E1BF}">
      <dsp:nvSpPr>
        <dsp:cNvPr id="0" name=""/>
        <dsp:cNvSpPr/>
      </dsp:nvSpPr>
      <dsp:spPr>
        <a:xfrm>
          <a:off x="2835087" y="161162"/>
          <a:ext cx="1574330" cy="782574"/>
        </a:xfrm>
        <a:prstGeom prst="chevron">
          <a:avLst/>
        </a:prstGeom>
        <a:solidFill>
          <a:schemeClr val="lt1"/>
        </a:solidFill>
        <a:ln w="952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pt-PT" sz="800" kern="1200"/>
            <a:t>2º inquérito sobre terminais específico (Portugal, Espanha e portos da Europa)</a:t>
          </a:r>
        </a:p>
      </dsp:txBody>
      <dsp:txXfrm>
        <a:off x="3226374" y="161162"/>
        <a:ext cx="791756" cy="782574"/>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13A76F-1942-49B9-B441-3CF781C01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Pages>
  <Words>78282</Words>
  <Characters>422723</Characters>
  <Application>Microsoft Office Word</Application>
  <DocSecurity>0</DocSecurity>
  <Lines>3522</Lines>
  <Paragraphs>1000</Paragraphs>
  <ScaleCrop>false</ScaleCrop>
  <HeadingPairs>
    <vt:vector size="2" baseType="variant">
      <vt:variant>
        <vt:lpstr>Título</vt:lpstr>
      </vt:variant>
      <vt:variant>
        <vt:i4>1</vt:i4>
      </vt:variant>
    </vt:vector>
  </HeadingPairs>
  <TitlesOfParts>
    <vt:vector size="1" baseType="lpstr">
      <vt:lpstr>Study on the Impact of Factors Characterizing the Port</vt:lpstr>
    </vt:vector>
  </TitlesOfParts>
  <Company>TOSHIBA</Company>
  <LinksUpToDate>false</LinksUpToDate>
  <CharactersWithSpaces>500005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Study on the Impact of Factors Characterizing the Port</dc:title>
  <dc:creator>Windows User</dc:creator>
  <cp:lastModifiedBy>Administrador</cp:lastModifiedBy>
  <cp:revision>31</cp:revision>
  <cp:lastPrinted>2014-09-15T20:50:00Z</cp:lastPrinted>
  <dcterms:created xsi:type="dcterms:W3CDTF">2014-08-18T10:28:00Z</dcterms:created>
  <dcterms:modified xsi:type="dcterms:W3CDTF">2014-09-15T20:52:00Z</dcterms:modified>
</cp:coreProperties>
</file>